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고객만족 측정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9.1.2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고객의 인식을 주기적으로 모니터링하고 고객만족 수준을 정량화하여 지속적 개선에 활용한다.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주요 고객(삼성전자 및 기타 거래처)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고객만족도 조사: 연 1회(12월) 설문 또는 인터뷰 실시</w:t>
      </w:r>
    </w:p>
    <w:p>
      <w:pPr>
        <w:pStyle w:val="ListBullet"/>
        <w:ind w:left="283"/>
      </w:pPr>
      <w:r>
        <w:rPr>
          <w:sz w:val="20"/>
        </w:rPr>
        <w:t>2) 클레임·반품·VOC 데이터 월간 집계 및 분析</w:t>
      </w:r>
    </w:p>
    <w:p>
      <w:pPr>
        <w:pStyle w:val="ListBullet"/>
        <w:ind w:left="283"/>
      </w:pPr>
      <w:r>
        <w:rPr>
          <w:sz w:val="20"/>
        </w:rPr>
        <w:t>3) 고객만족지수(CSI) 산정: 5점 척도 평균</w:t>
      </w:r>
    </w:p>
    <w:p>
      <w:pPr>
        <w:pStyle w:val="ListBullet"/>
        <w:ind w:left="283"/>
      </w:pPr>
      <w:r>
        <w:rPr>
          <w:sz w:val="20"/>
        </w:rPr>
        <w:t>4) 분析 결과를 경영검토 입력사항으로 보고</w:t>
      </w:r>
    </w:p>
    <w:p>
      <w:pPr>
        <w:pStyle w:val="ListBullet"/>
        <w:ind w:left="283"/>
      </w:pPr>
      <w:r>
        <w:rPr>
          <w:sz w:val="20"/>
        </w:rPr>
        <w:t>5) 개선 필요사항은 QMS-P-005로 연계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QMS-F-007 고객만족도 조사표</w:t>
      </w:r>
    </w:p>
    <w:p>
      <w:pPr>
        <w:pStyle w:val="ListBullet"/>
        <w:ind w:left="283"/>
      </w:pPr>
      <w:r>
        <w:rPr>
          <w:sz w:val="20"/>
        </w:rPr>
        <w:t>QMS-F-017 클레임 처리 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QMS-P-004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