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748B" w14:textId="77777777" w:rsidR="00044199" w:rsidRPr="00341778" w:rsidRDefault="00000000">
      <w:pPr>
        <w:pStyle w:val="Ttulo"/>
      </w:pPr>
      <w:r w:rsidRPr="00341778">
        <w:t xml:space="preserve">Template for preparing submission using </w:t>
      </w:r>
      <w:proofErr w:type="gramStart"/>
      <w:r w:rsidRPr="00341778">
        <w:t>Overleaf</w:t>
      </w:r>
      <w:proofErr w:type="gramEnd"/>
    </w:p>
    <w:p w14:paraId="3E85748C" w14:textId="77777777" w:rsidR="00044199" w:rsidRPr="00341778" w:rsidRDefault="00000000">
      <w:pPr>
        <w:pStyle w:val="Author"/>
      </w:pPr>
      <w:r w:rsidRPr="00341778">
        <w:t>Author One</w:t>
      </w:r>
    </w:p>
    <w:p w14:paraId="3E85748D" w14:textId="77777777" w:rsidR="00044199" w:rsidRPr="00341778" w:rsidRDefault="00000000">
      <w:pPr>
        <w:pStyle w:val="Author"/>
      </w:pPr>
      <w:r w:rsidRPr="00341778">
        <w:t>Author Two</w:t>
      </w:r>
    </w:p>
    <w:p w14:paraId="3E85748E" w14:textId="77777777" w:rsidR="00044199" w:rsidRPr="00341778" w:rsidRDefault="00000000">
      <w:pPr>
        <w:pStyle w:val="Author"/>
      </w:pPr>
      <w:r w:rsidRPr="00341778">
        <w:t>Author Three</w:t>
      </w:r>
    </w:p>
    <w:p w14:paraId="3E85748F" w14:textId="77777777" w:rsidR="00044199" w:rsidRPr="00341778" w:rsidRDefault="00000000">
      <w:pPr>
        <w:pStyle w:val="Author"/>
      </w:pPr>
      <w:r w:rsidRPr="00341778">
        <w:t>Author Four</w:t>
      </w:r>
    </w:p>
    <w:p w14:paraId="3E857490" w14:textId="77777777" w:rsidR="00044199" w:rsidRPr="00341778" w:rsidRDefault="00000000">
      <w:pPr>
        <w:pStyle w:val="Ttulo1"/>
      </w:pPr>
      <w:bookmarkStart w:id="0" w:name="introduction"/>
      <w:r w:rsidRPr="00341778">
        <w:t>Introduction</w:t>
      </w:r>
    </w:p>
    <w:p w14:paraId="3E857491" w14:textId="77777777" w:rsidR="00044199" w:rsidRPr="00341778" w:rsidRDefault="00000000">
      <w:pPr>
        <w:pStyle w:val="FirstParagraph"/>
      </w:pPr>
      <w:r w:rsidRPr="00341778">
        <w:t xml:space="preserve">Currently, metastatic breast cancer is difficult to treat. Patients with hormone receptor </w:t>
      </w:r>
      <m:oMath>
        <m:r>
          <m:rPr>
            <m:sty m:val="p"/>
          </m:rPr>
          <w:rPr>
            <w:rFonts w:ascii="Cambria Math" w:hAnsi="Cambria Math"/>
          </w:rPr>
          <m:t>(</m:t>
        </m:r>
      </m:oMath>
      <w:r w:rsidRPr="00341778">
        <w:t>HR</w:t>
      </w:r>
      <m:oMath>
        <m:r>
          <m:rPr>
            <m:sty m:val="p"/>
          </m:rPr>
          <w:rPr>
            <w:rFonts w:ascii="Cambria Math" w:hAnsi="Cambria Math"/>
          </w:rPr>
          <m:t>)</m:t>
        </m:r>
      </m:oMath>
      <w:r w:rsidRPr="00341778">
        <w:t xml:space="preserve">-positive and HER2-negative, the most common subtype, typically undergo endocrine therapy. Therefore, new treatments can be very useful in improving quality of life, reducing toxicity, and decreasing scenarios of hormonal resistance. Medications from the group of cyclin-dependent kinase inhibitors appear as a potential improvement in the therapeutic approach to advanced breast cancer. Within this group, there are palbociclib, ribociclib, and abemaciclib. Cyclin-dependent kinases 4 and 6 </w:t>
      </w:r>
      <m:oMath>
        <m:r>
          <m:rPr>
            <m:sty m:val="p"/>
          </m:rPr>
          <w:rPr>
            <w:rFonts w:ascii="Cambria Math" w:hAnsi="Cambria Math"/>
          </w:rPr>
          <m:t>(</m:t>
        </m:r>
      </m:oMath>
      <w:r w:rsidRPr="00341778">
        <w:t>CDK4/6</w:t>
      </w:r>
      <m:oMath>
        <m:r>
          <m:rPr>
            <m:sty m:val="p"/>
          </m:rPr>
          <w:rPr>
            <w:rFonts w:ascii="Cambria Math" w:hAnsi="Cambria Math"/>
          </w:rPr>
          <m:t>)</m:t>
        </m:r>
      </m:oMath>
      <w:r w:rsidRPr="00341778">
        <w:t xml:space="preserve"> are responsible for regulating the cell cycle at the transition between the G1 and S phases. In many neoplasms, this cycle is deregulated, and it promotes uncontrolled cell proliferation. It is then possible for these medications to have better effectiveness. These medications were approved by INFARMED, I.P. after an analysis of the therapeutic value they offer. For this purpose, data from clinical trials conducted with these medications were essentially used. The MONALEESA (Hortobagyi et al. 2018; </w:t>
      </w:r>
      <w:proofErr w:type="spellStart"/>
      <w:r w:rsidRPr="00341778">
        <w:t>Slamon</w:t>
      </w:r>
      <w:proofErr w:type="spellEnd"/>
      <w:r w:rsidRPr="00341778">
        <w:t xml:space="preserve"> et al. 2018; Tripathy et al. 2018) studies were used for </w:t>
      </w:r>
      <w:proofErr w:type="spellStart"/>
      <w:r w:rsidRPr="00341778">
        <w:t>ribociclib</w:t>
      </w:r>
      <w:proofErr w:type="spellEnd"/>
      <w:r w:rsidRPr="00341778">
        <w:t xml:space="preserve">, PALOMA (Verma et al. 2016; </w:t>
      </w:r>
      <w:proofErr w:type="spellStart"/>
      <w:r w:rsidRPr="00341778">
        <w:t>Rugo</w:t>
      </w:r>
      <w:proofErr w:type="spellEnd"/>
      <w:r w:rsidRPr="00341778">
        <w:t xml:space="preserve"> et al. 2018; Finn et al. 2015) for </w:t>
      </w:r>
      <w:proofErr w:type="spellStart"/>
      <w:r w:rsidRPr="00341778">
        <w:t>palbociclib</w:t>
      </w:r>
      <w:proofErr w:type="spellEnd"/>
      <w:r w:rsidRPr="00341778">
        <w:t xml:space="preserve">, and MONARCH (Goetz et al. 2017; Sledge et al. 2017) for </w:t>
      </w:r>
      <w:proofErr w:type="spellStart"/>
      <w:r w:rsidRPr="00341778">
        <w:t>abemaciclib</w:t>
      </w:r>
      <w:proofErr w:type="spellEnd"/>
      <w:r w:rsidRPr="00341778">
        <w:t xml:space="preserve">. These studies focused on testing the hypothesis of treating CDK4/6 inhibitors in combination with an aromatase inhibitor or </w:t>
      </w:r>
      <w:proofErr w:type="spellStart"/>
      <w:r w:rsidRPr="00341778">
        <w:t>fulvestrant</w:t>
      </w:r>
      <w:proofErr w:type="spellEnd"/>
      <w:r w:rsidRPr="00341778">
        <w:t xml:space="preserve"> as an alternative to the gold standard. In these studies, it was concluded that they brought a significant increase in effectiveness, justifying their use in clinical practice. However, this evaluation was based on clinical trials with very specific inclusion and exclusion criteria and in a highly controlled environment. It is then vital to study how these new molecules compare to current practice in terms of treatment effectiveness in a real-world setting.</w:t>
      </w:r>
    </w:p>
    <w:p w14:paraId="3E857492" w14:textId="77777777" w:rsidR="00044199" w:rsidRPr="00341778" w:rsidRDefault="00000000">
      <w:pPr>
        <w:pStyle w:val="Ttulo1"/>
      </w:pPr>
      <w:bookmarkStart w:id="1" w:name="materials-and-methods"/>
      <w:bookmarkEnd w:id="0"/>
      <w:r w:rsidRPr="00341778">
        <w:t>Materials and Methods</w:t>
      </w:r>
    </w:p>
    <w:p w14:paraId="3E857493" w14:textId="77777777" w:rsidR="00044199" w:rsidRPr="00341778" w:rsidRDefault="00000000">
      <w:pPr>
        <w:pStyle w:val="Ttulo2"/>
      </w:pPr>
      <w:bookmarkStart w:id="2" w:name="study-design"/>
      <w:r w:rsidRPr="00341778">
        <w:t>Study Design</w:t>
      </w:r>
    </w:p>
    <w:p w14:paraId="3E857494" w14:textId="77777777" w:rsidR="00044199" w:rsidRPr="00341778" w:rsidRDefault="00000000">
      <w:pPr>
        <w:pStyle w:val="FirstParagraph"/>
      </w:pPr>
      <w:r w:rsidRPr="00341778">
        <w:t>This retrospective study was designed in 2022. The aim of the study was to evaluate the clinical benefit and long-term survival of patients with HR+/HER2</w:t>
      </w:r>
      <m:oMath>
        <m:r>
          <m:rPr>
            <m:sty m:val="p"/>
          </m:rPr>
          <w:rPr>
            <w:rFonts w:ascii="Cambria Math" w:hAnsi="Cambria Math"/>
          </w:rPr>
          <m:t>-</m:t>
        </m:r>
      </m:oMath>
      <w:r w:rsidRPr="00341778">
        <w:t xml:space="preserve"> that started </w:t>
      </w:r>
      <w:r w:rsidRPr="00341778">
        <w:lastRenderedPageBreak/>
        <w:t xml:space="preserve">treatment with CDK46 inhibitors plus hormonotherapy in different lines of treatment between the 14th of March 2017 and the 31st of December 2021. The follow-up period was set until June 2022. Inclusion criteria: postmenopausal women, men, Oestrogen Receptor positive % (defined by ER expression </w:t>
      </w:r>
      <m:oMath>
        <m:r>
          <m:rPr>
            <m:sty m:val="p"/>
          </m:rPr>
          <w:rPr>
            <w:rFonts w:ascii="Cambria Math" w:hAnsi="Cambria Math"/>
          </w:rPr>
          <m:t>≥</m:t>
        </m:r>
      </m:oMath>
      <w:r w:rsidRPr="00341778">
        <w:t xml:space="preserve"> 1 % of tumour cell by immunohistochemistry, IHC) and HER2 negative (by IHC and/or amplification assay) in the primary tumour or metastatic site after biopsy. Exclusion criteria: Patients that had only ambulatory medication, and patients involved in clinical trials, diagnosed with other neoplasms or with active treatment during the study period. The comparison group was defined by a population of patients, that were treated with hormone therapy as first-line (due to bone metastases) between 2015 and 13 of match 2017.</w:t>
      </w:r>
    </w:p>
    <w:p w14:paraId="3E857495" w14:textId="77777777" w:rsidR="00044199" w:rsidRPr="00341778" w:rsidRDefault="00000000">
      <w:pPr>
        <w:pStyle w:val="Corpodetexto"/>
      </w:pPr>
      <w:r w:rsidRPr="00341778">
        <w:t>The evaluation of effectiveness will involve overall survival and progression-free analysis. We will compare the three different cyclin-dependent kinase inhibitors in terms of efficacy in real-world patients and will also compare the effectiveness of this class of drug against traditional hormonotherapy.</w:t>
      </w:r>
    </w:p>
    <w:p w14:paraId="3E857496" w14:textId="77777777" w:rsidR="00044199" w:rsidRPr="00341778" w:rsidRDefault="00000000">
      <w:pPr>
        <w:pStyle w:val="Ttulo2"/>
      </w:pPr>
      <w:bookmarkStart w:id="3" w:name="data-collection"/>
      <w:bookmarkEnd w:id="2"/>
      <w:r w:rsidRPr="00341778">
        <w:t>Data collection</w:t>
      </w:r>
    </w:p>
    <w:p w14:paraId="3E857497" w14:textId="739A9B0A" w:rsidR="00044199" w:rsidRPr="00341778" w:rsidRDefault="00000000">
      <w:pPr>
        <w:pStyle w:val="FirstParagraph"/>
      </w:pPr>
      <w:r w:rsidRPr="00341778">
        <w:t xml:space="preserve">All data were collected from original medical records from baseline to last visit or death. The data was collected from Instituto </w:t>
      </w:r>
      <w:proofErr w:type="spellStart"/>
      <w:r w:rsidRPr="00341778">
        <w:t>Português</w:t>
      </w:r>
      <w:proofErr w:type="spellEnd"/>
      <w:r w:rsidRPr="00341778">
        <w:t xml:space="preserve"> de </w:t>
      </w:r>
      <w:proofErr w:type="spellStart"/>
      <w:r w:rsidRPr="00341778">
        <w:t>Oncologia</w:t>
      </w:r>
      <w:proofErr w:type="spellEnd"/>
      <w:r w:rsidRPr="00341778">
        <w:t xml:space="preserve"> – Porto (IPO-P). table </w:t>
      </w:r>
      <w:hyperlink w:anchor="tab:stats_ipop_cdk">
        <w:r w:rsidRPr="00341778">
          <w:rPr>
            <w:rStyle w:val="Hiperligao"/>
          </w:rPr>
          <w:t>1</w:t>
        </w:r>
      </w:hyperlink>
      <w:r w:rsidRPr="00341778">
        <w:t xml:space="preserve"> shows a comparison between the groups. Data included for population treated with CDK46 inhibitors plus </w:t>
      </w:r>
      <w:r w:rsidR="00341778" w:rsidRPr="00341778">
        <w:t>hormonotherapy:</w:t>
      </w:r>
      <w:r w:rsidRPr="00341778">
        <w:t xml:space="preserve"> demographic information, age at first diagnosis and age at the beginning of treatment, clinical </w:t>
      </w:r>
      <w:r w:rsidR="00CF1EBA" w:rsidRPr="00341778">
        <w:t>characteristics,</w:t>
      </w:r>
      <w:r w:rsidRPr="00341778">
        <w:t xml:space="preserve"> and performance status by Eastern Cooperative Oncology Group scale (ECOG), treatment line and treatment schema - CDK46 inhibitor and hormonotherapy, stage of the cancer, site of metastases (bone, soft tissue, visceral, visceral and bone, central nervous system-CNS with or without another site). Data included for population treated with hormonotherapy as first-line: demographic information, age at first diagnosis and age at the beginning of treatment, clinical </w:t>
      </w:r>
      <w:proofErr w:type="gramStart"/>
      <w:r w:rsidRPr="00341778">
        <w:t>characteristics</w:t>
      </w:r>
      <w:proofErr w:type="gramEnd"/>
      <w:r w:rsidRPr="00341778">
        <w:t xml:space="preserve"> and performance status by Eastern Cooperative Oncology Group scale (ECOG), stage of the cancer.</w:t>
      </w:r>
    </w:p>
    <w:p w14:paraId="3E857498" w14:textId="72453434" w:rsidR="00044199" w:rsidRPr="00341778" w:rsidRDefault="00000000">
      <w:pPr>
        <w:pStyle w:val="Corpodetexto"/>
      </w:pPr>
      <w:r w:rsidRPr="00341778">
        <w:t xml:space="preserve">For </w:t>
      </w:r>
      <w:r w:rsidR="00BF6914" w:rsidRPr="00341778">
        <w:t>comparison</w:t>
      </w:r>
      <w:r w:rsidRPr="00341778">
        <w:t xml:space="preserve"> purposes, we used </w:t>
      </w:r>
      <w:proofErr w:type="spellStart"/>
      <w:r w:rsidRPr="00341778">
        <w:t>palbociclib</w:t>
      </w:r>
      <w:proofErr w:type="spellEnd"/>
      <w:r w:rsidRPr="00341778">
        <w:t xml:space="preserve"> and </w:t>
      </w:r>
      <w:proofErr w:type="spellStart"/>
      <w:r w:rsidRPr="00341778">
        <w:t>ribociclib</w:t>
      </w:r>
      <w:proofErr w:type="spellEnd"/>
      <w:r w:rsidRPr="00341778">
        <w:t xml:space="preserve"> since we had a small number of patients treated with </w:t>
      </w:r>
      <w:proofErr w:type="spellStart"/>
      <w:r w:rsidRPr="00341778">
        <w:t>abemaciclib</w:t>
      </w:r>
      <w:proofErr w:type="spellEnd"/>
      <w:r w:rsidRPr="00341778">
        <w:t xml:space="preserve"> (12). We also filtered by 1st line to assess the best treatment option.</w:t>
      </w:r>
    </w:p>
    <w:p w14:paraId="3E857499" w14:textId="77777777" w:rsidR="00044199" w:rsidRPr="00341778" w:rsidRDefault="00044199">
      <w:pPr>
        <w:pStyle w:val="Corpodetexto"/>
      </w:pPr>
    </w:p>
    <w:p w14:paraId="3E85749A" w14:textId="77777777" w:rsidR="00044199" w:rsidRPr="00341778" w:rsidRDefault="00000000">
      <w:pPr>
        <w:pStyle w:val="TableCaption"/>
      </w:pPr>
      <w:bookmarkStart w:id="4" w:name="tab:stats_ipop_cdk"/>
      <w:r w:rsidRPr="00341778">
        <w:t>Descriptive statistics of cyclin-dependent kinase inhibitors group</w:t>
      </w:r>
    </w:p>
    <w:tbl>
      <w:tblPr>
        <w:tblStyle w:val="Table"/>
        <w:tblW w:w="0" w:type="auto"/>
        <w:tblLook w:val="0020" w:firstRow="1" w:lastRow="0" w:firstColumn="0" w:lastColumn="0" w:noHBand="0" w:noVBand="0"/>
        <w:tblCaption w:val="Descriptive statistics of cyclin-dependent kinase inhibitors group"/>
      </w:tblPr>
      <w:tblGrid>
        <w:gridCol w:w="2128"/>
        <w:gridCol w:w="1883"/>
        <w:gridCol w:w="1883"/>
        <w:gridCol w:w="1883"/>
      </w:tblGrid>
      <w:tr w:rsidR="00044199" w:rsidRPr="00341778" w14:paraId="3E85749F" w14:textId="77777777" w:rsidTr="00044199">
        <w:trPr>
          <w:cnfStyle w:val="100000000000" w:firstRow="1" w:lastRow="0" w:firstColumn="0" w:lastColumn="0" w:oddVBand="0" w:evenVBand="0" w:oddHBand="0" w:evenHBand="0" w:firstRowFirstColumn="0" w:firstRowLastColumn="0" w:lastRowFirstColumn="0" w:lastRowLastColumn="0"/>
          <w:tblHeader/>
        </w:trPr>
        <w:tc>
          <w:tcPr>
            <w:tcW w:w="0" w:type="auto"/>
          </w:tcPr>
          <w:p w14:paraId="3E85749B" w14:textId="77777777" w:rsidR="00044199" w:rsidRPr="00341778" w:rsidRDefault="00000000">
            <w:pPr>
              <w:pStyle w:val="Compact"/>
            </w:pPr>
            <w:r w:rsidRPr="00341778">
              <w:t> </w:t>
            </w:r>
          </w:p>
        </w:tc>
        <w:tc>
          <w:tcPr>
            <w:tcW w:w="0" w:type="auto"/>
          </w:tcPr>
          <w:p w14:paraId="3E85749C" w14:textId="77777777" w:rsidR="00044199" w:rsidRPr="00341778" w:rsidRDefault="00000000">
            <w:pPr>
              <w:pStyle w:val="Compact"/>
            </w:pPr>
            <w:r w:rsidRPr="00341778">
              <w:t>Palbociclib</w:t>
            </w:r>
          </w:p>
        </w:tc>
        <w:tc>
          <w:tcPr>
            <w:tcW w:w="0" w:type="auto"/>
          </w:tcPr>
          <w:p w14:paraId="3E85749D" w14:textId="77777777" w:rsidR="00044199" w:rsidRPr="00341778" w:rsidRDefault="00000000">
            <w:pPr>
              <w:pStyle w:val="Compact"/>
            </w:pPr>
            <w:proofErr w:type="spellStart"/>
            <w:r w:rsidRPr="00341778">
              <w:t>Ribociclib</w:t>
            </w:r>
            <w:proofErr w:type="spellEnd"/>
          </w:p>
        </w:tc>
        <w:tc>
          <w:tcPr>
            <w:tcW w:w="0" w:type="auto"/>
          </w:tcPr>
          <w:p w14:paraId="3E85749E" w14:textId="77777777" w:rsidR="00044199" w:rsidRPr="00341778" w:rsidRDefault="00000000">
            <w:pPr>
              <w:pStyle w:val="Compact"/>
            </w:pPr>
            <w:r w:rsidRPr="00341778">
              <w:t>Overall</w:t>
            </w:r>
          </w:p>
        </w:tc>
      </w:tr>
      <w:tr w:rsidR="00044199" w:rsidRPr="00341778" w14:paraId="3E8574A4" w14:textId="77777777">
        <w:tc>
          <w:tcPr>
            <w:tcW w:w="0" w:type="auto"/>
          </w:tcPr>
          <w:p w14:paraId="3E8574A0" w14:textId="77777777" w:rsidR="00044199" w:rsidRPr="00341778" w:rsidRDefault="00044199">
            <w:pPr>
              <w:pStyle w:val="Compact"/>
            </w:pPr>
          </w:p>
        </w:tc>
        <w:tc>
          <w:tcPr>
            <w:tcW w:w="0" w:type="auto"/>
          </w:tcPr>
          <w:p w14:paraId="3E8574A1" w14:textId="77777777" w:rsidR="00044199" w:rsidRPr="00341778" w:rsidRDefault="00000000">
            <w:pPr>
              <w:pStyle w:val="Compact"/>
            </w:pPr>
            <w:r w:rsidRPr="00341778">
              <w:t>(N=247)</w:t>
            </w:r>
          </w:p>
        </w:tc>
        <w:tc>
          <w:tcPr>
            <w:tcW w:w="0" w:type="auto"/>
          </w:tcPr>
          <w:p w14:paraId="3E8574A2" w14:textId="77777777" w:rsidR="00044199" w:rsidRPr="00341778" w:rsidRDefault="00000000">
            <w:pPr>
              <w:pStyle w:val="Compact"/>
            </w:pPr>
            <w:r w:rsidRPr="00341778">
              <w:t>(N=106)</w:t>
            </w:r>
          </w:p>
        </w:tc>
        <w:tc>
          <w:tcPr>
            <w:tcW w:w="0" w:type="auto"/>
          </w:tcPr>
          <w:p w14:paraId="3E8574A3" w14:textId="77777777" w:rsidR="00044199" w:rsidRPr="00341778" w:rsidRDefault="00000000">
            <w:pPr>
              <w:pStyle w:val="Compact"/>
            </w:pPr>
            <w:r w:rsidRPr="00341778">
              <w:t>(N=353)</w:t>
            </w:r>
          </w:p>
        </w:tc>
      </w:tr>
      <w:tr w:rsidR="00044199" w:rsidRPr="00341778" w14:paraId="3E8574A9" w14:textId="77777777">
        <w:tc>
          <w:tcPr>
            <w:tcW w:w="0" w:type="auto"/>
          </w:tcPr>
          <w:p w14:paraId="3E8574A5" w14:textId="77777777" w:rsidR="00044199" w:rsidRPr="00341778" w:rsidRDefault="00044199">
            <w:pPr>
              <w:pStyle w:val="Compact"/>
            </w:pPr>
          </w:p>
        </w:tc>
        <w:tc>
          <w:tcPr>
            <w:tcW w:w="0" w:type="auto"/>
          </w:tcPr>
          <w:p w14:paraId="3E8574A6" w14:textId="77777777" w:rsidR="00044199" w:rsidRPr="00341778" w:rsidRDefault="00044199">
            <w:pPr>
              <w:pStyle w:val="Compact"/>
            </w:pPr>
          </w:p>
        </w:tc>
        <w:tc>
          <w:tcPr>
            <w:tcW w:w="0" w:type="auto"/>
          </w:tcPr>
          <w:p w14:paraId="3E8574A7" w14:textId="77777777" w:rsidR="00044199" w:rsidRPr="00341778" w:rsidRDefault="00044199">
            <w:pPr>
              <w:pStyle w:val="Compact"/>
            </w:pPr>
          </w:p>
        </w:tc>
        <w:tc>
          <w:tcPr>
            <w:tcW w:w="0" w:type="auto"/>
          </w:tcPr>
          <w:p w14:paraId="3E8574A8" w14:textId="77777777" w:rsidR="00044199" w:rsidRPr="00341778" w:rsidRDefault="00044199">
            <w:pPr>
              <w:pStyle w:val="Compact"/>
            </w:pPr>
          </w:p>
        </w:tc>
      </w:tr>
      <w:tr w:rsidR="00044199" w:rsidRPr="00341778" w14:paraId="3E8574AE" w14:textId="77777777">
        <w:tc>
          <w:tcPr>
            <w:tcW w:w="0" w:type="auto"/>
          </w:tcPr>
          <w:p w14:paraId="3E8574AA" w14:textId="77777777" w:rsidR="00044199" w:rsidRPr="00341778" w:rsidRDefault="00000000">
            <w:pPr>
              <w:pStyle w:val="Compact"/>
            </w:pPr>
            <w:r w:rsidRPr="00341778">
              <w:t>Mean (SD)</w:t>
            </w:r>
          </w:p>
        </w:tc>
        <w:tc>
          <w:tcPr>
            <w:tcW w:w="0" w:type="auto"/>
          </w:tcPr>
          <w:p w14:paraId="3E8574AB" w14:textId="77777777" w:rsidR="00044199" w:rsidRPr="00341778" w:rsidRDefault="00000000">
            <w:pPr>
              <w:pStyle w:val="Compact"/>
            </w:pPr>
            <w:r w:rsidRPr="00341778">
              <w:t>59.2 (11.7)</w:t>
            </w:r>
          </w:p>
        </w:tc>
        <w:tc>
          <w:tcPr>
            <w:tcW w:w="0" w:type="auto"/>
          </w:tcPr>
          <w:p w14:paraId="3E8574AC" w14:textId="77777777" w:rsidR="00044199" w:rsidRPr="00341778" w:rsidRDefault="00000000">
            <w:pPr>
              <w:pStyle w:val="Compact"/>
            </w:pPr>
            <w:r w:rsidRPr="00341778">
              <w:t>58.2 (10.7)</w:t>
            </w:r>
          </w:p>
        </w:tc>
        <w:tc>
          <w:tcPr>
            <w:tcW w:w="0" w:type="auto"/>
          </w:tcPr>
          <w:p w14:paraId="3E8574AD" w14:textId="77777777" w:rsidR="00044199" w:rsidRPr="00341778" w:rsidRDefault="00000000">
            <w:pPr>
              <w:pStyle w:val="Compact"/>
            </w:pPr>
            <w:r w:rsidRPr="00341778">
              <w:t>58.9 (11.4)</w:t>
            </w:r>
          </w:p>
        </w:tc>
      </w:tr>
      <w:tr w:rsidR="00044199" w:rsidRPr="00341778" w14:paraId="3E8574B3" w14:textId="77777777">
        <w:tc>
          <w:tcPr>
            <w:tcW w:w="0" w:type="auto"/>
          </w:tcPr>
          <w:p w14:paraId="3E8574AF" w14:textId="77777777" w:rsidR="00044199" w:rsidRPr="00341778" w:rsidRDefault="00000000">
            <w:pPr>
              <w:pStyle w:val="Compact"/>
            </w:pPr>
            <w:r w:rsidRPr="00341778">
              <w:t>Median [Min, Max]</w:t>
            </w:r>
          </w:p>
        </w:tc>
        <w:tc>
          <w:tcPr>
            <w:tcW w:w="0" w:type="auto"/>
          </w:tcPr>
          <w:p w14:paraId="3E8574B0" w14:textId="77777777" w:rsidR="00044199" w:rsidRPr="00341778" w:rsidRDefault="00000000">
            <w:pPr>
              <w:pStyle w:val="Compact"/>
            </w:pPr>
            <w:r w:rsidRPr="00341778">
              <w:t>60.0 [28.0, 84.0]</w:t>
            </w:r>
          </w:p>
        </w:tc>
        <w:tc>
          <w:tcPr>
            <w:tcW w:w="0" w:type="auto"/>
          </w:tcPr>
          <w:p w14:paraId="3E8574B1" w14:textId="77777777" w:rsidR="00044199" w:rsidRPr="00341778" w:rsidRDefault="00000000">
            <w:pPr>
              <w:pStyle w:val="Compact"/>
            </w:pPr>
            <w:r w:rsidRPr="00341778">
              <w:t>58.0 [32.0, 79.0]</w:t>
            </w:r>
          </w:p>
        </w:tc>
        <w:tc>
          <w:tcPr>
            <w:tcW w:w="0" w:type="auto"/>
          </w:tcPr>
          <w:p w14:paraId="3E8574B2" w14:textId="77777777" w:rsidR="00044199" w:rsidRPr="00341778" w:rsidRDefault="00000000">
            <w:pPr>
              <w:pStyle w:val="Compact"/>
            </w:pPr>
            <w:r w:rsidRPr="00341778">
              <w:t>59.0 [28.0, 84.0]</w:t>
            </w:r>
          </w:p>
        </w:tc>
      </w:tr>
      <w:tr w:rsidR="00044199" w:rsidRPr="00341778" w14:paraId="3E8574B8" w14:textId="77777777">
        <w:tc>
          <w:tcPr>
            <w:tcW w:w="0" w:type="auto"/>
          </w:tcPr>
          <w:p w14:paraId="3E8574B4" w14:textId="77777777" w:rsidR="00044199" w:rsidRPr="00341778" w:rsidRDefault="00044199">
            <w:pPr>
              <w:pStyle w:val="Compact"/>
            </w:pPr>
          </w:p>
        </w:tc>
        <w:tc>
          <w:tcPr>
            <w:tcW w:w="0" w:type="auto"/>
          </w:tcPr>
          <w:p w14:paraId="3E8574B5" w14:textId="77777777" w:rsidR="00044199" w:rsidRPr="00341778" w:rsidRDefault="00044199">
            <w:pPr>
              <w:pStyle w:val="Compact"/>
            </w:pPr>
          </w:p>
        </w:tc>
        <w:tc>
          <w:tcPr>
            <w:tcW w:w="0" w:type="auto"/>
          </w:tcPr>
          <w:p w14:paraId="3E8574B6" w14:textId="77777777" w:rsidR="00044199" w:rsidRPr="00341778" w:rsidRDefault="00044199">
            <w:pPr>
              <w:pStyle w:val="Compact"/>
            </w:pPr>
          </w:p>
        </w:tc>
        <w:tc>
          <w:tcPr>
            <w:tcW w:w="0" w:type="auto"/>
          </w:tcPr>
          <w:p w14:paraId="3E8574B7" w14:textId="77777777" w:rsidR="00044199" w:rsidRPr="00341778" w:rsidRDefault="00044199">
            <w:pPr>
              <w:pStyle w:val="Compact"/>
            </w:pPr>
          </w:p>
        </w:tc>
      </w:tr>
      <w:tr w:rsidR="00044199" w:rsidRPr="00341778" w14:paraId="3E8574BD" w14:textId="77777777">
        <w:tc>
          <w:tcPr>
            <w:tcW w:w="0" w:type="auto"/>
          </w:tcPr>
          <w:p w14:paraId="3E8574B9" w14:textId="77777777" w:rsidR="00044199" w:rsidRPr="00341778" w:rsidRDefault="00000000">
            <w:pPr>
              <w:pStyle w:val="Compact"/>
            </w:pPr>
            <w:r w:rsidRPr="00341778">
              <w:lastRenderedPageBreak/>
              <w:t>Exemestane</w:t>
            </w:r>
          </w:p>
        </w:tc>
        <w:tc>
          <w:tcPr>
            <w:tcW w:w="0" w:type="auto"/>
          </w:tcPr>
          <w:p w14:paraId="3E8574BA" w14:textId="77777777" w:rsidR="00044199" w:rsidRPr="00341778" w:rsidRDefault="00000000">
            <w:pPr>
              <w:pStyle w:val="Compact"/>
            </w:pPr>
            <w:r w:rsidRPr="00341778">
              <w:t>1 (0.4%)</w:t>
            </w:r>
          </w:p>
        </w:tc>
        <w:tc>
          <w:tcPr>
            <w:tcW w:w="0" w:type="auto"/>
          </w:tcPr>
          <w:p w14:paraId="3E8574BB" w14:textId="77777777" w:rsidR="00044199" w:rsidRPr="00341778" w:rsidRDefault="00000000">
            <w:pPr>
              <w:pStyle w:val="Compact"/>
            </w:pPr>
            <w:r w:rsidRPr="00341778">
              <w:t>0 (0%)</w:t>
            </w:r>
          </w:p>
        </w:tc>
        <w:tc>
          <w:tcPr>
            <w:tcW w:w="0" w:type="auto"/>
          </w:tcPr>
          <w:p w14:paraId="3E8574BC" w14:textId="77777777" w:rsidR="00044199" w:rsidRPr="00341778" w:rsidRDefault="00000000">
            <w:pPr>
              <w:pStyle w:val="Compact"/>
            </w:pPr>
            <w:r w:rsidRPr="00341778">
              <w:t>1 (0.3%)</w:t>
            </w:r>
          </w:p>
        </w:tc>
      </w:tr>
      <w:tr w:rsidR="00044199" w:rsidRPr="00341778" w14:paraId="3E8574C2" w14:textId="77777777">
        <w:tc>
          <w:tcPr>
            <w:tcW w:w="0" w:type="auto"/>
          </w:tcPr>
          <w:p w14:paraId="3E8574BE" w14:textId="77777777" w:rsidR="00044199" w:rsidRPr="00341778" w:rsidRDefault="00000000">
            <w:pPr>
              <w:pStyle w:val="Compact"/>
            </w:pPr>
            <w:proofErr w:type="spellStart"/>
            <w:r w:rsidRPr="00341778">
              <w:t>Fulvestrant</w:t>
            </w:r>
            <w:proofErr w:type="spellEnd"/>
          </w:p>
        </w:tc>
        <w:tc>
          <w:tcPr>
            <w:tcW w:w="0" w:type="auto"/>
          </w:tcPr>
          <w:p w14:paraId="3E8574BF" w14:textId="77777777" w:rsidR="00044199" w:rsidRPr="00341778" w:rsidRDefault="00000000">
            <w:pPr>
              <w:pStyle w:val="Compact"/>
            </w:pPr>
            <w:r w:rsidRPr="00341778">
              <w:t>180 (72.9%)</w:t>
            </w:r>
          </w:p>
        </w:tc>
        <w:tc>
          <w:tcPr>
            <w:tcW w:w="0" w:type="auto"/>
          </w:tcPr>
          <w:p w14:paraId="3E8574C0" w14:textId="77777777" w:rsidR="00044199" w:rsidRPr="00341778" w:rsidRDefault="00000000">
            <w:pPr>
              <w:pStyle w:val="Compact"/>
            </w:pPr>
            <w:r w:rsidRPr="00341778">
              <w:t>10 (9.4%)</w:t>
            </w:r>
          </w:p>
        </w:tc>
        <w:tc>
          <w:tcPr>
            <w:tcW w:w="0" w:type="auto"/>
          </w:tcPr>
          <w:p w14:paraId="3E8574C1" w14:textId="77777777" w:rsidR="00044199" w:rsidRPr="00341778" w:rsidRDefault="00000000">
            <w:pPr>
              <w:pStyle w:val="Compact"/>
            </w:pPr>
            <w:r w:rsidRPr="00341778">
              <w:t>190 (53.8%)</w:t>
            </w:r>
          </w:p>
        </w:tc>
      </w:tr>
      <w:tr w:rsidR="00044199" w:rsidRPr="00341778" w14:paraId="3E8574C7" w14:textId="77777777">
        <w:tc>
          <w:tcPr>
            <w:tcW w:w="0" w:type="auto"/>
          </w:tcPr>
          <w:p w14:paraId="3E8574C3" w14:textId="77777777" w:rsidR="00044199" w:rsidRPr="00341778" w:rsidRDefault="00000000">
            <w:pPr>
              <w:pStyle w:val="Compact"/>
            </w:pPr>
            <w:proofErr w:type="spellStart"/>
            <w:r w:rsidRPr="00341778">
              <w:t>Letrozol</w:t>
            </w:r>
            <w:proofErr w:type="spellEnd"/>
          </w:p>
        </w:tc>
        <w:tc>
          <w:tcPr>
            <w:tcW w:w="0" w:type="auto"/>
          </w:tcPr>
          <w:p w14:paraId="3E8574C4" w14:textId="77777777" w:rsidR="00044199" w:rsidRPr="00341778" w:rsidRDefault="00000000">
            <w:pPr>
              <w:pStyle w:val="Compact"/>
            </w:pPr>
            <w:r w:rsidRPr="00341778">
              <w:t>66 (26.7%)</w:t>
            </w:r>
          </w:p>
        </w:tc>
        <w:tc>
          <w:tcPr>
            <w:tcW w:w="0" w:type="auto"/>
          </w:tcPr>
          <w:p w14:paraId="3E8574C5" w14:textId="77777777" w:rsidR="00044199" w:rsidRPr="00341778" w:rsidRDefault="00000000">
            <w:pPr>
              <w:pStyle w:val="Compact"/>
            </w:pPr>
            <w:r w:rsidRPr="00341778">
              <w:t>96 (90.6%)</w:t>
            </w:r>
          </w:p>
        </w:tc>
        <w:tc>
          <w:tcPr>
            <w:tcW w:w="0" w:type="auto"/>
          </w:tcPr>
          <w:p w14:paraId="3E8574C6" w14:textId="77777777" w:rsidR="00044199" w:rsidRPr="00341778" w:rsidRDefault="00000000">
            <w:pPr>
              <w:pStyle w:val="Compact"/>
            </w:pPr>
            <w:r w:rsidRPr="00341778">
              <w:t>162 (45.9%)</w:t>
            </w:r>
          </w:p>
        </w:tc>
      </w:tr>
      <w:tr w:rsidR="00044199" w:rsidRPr="00341778" w14:paraId="3E8574CC" w14:textId="77777777">
        <w:tc>
          <w:tcPr>
            <w:tcW w:w="0" w:type="auto"/>
          </w:tcPr>
          <w:p w14:paraId="3E8574C8" w14:textId="77777777" w:rsidR="00044199" w:rsidRPr="00341778" w:rsidRDefault="00044199">
            <w:pPr>
              <w:pStyle w:val="Compact"/>
            </w:pPr>
          </w:p>
        </w:tc>
        <w:tc>
          <w:tcPr>
            <w:tcW w:w="0" w:type="auto"/>
          </w:tcPr>
          <w:p w14:paraId="3E8574C9" w14:textId="77777777" w:rsidR="00044199" w:rsidRPr="00341778" w:rsidRDefault="00044199">
            <w:pPr>
              <w:pStyle w:val="Compact"/>
            </w:pPr>
          </w:p>
        </w:tc>
        <w:tc>
          <w:tcPr>
            <w:tcW w:w="0" w:type="auto"/>
          </w:tcPr>
          <w:p w14:paraId="3E8574CA" w14:textId="77777777" w:rsidR="00044199" w:rsidRPr="00341778" w:rsidRDefault="00044199">
            <w:pPr>
              <w:pStyle w:val="Compact"/>
            </w:pPr>
          </w:p>
        </w:tc>
        <w:tc>
          <w:tcPr>
            <w:tcW w:w="0" w:type="auto"/>
          </w:tcPr>
          <w:p w14:paraId="3E8574CB" w14:textId="77777777" w:rsidR="00044199" w:rsidRPr="00341778" w:rsidRDefault="00044199">
            <w:pPr>
              <w:pStyle w:val="Compact"/>
            </w:pPr>
          </w:p>
        </w:tc>
      </w:tr>
      <w:tr w:rsidR="00044199" w:rsidRPr="00341778" w14:paraId="3E8574D1" w14:textId="77777777">
        <w:tc>
          <w:tcPr>
            <w:tcW w:w="0" w:type="auto"/>
          </w:tcPr>
          <w:p w14:paraId="3E8574CD" w14:textId="77777777" w:rsidR="00044199" w:rsidRPr="00341778" w:rsidRDefault="00000000">
            <w:pPr>
              <w:pStyle w:val="Compact"/>
            </w:pPr>
            <w:r w:rsidRPr="00341778">
              <w:t>1st Line</w:t>
            </w:r>
          </w:p>
        </w:tc>
        <w:tc>
          <w:tcPr>
            <w:tcW w:w="0" w:type="auto"/>
          </w:tcPr>
          <w:p w14:paraId="3E8574CE" w14:textId="77777777" w:rsidR="00044199" w:rsidRPr="00341778" w:rsidRDefault="00000000">
            <w:pPr>
              <w:pStyle w:val="Compact"/>
            </w:pPr>
            <w:r w:rsidRPr="00341778">
              <w:t>127 (51.4%)</w:t>
            </w:r>
          </w:p>
        </w:tc>
        <w:tc>
          <w:tcPr>
            <w:tcW w:w="0" w:type="auto"/>
          </w:tcPr>
          <w:p w14:paraId="3E8574CF" w14:textId="77777777" w:rsidR="00044199" w:rsidRPr="00341778" w:rsidRDefault="00000000">
            <w:pPr>
              <w:pStyle w:val="Compact"/>
            </w:pPr>
            <w:r w:rsidRPr="00341778">
              <w:t>98 (92.5%)</w:t>
            </w:r>
          </w:p>
        </w:tc>
        <w:tc>
          <w:tcPr>
            <w:tcW w:w="0" w:type="auto"/>
          </w:tcPr>
          <w:p w14:paraId="3E8574D0" w14:textId="77777777" w:rsidR="00044199" w:rsidRPr="00341778" w:rsidRDefault="00000000">
            <w:pPr>
              <w:pStyle w:val="Compact"/>
            </w:pPr>
            <w:r w:rsidRPr="00341778">
              <w:t>225 (63.7%)</w:t>
            </w:r>
          </w:p>
        </w:tc>
      </w:tr>
      <w:tr w:rsidR="00044199" w:rsidRPr="00341778" w14:paraId="3E8574D6" w14:textId="77777777">
        <w:tc>
          <w:tcPr>
            <w:tcW w:w="0" w:type="auto"/>
          </w:tcPr>
          <w:p w14:paraId="3E8574D2" w14:textId="77777777" w:rsidR="00044199" w:rsidRPr="00341778" w:rsidRDefault="00000000">
            <w:pPr>
              <w:pStyle w:val="Compact"/>
            </w:pPr>
            <w:r w:rsidRPr="00341778">
              <w:t>2nd+ Lines</w:t>
            </w:r>
          </w:p>
        </w:tc>
        <w:tc>
          <w:tcPr>
            <w:tcW w:w="0" w:type="auto"/>
          </w:tcPr>
          <w:p w14:paraId="3E8574D3" w14:textId="77777777" w:rsidR="00044199" w:rsidRPr="00341778" w:rsidRDefault="00000000">
            <w:pPr>
              <w:pStyle w:val="Compact"/>
            </w:pPr>
            <w:r w:rsidRPr="00341778">
              <w:t>120 (48.6%)</w:t>
            </w:r>
          </w:p>
        </w:tc>
        <w:tc>
          <w:tcPr>
            <w:tcW w:w="0" w:type="auto"/>
          </w:tcPr>
          <w:p w14:paraId="3E8574D4" w14:textId="77777777" w:rsidR="00044199" w:rsidRPr="00341778" w:rsidRDefault="00000000">
            <w:pPr>
              <w:pStyle w:val="Compact"/>
            </w:pPr>
            <w:r w:rsidRPr="00341778">
              <w:t>8 (7.5%)</w:t>
            </w:r>
          </w:p>
        </w:tc>
        <w:tc>
          <w:tcPr>
            <w:tcW w:w="0" w:type="auto"/>
          </w:tcPr>
          <w:p w14:paraId="3E8574D5" w14:textId="77777777" w:rsidR="00044199" w:rsidRPr="00341778" w:rsidRDefault="00000000">
            <w:pPr>
              <w:pStyle w:val="Compact"/>
            </w:pPr>
            <w:r w:rsidRPr="00341778">
              <w:t>128 (36.3%)</w:t>
            </w:r>
          </w:p>
        </w:tc>
      </w:tr>
      <w:tr w:rsidR="00044199" w:rsidRPr="00341778" w14:paraId="3E8574DB" w14:textId="77777777">
        <w:tc>
          <w:tcPr>
            <w:tcW w:w="0" w:type="auto"/>
          </w:tcPr>
          <w:p w14:paraId="3E8574D7" w14:textId="77777777" w:rsidR="00044199" w:rsidRPr="00341778" w:rsidRDefault="00044199">
            <w:pPr>
              <w:pStyle w:val="Compact"/>
            </w:pPr>
          </w:p>
        </w:tc>
        <w:tc>
          <w:tcPr>
            <w:tcW w:w="0" w:type="auto"/>
          </w:tcPr>
          <w:p w14:paraId="3E8574D8" w14:textId="77777777" w:rsidR="00044199" w:rsidRPr="00341778" w:rsidRDefault="00044199">
            <w:pPr>
              <w:pStyle w:val="Compact"/>
            </w:pPr>
          </w:p>
        </w:tc>
        <w:tc>
          <w:tcPr>
            <w:tcW w:w="0" w:type="auto"/>
          </w:tcPr>
          <w:p w14:paraId="3E8574D9" w14:textId="77777777" w:rsidR="00044199" w:rsidRPr="00341778" w:rsidRDefault="00044199">
            <w:pPr>
              <w:pStyle w:val="Compact"/>
            </w:pPr>
          </w:p>
        </w:tc>
        <w:tc>
          <w:tcPr>
            <w:tcW w:w="0" w:type="auto"/>
          </w:tcPr>
          <w:p w14:paraId="3E8574DA" w14:textId="77777777" w:rsidR="00044199" w:rsidRPr="00341778" w:rsidRDefault="00044199">
            <w:pPr>
              <w:pStyle w:val="Compact"/>
            </w:pPr>
          </w:p>
        </w:tc>
      </w:tr>
      <w:tr w:rsidR="00044199" w:rsidRPr="00341778" w14:paraId="3E8574E0" w14:textId="77777777">
        <w:tc>
          <w:tcPr>
            <w:tcW w:w="0" w:type="auto"/>
          </w:tcPr>
          <w:p w14:paraId="3E8574DC" w14:textId="77777777" w:rsidR="00044199" w:rsidRPr="00341778" w:rsidRDefault="00000000">
            <w:pPr>
              <w:pStyle w:val="Compact"/>
            </w:pPr>
            <w:r w:rsidRPr="00341778">
              <w:t>No</w:t>
            </w:r>
          </w:p>
        </w:tc>
        <w:tc>
          <w:tcPr>
            <w:tcW w:w="0" w:type="auto"/>
          </w:tcPr>
          <w:p w14:paraId="3E8574DD" w14:textId="77777777" w:rsidR="00044199" w:rsidRPr="00341778" w:rsidRDefault="00000000">
            <w:pPr>
              <w:pStyle w:val="Compact"/>
            </w:pPr>
            <w:r w:rsidRPr="00341778">
              <w:t>58 (23.5%)</w:t>
            </w:r>
          </w:p>
        </w:tc>
        <w:tc>
          <w:tcPr>
            <w:tcW w:w="0" w:type="auto"/>
          </w:tcPr>
          <w:p w14:paraId="3E8574DE" w14:textId="77777777" w:rsidR="00044199" w:rsidRPr="00341778" w:rsidRDefault="00000000">
            <w:pPr>
              <w:pStyle w:val="Compact"/>
            </w:pPr>
            <w:r w:rsidRPr="00341778">
              <w:t>24 (22.6%)</w:t>
            </w:r>
          </w:p>
        </w:tc>
        <w:tc>
          <w:tcPr>
            <w:tcW w:w="0" w:type="auto"/>
          </w:tcPr>
          <w:p w14:paraId="3E8574DF" w14:textId="77777777" w:rsidR="00044199" w:rsidRPr="00341778" w:rsidRDefault="00000000">
            <w:pPr>
              <w:pStyle w:val="Compact"/>
            </w:pPr>
            <w:r w:rsidRPr="00341778">
              <w:t>82 (23.2%)</w:t>
            </w:r>
          </w:p>
        </w:tc>
      </w:tr>
      <w:tr w:rsidR="00044199" w:rsidRPr="00341778" w14:paraId="3E8574E5" w14:textId="77777777">
        <w:tc>
          <w:tcPr>
            <w:tcW w:w="0" w:type="auto"/>
          </w:tcPr>
          <w:p w14:paraId="3E8574E1" w14:textId="77777777" w:rsidR="00044199" w:rsidRPr="00341778" w:rsidRDefault="00000000">
            <w:pPr>
              <w:pStyle w:val="Compact"/>
            </w:pPr>
            <w:r w:rsidRPr="00341778">
              <w:t>Yes</w:t>
            </w:r>
          </w:p>
        </w:tc>
        <w:tc>
          <w:tcPr>
            <w:tcW w:w="0" w:type="auto"/>
          </w:tcPr>
          <w:p w14:paraId="3E8574E2" w14:textId="77777777" w:rsidR="00044199" w:rsidRPr="00341778" w:rsidRDefault="00000000">
            <w:pPr>
              <w:pStyle w:val="Compact"/>
            </w:pPr>
            <w:r w:rsidRPr="00341778">
              <w:t>189 (76.5%)</w:t>
            </w:r>
          </w:p>
        </w:tc>
        <w:tc>
          <w:tcPr>
            <w:tcW w:w="0" w:type="auto"/>
          </w:tcPr>
          <w:p w14:paraId="3E8574E3" w14:textId="77777777" w:rsidR="00044199" w:rsidRPr="00341778" w:rsidRDefault="00000000">
            <w:pPr>
              <w:pStyle w:val="Compact"/>
            </w:pPr>
            <w:r w:rsidRPr="00341778">
              <w:t>82 (77.4%)</w:t>
            </w:r>
          </w:p>
        </w:tc>
        <w:tc>
          <w:tcPr>
            <w:tcW w:w="0" w:type="auto"/>
          </w:tcPr>
          <w:p w14:paraId="3E8574E4" w14:textId="77777777" w:rsidR="00044199" w:rsidRPr="00341778" w:rsidRDefault="00000000">
            <w:pPr>
              <w:pStyle w:val="Compact"/>
            </w:pPr>
            <w:r w:rsidRPr="00341778">
              <w:t>271 (76.8%)</w:t>
            </w:r>
          </w:p>
        </w:tc>
      </w:tr>
      <w:tr w:rsidR="00044199" w:rsidRPr="00341778" w14:paraId="3E8574EA" w14:textId="77777777">
        <w:tc>
          <w:tcPr>
            <w:tcW w:w="0" w:type="auto"/>
          </w:tcPr>
          <w:p w14:paraId="3E8574E6" w14:textId="77777777" w:rsidR="00044199" w:rsidRPr="00341778" w:rsidRDefault="00044199">
            <w:pPr>
              <w:pStyle w:val="Compact"/>
            </w:pPr>
          </w:p>
        </w:tc>
        <w:tc>
          <w:tcPr>
            <w:tcW w:w="0" w:type="auto"/>
          </w:tcPr>
          <w:p w14:paraId="3E8574E7" w14:textId="77777777" w:rsidR="00044199" w:rsidRPr="00341778" w:rsidRDefault="00044199">
            <w:pPr>
              <w:pStyle w:val="Compact"/>
            </w:pPr>
          </w:p>
        </w:tc>
        <w:tc>
          <w:tcPr>
            <w:tcW w:w="0" w:type="auto"/>
          </w:tcPr>
          <w:p w14:paraId="3E8574E8" w14:textId="77777777" w:rsidR="00044199" w:rsidRPr="00341778" w:rsidRDefault="00044199">
            <w:pPr>
              <w:pStyle w:val="Compact"/>
            </w:pPr>
          </w:p>
        </w:tc>
        <w:tc>
          <w:tcPr>
            <w:tcW w:w="0" w:type="auto"/>
          </w:tcPr>
          <w:p w14:paraId="3E8574E9" w14:textId="77777777" w:rsidR="00044199" w:rsidRPr="00341778" w:rsidRDefault="00044199">
            <w:pPr>
              <w:pStyle w:val="Compact"/>
            </w:pPr>
          </w:p>
        </w:tc>
      </w:tr>
      <w:tr w:rsidR="00044199" w:rsidRPr="00341778" w14:paraId="3E8574EF" w14:textId="77777777">
        <w:tc>
          <w:tcPr>
            <w:tcW w:w="0" w:type="auto"/>
          </w:tcPr>
          <w:p w14:paraId="3E8574EB" w14:textId="77777777" w:rsidR="00044199" w:rsidRPr="00341778" w:rsidRDefault="00000000">
            <w:pPr>
              <w:pStyle w:val="Compact"/>
            </w:pPr>
            <w:r w:rsidRPr="00341778">
              <w:t>I</w:t>
            </w:r>
          </w:p>
        </w:tc>
        <w:tc>
          <w:tcPr>
            <w:tcW w:w="0" w:type="auto"/>
          </w:tcPr>
          <w:p w14:paraId="3E8574EC" w14:textId="77777777" w:rsidR="00044199" w:rsidRPr="00341778" w:rsidRDefault="00000000">
            <w:pPr>
              <w:pStyle w:val="Compact"/>
            </w:pPr>
            <w:r w:rsidRPr="00341778">
              <w:t>22 (8.9%)</w:t>
            </w:r>
          </w:p>
        </w:tc>
        <w:tc>
          <w:tcPr>
            <w:tcW w:w="0" w:type="auto"/>
          </w:tcPr>
          <w:p w14:paraId="3E8574ED" w14:textId="77777777" w:rsidR="00044199" w:rsidRPr="00341778" w:rsidRDefault="00000000">
            <w:pPr>
              <w:pStyle w:val="Compact"/>
            </w:pPr>
            <w:r w:rsidRPr="00341778">
              <w:t>7 (6.6%)</w:t>
            </w:r>
          </w:p>
        </w:tc>
        <w:tc>
          <w:tcPr>
            <w:tcW w:w="0" w:type="auto"/>
          </w:tcPr>
          <w:p w14:paraId="3E8574EE" w14:textId="77777777" w:rsidR="00044199" w:rsidRPr="00341778" w:rsidRDefault="00000000">
            <w:pPr>
              <w:pStyle w:val="Compact"/>
            </w:pPr>
            <w:r w:rsidRPr="00341778">
              <w:t>29 (8.2%)</w:t>
            </w:r>
          </w:p>
        </w:tc>
      </w:tr>
      <w:tr w:rsidR="00044199" w:rsidRPr="00341778" w14:paraId="3E8574F4" w14:textId="77777777">
        <w:tc>
          <w:tcPr>
            <w:tcW w:w="0" w:type="auto"/>
          </w:tcPr>
          <w:p w14:paraId="3E8574F0" w14:textId="77777777" w:rsidR="00044199" w:rsidRPr="00341778" w:rsidRDefault="00000000">
            <w:pPr>
              <w:pStyle w:val="Compact"/>
            </w:pPr>
            <w:r w:rsidRPr="00341778">
              <w:t>II</w:t>
            </w:r>
          </w:p>
        </w:tc>
        <w:tc>
          <w:tcPr>
            <w:tcW w:w="0" w:type="auto"/>
          </w:tcPr>
          <w:p w14:paraId="3E8574F1" w14:textId="77777777" w:rsidR="00044199" w:rsidRPr="00341778" w:rsidRDefault="00000000">
            <w:pPr>
              <w:pStyle w:val="Compact"/>
            </w:pPr>
            <w:r w:rsidRPr="00341778">
              <w:t>75 (30.4%)</w:t>
            </w:r>
          </w:p>
        </w:tc>
        <w:tc>
          <w:tcPr>
            <w:tcW w:w="0" w:type="auto"/>
          </w:tcPr>
          <w:p w14:paraId="3E8574F2" w14:textId="77777777" w:rsidR="00044199" w:rsidRPr="00341778" w:rsidRDefault="00000000">
            <w:pPr>
              <w:pStyle w:val="Compact"/>
            </w:pPr>
            <w:r w:rsidRPr="00341778">
              <w:t>22 (20.8%)</w:t>
            </w:r>
          </w:p>
        </w:tc>
        <w:tc>
          <w:tcPr>
            <w:tcW w:w="0" w:type="auto"/>
          </w:tcPr>
          <w:p w14:paraId="3E8574F3" w14:textId="77777777" w:rsidR="00044199" w:rsidRPr="00341778" w:rsidRDefault="00000000">
            <w:pPr>
              <w:pStyle w:val="Compact"/>
            </w:pPr>
            <w:r w:rsidRPr="00341778">
              <w:t>97 (27.5%)</w:t>
            </w:r>
          </w:p>
        </w:tc>
      </w:tr>
      <w:tr w:rsidR="00044199" w:rsidRPr="00341778" w14:paraId="3E8574F9" w14:textId="77777777">
        <w:tc>
          <w:tcPr>
            <w:tcW w:w="0" w:type="auto"/>
          </w:tcPr>
          <w:p w14:paraId="3E8574F5" w14:textId="77777777" w:rsidR="00044199" w:rsidRPr="00341778" w:rsidRDefault="00000000">
            <w:pPr>
              <w:pStyle w:val="Compact"/>
            </w:pPr>
            <w:r w:rsidRPr="00341778">
              <w:t>III</w:t>
            </w:r>
          </w:p>
        </w:tc>
        <w:tc>
          <w:tcPr>
            <w:tcW w:w="0" w:type="auto"/>
          </w:tcPr>
          <w:p w14:paraId="3E8574F6" w14:textId="77777777" w:rsidR="00044199" w:rsidRPr="00341778" w:rsidRDefault="00000000">
            <w:pPr>
              <w:pStyle w:val="Compact"/>
            </w:pPr>
            <w:r w:rsidRPr="00341778">
              <w:t>75 (30.4%)</w:t>
            </w:r>
          </w:p>
        </w:tc>
        <w:tc>
          <w:tcPr>
            <w:tcW w:w="0" w:type="auto"/>
          </w:tcPr>
          <w:p w14:paraId="3E8574F7" w14:textId="77777777" w:rsidR="00044199" w:rsidRPr="00341778" w:rsidRDefault="00000000">
            <w:pPr>
              <w:pStyle w:val="Compact"/>
            </w:pPr>
            <w:r w:rsidRPr="00341778">
              <w:t>18 (17.0%)</w:t>
            </w:r>
          </w:p>
        </w:tc>
        <w:tc>
          <w:tcPr>
            <w:tcW w:w="0" w:type="auto"/>
          </w:tcPr>
          <w:p w14:paraId="3E8574F8" w14:textId="77777777" w:rsidR="00044199" w:rsidRPr="00341778" w:rsidRDefault="00000000">
            <w:pPr>
              <w:pStyle w:val="Compact"/>
            </w:pPr>
            <w:r w:rsidRPr="00341778">
              <w:t>93 (26.3%)</w:t>
            </w:r>
          </w:p>
        </w:tc>
      </w:tr>
      <w:tr w:rsidR="00044199" w:rsidRPr="00341778" w14:paraId="3E8574FE" w14:textId="77777777">
        <w:tc>
          <w:tcPr>
            <w:tcW w:w="0" w:type="auto"/>
          </w:tcPr>
          <w:p w14:paraId="3E8574FA" w14:textId="77777777" w:rsidR="00044199" w:rsidRPr="00341778" w:rsidRDefault="00000000">
            <w:pPr>
              <w:pStyle w:val="Compact"/>
            </w:pPr>
            <w:r w:rsidRPr="00341778">
              <w:t>IV</w:t>
            </w:r>
          </w:p>
        </w:tc>
        <w:tc>
          <w:tcPr>
            <w:tcW w:w="0" w:type="auto"/>
          </w:tcPr>
          <w:p w14:paraId="3E8574FB" w14:textId="77777777" w:rsidR="00044199" w:rsidRPr="00341778" w:rsidRDefault="00000000">
            <w:pPr>
              <w:pStyle w:val="Compact"/>
            </w:pPr>
            <w:r w:rsidRPr="00341778">
              <w:t>65 (26.3%)</w:t>
            </w:r>
          </w:p>
        </w:tc>
        <w:tc>
          <w:tcPr>
            <w:tcW w:w="0" w:type="auto"/>
          </w:tcPr>
          <w:p w14:paraId="3E8574FC" w14:textId="77777777" w:rsidR="00044199" w:rsidRPr="00341778" w:rsidRDefault="00000000">
            <w:pPr>
              <w:pStyle w:val="Compact"/>
            </w:pPr>
            <w:r w:rsidRPr="00341778">
              <w:t>46 (43.4%)</w:t>
            </w:r>
          </w:p>
        </w:tc>
        <w:tc>
          <w:tcPr>
            <w:tcW w:w="0" w:type="auto"/>
          </w:tcPr>
          <w:p w14:paraId="3E8574FD" w14:textId="77777777" w:rsidR="00044199" w:rsidRPr="00341778" w:rsidRDefault="00000000">
            <w:pPr>
              <w:pStyle w:val="Compact"/>
            </w:pPr>
            <w:r w:rsidRPr="00341778">
              <w:t>111 (31.4%)</w:t>
            </w:r>
          </w:p>
        </w:tc>
      </w:tr>
      <w:tr w:rsidR="00044199" w:rsidRPr="00341778" w14:paraId="3E857503" w14:textId="77777777">
        <w:tc>
          <w:tcPr>
            <w:tcW w:w="0" w:type="auto"/>
          </w:tcPr>
          <w:p w14:paraId="3E8574FF" w14:textId="77777777" w:rsidR="00044199" w:rsidRPr="00341778" w:rsidRDefault="00000000">
            <w:pPr>
              <w:pStyle w:val="Compact"/>
            </w:pPr>
            <w:r w:rsidRPr="00341778">
              <w:t>Missing</w:t>
            </w:r>
          </w:p>
        </w:tc>
        <w:tc>
          <w:tcPr>
            <w:tcW w:w="0" w:type="auto"/>
          </w:tcPr>
          <w:p w14:paraId="3E857500" w14:textId="77777777" w:rsidR="00044199" w:rsidRPr="00341778" w:rsidRDefault="00000000">
            <w:pPr>
              <w:pStyle w:val="Compact"/>
            </w:pPr>
            <w:r w:rsidRPr="00341778">
              <w:t>10 (4.0%)</w:t>
            </w:r>
          </w:p>
        </w:tc>
        <w:tc>
          <w:tcPr>
            <w:tcW w:w="0" w:type="auto"/>
          </w:tcPr>
          <w:p w14:paraId="3E857501" w14:textId="77777777" w:rsidR="00044199" w:rsidRPr="00341778" w:rsidRDefault="00000000">
            <w:pPr>
              <w:pStyle w:val="Compact"/>
            </w:pPr>
            <w:r w:rsidRPr="00341778">
              <w:t>13 (12.3%)</w:t>
            </w:r>
          </w:p>
        </w:tc>
        <w:tc>
          <w:tcPr>
            <w:tcW w:w="0" w:type="auto"/>
          </w:tcPr>
          <w:p w14:paraId="3E857502" w14:textId="77777777" w:rsidR="00044199" w:rsidRPr="00341778" w:rsidRDefault="00000000">
            <w:pPr>
              <w:pStyle w:val="Compact"/>
            </w:pPr>
            <w:r w:rsidRPr="00341778">
              <w:t>23 (6.5%)</w:t>
            </w:r>
          </w:p>
        </w:tc>
      </w:tr>
      <w:bookmarkEnd w:id="4"/>
    </w:tbl>
    <w:p w14:paraId="3E857504" w14:textId="77777777" w:rsidR="00044199" w:rsidRPr="00341778" w:rsidRDefault="00044199">
      <w:pPr>
        <w:pStyle w:val="Corpodetexto"/>
      </w:pPr>
    </w:p>
    <w:p w14:paraId="3E857505" w14:textId="77777777" w:rsidR="00044199" w:rsidRPr="00341778" w:rsidRDefault="00000000">
      <w:pPr>
        <w:pStyle w:val="TableCaption"/>
      </w:pPr>
      <w:bookmarkStart w:id="5" w:name="tab:stats_ipop_control"/>
      <w:r w:rsidRPr="00341778">
        <w:t xml:space="preserve">Descriptive statistics of </w:t>
      </w:r>
      <w:proofErr w:type="spellStart"/>
      <w:r w:rsidRPr="00341778">
        <w:t>palbociclib</w:t>
      </w:r>
      <w:proofErr w:type="spellEnd"/>
      <w:r w:rsidRPr="00341778">
        <w:t xml:space="preserve"> and </w:t>
      </w:r>
      <w:proofErr w:type="spellStart"/>
      <w:r w:rsidRPr="00341778">
        <w:t>ribociclib</w:t>
      </w:r>
      <w:proofErr w:type="spellEnd"/>
      <w:r w:rsidRPr="00341778">
        <w:t xml:space="preserve"> (1st line) group vs hormonotherapy</w:t>
      </w:r>
    </w:p>
    <w:tbl>
      <w:tblPr>
        <w:tblStyle w:val="Table"/>
        <w:tblW w:w="0" w:type="auto"/>
        <w:tblLook w:val="0020" w:firstRow="1" w:lastRow="0" w:firstColumn="0" w:lastColumn="0" w:noHBand="0" w:noVBand="0"/>
        <w:tblCaption w:val="Descriptive statistics of palbociclib and ribociclib (1st line) group vs hormonotherapy"/>
      </w:tblPr>
      <w:tblGrid>
        <w:gridCol w:w="2128"/>
        <w:gridCol w:w="1883"/>
        <w:gridCol w:w="1883"/>
        <w:gridCol w:w="1883"/>
      </w:tblGrid>
      <w:tr w:rsidR="00044199" w:rsidRPr="00341778" w14:paraId="3E85750A" w14:textId="77777777" w:rsidTr="00044199">
        <w:trPr>
          <w:cnfStyle w:val="100000000000" w:firstRow="1" w:lastRow="0" w:firstColumn="0" w:lastColumn="0" w:oddVBand="0" w:evenVBand="0" w:oddHBand="0" w:evenHBand="0" w:firstRowFirstColumn="0" w:firstRowLastColumn="0" w:lastRowFirstColumn="0" w:lastRowLastColumn="0"/>
          <w:tblHeader/>
        </w:trPr>
        <w:tc>
          <w:tcPr>
            <w:tcW w:w="0" w:type="auto"/>
          </w:tcPr>
          <w:p w14:paraId="3E857506" w14:textId="77777777" w:rsidR="00044199" w:rsidRPr="00341778" w:rsidRDefault="00000000">
            <w:pPr>
              <w:pStyle w:val="Compact"/>
            </w:pPr>
            <w:r w:rsidRPr="00341778">
              <w:t> </w:t>
            </w:r>
          </w:p>
        </w:tc>
        <w:tc>
          <w:tcPr>
            <w:tcW w:w="0" w:type="auto"/>
          </w:tcPr>
          <w:p w14:paraId="3E857507" w14:textId="77777777" w:rsidR="00044199" w:rsidRPr="00341778" w:rsidRDefault="00000000">
            <w:pPr>
              <w:pStyle w:val="Compact"/>
            </w:pPr>
            <w:r w:rsidRPr="00341778">
              <w:t>CDK4/6</w:t>
            </w:r>
          </w:p>
        </w:tc>
        <w:tc>
          <w:tcPr>
            <w:tcW w:w="0" w:type="auto"/>
          </w:tcPr>
          <w:p w14:paraId="3E857508" w14:textId="77777777" w:rsidR="00044199" w:rsidRPr="00341778" w:rsidRDefault="00000000">
            <w:pPr>
              <w:pStyle w:val="Compact"/>
            </w:pPr>
            <w:r w:rsidRPr="00341778">
              <w:t>Chemo</w:t>
            </w:r>
          </w:p>
        </w:tc>
        <w:tc>
          <w:tcPr>
            <w:tcW w:w="0" w:type="auto"/>
          </w:tcPr>
          <w:p w14:paraId="3E857509" w14:textId="77777777" w:rsidR="00044199" w:rsidRPr="00341778" w:rsidRDefault="00000000">
            <w:pPr>
              <w:pStyle w:val="Compact"/>
            </w:pPr>
            <w:r w:rsidRPr="00341778">
              <w:t>Overall</w:t>
            </w:r>
          </w:p>
        </w:tc>
      </w:tr>
      <w:tr w:rsidR="00044199" w:rsidRPr="00341778" w14:paraId="3E85750F" w14:textId="77777777">
        <w:tc>
          <w:tcPr>
            <w:tcW w:w="0" w:type="auto"/>
          </w:tcPr>
          <w:p w14:paraId="3E85750B" w14:textId="77777777" w:rsidR="00044199" w:rsidRPr="00341778" w:rsidRDefault="00044199">
            <w:pPr>
              <w:pStyle w:val="Compact"/>
            </w:pPr>
          </w:p>
        </w:tc>
        <w:tc>
          <w:tcPr>
            <w:tcW w:w="0" w:type="auto"/>
          </w:tcPr>
          <w:p w14:paraId="3E85750C" w14:textId="77777777" w:rsidR="00044199" w:rsidRPr="00341778" w:rsidRDefault="00000000">
            <w:pPr>
              <w:pStyle w:val="Compact"/>
            </w:pPr>
            <w:r w:rsidRPr="00341778">
              <w:t>(N=225)</w:t>
            </w:r>
          </w:p>
        </w:tc>
        <w:tc>
          <w:tcPr>
            <w:tcW w:w="0" w:type="auto"/>
          </w:tcPr>
          <w:p w14:paraId="3E85750D" w14:textId="77777777" w:rsidR="00044199" w:rsidRPr="00341778" w:rsidRDefault="00000000">
            <w:pPr>
              <w:pStyle w:val="Compact"/>
            </w:pPr>
            <w:r w:rsidRPr="00341778">
              <w:t>(N=43)</w:t>
            </w:r>
          </w:p>
        </w:tc>
        <w:tc>
          <w:tcPr>
            <w:tcW w:w="0" w:type="auto"/>
          </w:tcPr>
          <w:p w14:paraId="3E85750E" w14:textId="77777777" w:rsidR="00044199" w:rsidRPr="00341778" w:rsidRDefault="00000000">
            <w:pPr>
              <w:pStyle w:val="Compact"/>
            </w:pPr>
            <w:r w:rsidRPr="00341778">
              <w:t>(N=268)</w:t>
            </w:r>
          </w:p>
        </w:tc>
      </w:tr>
      <w:tr w:rsidR="00044199" w:rsidRPr="00341778" w14:paraId="3E857514" w14:textId="77777777">
        <w:tc>
          <w:tcPr>
            <w:tcW w:w="0" w:type="auto"/>
          </w:tcPr>
          <w:p w14:paraId="3E857510" w14:textId="77777777" w:rsidR="00044199" w:rsidRPr="00341778" w:rsidRDefault="00044199">
            <w:pPr>
              <w:pStyle w:val="Compact"/>
            </w:pPr>
          </w:p>
        </w:tc>
        <w:tc>
          <w:tcPr>
            <w:tcW w:w="0" w:type="auto"/>
          </w:tcPr>
          <w:p w14:paraId="3E857511" w14:textId="77777777" w:rsidR="00044199" w:rsidRPr="00341778" w:rsidRDefault="00044199">
            <w:pPr>
              <w:pStyle w:val="Compact"/>
            </w:pPr>
          </w:p>
        </w:tc>
        <w:tc>
          <w:tcPr>
            <w:tcW w:w="0" w:type="auto"/>
          </w:tcPr>
          <w:p w14:paraId="3E857512" w14:textId="77777777" w:rsidR="00044199" w:rsidRPr="00341778" w:rsidRDefault="00044199">
            <w:pPr>
              <w:pStyle w:val="Compact"/>
            </w:pPr>
          </w:p>
        </w:tc>
        <w:tc>
          <w:tcPr>
            <w:tcW w:w="0" w:type="auto"/>
          </w:tcPr>
          <w:p w14:paraId="3E857513" w14:textId="77777777" w:rsidR="00044199" w:rsidRPr="00341778" w:rsidRDefault="00044199">
            <w:pPr>
              <w:pStyle w:val="Compact"/>
            </w:pPr>
          </w:p>
        </w:tc>
      </w:tr>
      <w:tr w:rsidR="00044199" w:rsidRPr="00341778" w14:paraId="3E857519" w14:textId="77777777">
        <w:tc>
          <w:tcPr>
            <w:tcW w:w="0" w:type="auto"/>
          </w:tcPr>
          <w:p w14:paraId="3E857515" w14:textId="77777777" w:rsidR="00044199" w:rsidRPr="00341778" w:rsidRDefault="00000000">
            <w:pPr>
              <w:pStyle w:val="Compact"/>
            </w:pPr>
            <w:r w:rsidRPr="00341778">
              <w:t>Mean (SD)</w:t>
            </w:r>
          </w:p>
        </w:tc>
        <w:tc>
          <w:tcPr>
            <w:tcW w:w="0" w:type="auto"/>
          </w:tcPr>
          <w:p w14:paraId="3E857516" w14:textId="77777777" w:rsidR="00044199" w:rsidRPr="00341778" w:rsidRDefault="00000000">
            <w:pPr>
              <w:pStyle w:val="Compact"/>
            </w:pPr>
            <w:r w:rsidRPr="00341778">
              <w:t>59.1 (11.5)</w:t>
            </w:r>
          </w:p>
        </w:tc>
        <w:tc>
          <w:tcPr>
            <w:tcW w:w="0" w:type="auto"/>
          </w:tcPr>
          <w:p w14:paraId="3E857517" w14:textId="77777777" w:rsidR="00044199" w:rsidRPr="00341778" w:rsidRDefault="00000000">
            <w:pPr>
              <w:pStyle w:val="Compact"/>
            </w:pPr>
            <w:r w:rsidRPr="00341778">
              <w:t>60.1 (12.4)</w:t>
            </w:r>
          </w:p>
        </w:tc>
        <w:tc>
          <w:tcPr>
            <w:tcW w:w="0" w:type="auto"/>
          </w:tcPr>
          <w:p w14:paraId="3E857518" w14:textId="77777777" w:rsidR="00044199" w:rsidRPr="00341778" w:rsidRDefault="00000000">
            <w:pPr>
              <w:pStyle w:val="Compact"/>
            </w:pPr>
            <w:r w:rsidRPr="00341778">
              <w:t>59.3 (11.6)</w:t>
            </w:r>
          </w:p>
        </w:tc>
      </w:tr>
      <w:tr w:rsidR="00044199" w:rsidRPr="00341778" w14:paraId="3E85751E" w14:textId="77777777">
        <w:tc>
          <w:tcPr>
            <w:tcW w:w="0" w:type="auto"/>
          </w:tcPr>
          <w:p w14:paraId="3E85751A" w14:textId="77777777" w:rsidR="00044199" w:rsidRPr="00341778" w:rsidRDefault="00000000">
            <w:pPr>
              <w:pStyle w:val="Compact"/>
            </w:pPr>
            <w:r w:rsidRPr="00341778">
              <w:t>Median [Min, Max]</w:t>
            </w:r>
          </w:p>
        </w:tc>
        <w:tc>
          <w:tcPr>
            <w:tcW w:w="0" w:type="auto"/>
          </w:tcPr>
          <w:p w14:paraId="3E85751B" w14:textId="77777777" w:rsidR="00044199" w:rsidRPr="00341778" w:rsidRDefault="00000000">
            <w:pPr>
              <w:pStyle w:val="Compact"/>
            </w:pPr>
            <w:r w:rsidRPr="00341778">
              <w:t>59.0 [28.0, 84.0]</w:t>
            </w:r>
          </w:p>
        </w:tc>
        <w:tc>
          <w:tcPr>
            <w:tcW w:w="0" w:type="auto"/>
          </w:tcPr>
          <w:p w14:paraId="3E85751C" w14:textId="77777777" w:rsidR="00044199" w:rsidRPr="00341778" w:rsidRDefault="00000000">
            <w:pPr>
              <w:pStyle w:val="Compact"/>
            </w:pPr>
            <w:r w:rsidRPr="00341778">
              <w:t>62.0 [34.0, 85.0]</w:t>
            </w:r>
          </w:p>
        </w:tc>
        <w:tc>
          <w:tcPr>
            <w:tcW w:w="0" w:type="auto"/>
          </w:tcPr>
          <w:p w14:paraId="3E85751D" w14:textId="77777777" w:rsidR="00044199" w:rsidRPr="00341778" w:rsidRDefault="00000000">
            <w:pPr>
              <w:pStyle w:val="Compact"/>
            </w:pPr>
            <w:r w:rsidRPr="00341778">
              <w:t>60.0 [28.0, 85.0]</w:t>
            </w:r>
          </w:p>
        </w:tc>
      </w:tr>
      <w:tr w:rsidR="00044199" w:rsidRPr="00341778" w14:paraId="3E857523" w14:textId="77777777">
        <w:tc>
          <w:tcPr>
            <w:tcW w:w="0" w:type="auto"/>
          </w:tcPr>
          <w:p w14:paraId="3E85751F" w14:textId="77777777" w:rsidR="00044199" w:rsidRPr="00341778" w:rsidRDefault="00044199">
            <w:pPr>
              <w:pStyle w:val="Compact"/>
            </w:pPr>
          </w:p>
        </w:tc>
        <w:tc>
          <w:tcPr>
            <w:tcW w:w="0" w:type="auto"/>
          </w:tcPr>
          <w:p w14:paraId="3E857520" w14:textId="77777777" w:rsidR="00044199" w:rsidRPr="00341778" w:rsidRDefault="00044199">
            <w:pPr>
              <w:pStyle w:val="Compact"/>
            </w:pPr>
          </w:p>
        </w:tc>
        <w:tc>
          <w:tcPr>
            <w:tcW w:w="0" w:type="auto"/>
          </w:tcPr>
          <w:p w14:paraId="3E857521" w14:textId="77777777" w:rsidR="00044199" w:rsidRPr="00341778" w:rsidRDefault="00044199">
            <w:pPr>
              <w:pStyle w:val="Compact"/>
            </w:pPr>
          </w:p>
        </w:tc>
        <w:tc>
          <w:tcPr>
            <w:tcW w:w="0" w:type="auto"/>
          </w:tcPr>
          <w:p w14:paraId="3E857522" w14:textId="77777777" w:rsidR="00044199" w:rsidRPr="00341778" w:rsidRDefault="00044199">
            <w:pPr>
              <w:pStyle w:val="Compact"/>
            </w:pPr>
          </w:p>
        </w:tc>
      </w:tr>
      <w:tr w:rsidR="00044199" w:rsidRPr="00341778" w14:paraId="3E857528" w14:textId="77777777">
        <w:tc>
          <w:tcPr>
            <w:tcW w:w="0" w:type="auto"/>
          </w:tcPr>
          <w:p w14:paraId="3E857524" w14:textId="77777777" w:rsidR="00044199" w:rsidRPr="00341778" w:rsidRDefault="00000000">
            <w:pPr>
              <w:pStyle w:val="Compact"/>
            </w:pPr>
            <w:r w:rsidRPr="00341778">
              <w:t>Palbociclib</w:t>
            </w:r>
          </w:p>
        </w:tc>
        <w:tc>
          <w:tcPr>
            <w:tcW w:w="0" w:type="auto"/>
          </w:tcPr>
          <w:p w14:paraId="3E857525" w14:textId="77777777" w:rsidR="00044199" w:rsidRPr="00341778" w:rsidRDefault="00000000">
            <w:pPr>
              <w:pStyle w:val="Compact"/>
            </w:pPr>
            <w:r w:rsidRPr="00341778">
              <w:t>127 (56.4%)</w:t>
            </w:r>
          </w:p>
        </w:tc>
        <w:tc>
          <w:tcPr>
            <w:tcW w:w="0" w:type="auto"/>
          </w:tcPr>
          <w:p w14:paraId="3E857526" w14:textId="77777777" w:rsidR="00044199" w:rsidRPr="00341778" w:rsidRDefault="00000000">
            <w:pPr>
              <w:pStyle w:val="Compact"/>
            </w:pPr>
            <w:r w:rsidRPr="00341778">
              <w:t>0 (0%)</w:t>
            </w:r>
          </w:p>
        </w:tc>
        <w:tc>
          <w:tcPr>
            <w:tcW w:w="0" w:type="auto"/>
          </w:tcPr>
          <w:p w14:paraId="3E857527" w14:textId="77777777" w:rsidR="00044199" w:rsidRPr="00341778" w:rsidRDefault="00000000">
            <w:pPr>
              <w:pStyle w:val="Compact"/>
            </w:pPr>
            <w:r w:rsidRPr="00341778">
              <w:t>127 (47.4%)</w:t>
            </w:r>
          </w:p>
        </w:tc>
      </w:tr>
      <w:tr w:rsidR="00044199" w:rsidRPr="00341778" w14:paraId="3E85752D" w14:textId="77777777">
        <w:tc>
          <w:tcPr>
            <w:tcW w:w="0" w:type="auto"/>
          </w:tcPr>
          <w:p w14:paraId="3E857529" w14:textId="77777777" w:rsidR="00044199" w:rsidRPr="00341778" w:rsidRDefault="00000000">
            <w:pPr>
              <w:pStyle w:val="Compact"/>
            </w:pPr>
            <w:proofErr w:type="spellStart"/>
            <w:r w:rsidRPr="00341778">
              <w:t>Ribociclib</w:t>
            </w:r>
            <w:proofErr w:type="spellEnd"/>
          </w:p>
        </w:tc>
        <w:tc>
          <w:tcPr>
            <w:tcW w:w="0" w:type="auto"/>
          </w:tcPr>
          <w:p w14:paraId="3E85752A" w14:textId="77777777" w:rsidR="00044199" w:rsidRPr="00341778" w:rsidRDefault="00000000">
            <w:pPr>
              <w:pStyle w:val="Compact"/>
            </w:pPr>
            <w:r w:rsidRPr="00341778">
              <w:t>98 (43.6%)</w:t>
            </w:r>
          </w:p>
        </w:tc>
        <w:tc>
          <w:tcPr>
            <w:tcW w:w="0" w:type="auto"/>
          </w:tcPr>
          <w:p w14:paraId="3E85752B" w14:textId="77777777" w:rsidR="00044199" w:rsidRPr="00341778" w:rsidRDefault="00000000">
            <w:pPr>
              <w:pStyle w:val="Compact"/>
            </w:pPr>
            <w:r w:rsidRPr="00341778">
              <w:t>0 (0%)</w:t>
            </w:r>
          </w:p>
        </w:tc>
        <w:tc>
          <w:tcPr>
            <w:tcW w:w="0" w:type="auto"/>
          </w:tcPr>
          <w:p w14:paraId="3E85752C" w14:textId="77777777" w:rsidR="00044199" w:rsidRPr="00341778" w:rsidRDefault="00000000">
            <w:pPr>
              <w:pStyle w:val="Compact"/>
            </w:pPr>
            <w:r w:rsidRPr="00341778">
              <w:t>98 (36.6%)</w:t>
            </w:r>
          </w:p>
        </w:tc>
      </w:tr>
      <w:tr w:rsidR="00044199" w:rsidRPr="00341778" w14:paraId="3E857532" w14:textId="77777777">
        <w:tc>
          <w:tcPr>
            <w:tcW w:w="0" w:type="auto"/>
          </w:tcPr>
          <w:p w14:paraId="3E85752E" w14:textId="77777777" w:rsidR="00044199" w:rsidRPr="00341778" w:rsidRDefault="00000000">
            <w:pPr>
              <w:pStyle w:val="Compact"/>
            </w:pPr>
            <w:proofErr w:type="spellStart"/>
            <w:r w:rsidRPr="00341778">
              <w:t>Anastrozol</w:t>
            </w:r>
            <w:proofErr w:type="spellEnd"/>
          </w:p>
        </w:tc>
        <w:tc>
          <w:tcPr>
            <w:tcW w:w="0" w:type="auto"/>
          </w:tcPr>
          <w:p w14:paraId="3E85752F" w14:textId="77777777" w:rsidR="00044199" w:rsidRPr="00341778" w:rsidRDefault="00000000">
            <w:pPr>
              <w:pStyle w:val="Compact"/>
            </w:pPr>
            <w:r w:rsidRPr="00341778">
              <w:t>0 (0%)</w:t>
            </w:r>
          </w:p>
        </w:tc>
        <w:tc>
          <w:tcPr>
            <w:tcW w:w="0" w:type="auto"/>
          </w:tcPr>
          <w:p w14:paraId="3E857530" w14:textId="77777777" w:rsidR="00044199" w:rsidRPr="00341778" w:rsidRDefault="00000000">
            <w:pPr>
              <w:pStyle w:val="Compact"/>
            </w:pPr>
            <w:r w:rsidRPr="00341778">
              <w:t>3 (7.0%)</w:t>
            </w:r>
          </w:p>
        </w:tc>
        <w:tc>
          <w:tcPr>
            <w:tcW w:w="0" w:type="auto"/>
          </w:tcPr>
          <w:p w14:paraId="3E857531" w14:textId="77777777" w:rsidR="00044199" w:rsidRPr="00341778" w:rsidRDefault="00000000">
            <w:pPr>
              <w:pStyle w:val="Compact"/>
            </w:pPr>
            <w:r w:rsidRPr="00341778">
              <w:t>3 (1.1%)</w:t>
            </w:r>
          </w:p>
        </w:tc>
      </w:tr>
      <w:tr w:rsidR="00044199" w:rsidRPr="00341778" w14:paraId="3E857537" w14:textId="77777777">
        <w:tc>
          <w:tcPr>
            <w:tcW w:w="0" w:type="auto"/>
          </w:tcPr>
          <w:p w14:paraId="3E857533" w14:textId="77777777" w:rsidR="00044199" w:rsidRPr="00341778" w:rsidRDefault="00000000">
            <w:pPr>
              <w:pStyle w:val="Compact"/>
            </w:pPr>
            <w:proofErr w:type="spellStart"/>
            <w:r w:rsidRPr="00341778">
              <w:t>Exemestano</w:t>
            </w:r>
            <w:proofErr w:type="spellEnd"/>
          </w:p>
        </w:tc>
        <w:tc>
          <w:tcPr>
            <w:tcW w:w="0" w:type="auto"/>
          </w:tcPr>
          <w:p w14:paraId="3E857534" w14:textId="77777777" w:rsidR="00044199" w:rsidRPr="00341778" w:rsidRDefault="00000000">
            <w:pPr>
              <w:pStyle w:val="Compact"/>
            </w:pPr>
            <w:r w:rsidRPr="00341778">
              <w:t>0 (0%)</w:t>
            </w:r>
          </w:p>
        </w:tc>
        <w:tc>
          <w:tcPr>
            <w:tcW w:w="0" w:type="auto"/>
          </w:tcPr>
          <w:p w14:paraId="3E857535" w14:textId="77777777" w:rsidR="00044199" w:rsidRPr="00341778" w:rsidRDefault="00000000">
            <w:pPr>
              <w:pStyle w:val="Compact"/>
            </w:pPr>
            <w:r w:rsidRPr="00341778">
              <w:t>4 (9.3%)</w:t>
            </w:r>
          </w:p>
        </w:tc>
        <w:tc>
          <w:tcPr>
            <w:tcW w:w="0" w:type="auto"/>
          </w:tcPr>
          <w:p w14:paraId="3E857536" w14:textId="77777777" w:rsidR="00044199" w:rsidRPr="00341778" w:rsidRDefault="00000000">
            <w:pPr>
              <w:pStyle w:val="Compact"/>
            </w:pPr>
            <w:r w:rsidRPr="00341778">
              <w:t>4 (1.5%)</w:t>
            </w:r>
          </w:p>
        </w:tc>
      </w:tr>
      <w:tr w:rsidR="00044199" w:rsidRPr="00341778" w14:paraId="3E85753C" w14:textId="77777777">
        <w:tc>
          <w:tcPr>
            <w:tcW w:w="0" w:type="auto"/>
          </w:tcPr>
          <w:p w14:paraId="3E857538" w14:textId="77777777" w:rsidR="00044199" w:rsidRPr="00341778" w:rsidRDefault="00000000">
            <w:pPr>
              <w:pStyle w:val="Compact"/>
            </w:pPr>
            <w:proofErr w:type="spellStart"/>
            <w:r w:rsidRPr="00341778">
              <w:t>Fulvestrant</w:t>
            </w:r>
            <w:proofErr w:type="spellEnd"/>
          </w:p>
        </w:tc>
        <w:tc>
          <w:tcPr>
            <w:tcW w:w="0" w:type="auto"/>
          </w:tcPr>
          <w:p w14:paraId="3E857539" w14:textId="77777777" w:rsidR="00044199" w:rsidRPr="00341778" w:rsidRDefault="00000000">
            <w:pPr>
              <w:pStyle w:val="Compact"/>
            </w:pPr>
            <w:r w:rsidRPr="00341778">
              <w:t>0 (0%)</w:t>
            </w:r>
          </w:p>
        </w:tc>
        <w:tc>
          <w:tcPr>
            <w:tcW w:w="0" w:type="auto"/>
          </w:tcPr>
          <w:p w14:paraId="3E85753A" w14:textId="77777777" w:rsidR="00044199" w:rsidRPr="00341778" w:rsidRDefault="00000000">
            <w:pPr>
              <w:pStyle w:val="Compact"/>
            </w:pPr>
            <w:r w:rsidRPr="00341778">
              <w:t>5 (11.6%)</w:t>
            </w:r>
          </w:p>
        </w:tc>
        <w:tc>
          <w:tcPr>
            <w:tcW w:w="0" w:type="auto"/>
          </w:tcPr>
          <w:p w14:paraId="3E85753B" w14:textId="77777777" w:rsidR="00044199" w:rsidRPr="00341778" w:rsidRDefault="00000000">
            <w:pPr>
              <w:pStyle w:val="Compact"/>
            </w:pPr>
            <w:r w:rsidRPr="00341778">
              <w:t>5 (1.9%)</w:t>
            </w:r>
          </w:p>
        </w:tc>
      </w:tr>
      <w:tr w:rsidR="00044199" w:rsidRPr="00341778" w14:paraId="3E857541" w14:textId="77777777">
        <w:tc>
          <w:tcPr>
            <w:tcW w:w="0" w:type="auto"/>
          </w:tcPr>
          <w:p w14:paraId="3E85753D" w14:textId="77777777" w:rsidR="00044199" w:rsidRPr="00341778" w:rsidRDefault="00000000">
            <w:pPr>
              <w:pStyle w:val="Compact"/>
            </w:pPr>
            <w:proofErr w:type="spellStart"/>
            <w:r w:rsidRPr="00341778">
              <w:t>Letrozol</w:t>
            </w:r>
            <w:proofErr w:type="spellEnd"/>
          </w:p>
        </w:tc>
        <w:tc>
          <w:tcPr>
            <w:tcW w:w="0" w:type="auto"/>
          </w:tcPr>
          <w:p w14:paraId="3E85753E" w14:textId="77777777" w:rsidR="00044199" w:rsidRPr="00341778" w:rsidRDefault="00000000">
            <w:pPr>
              <w:pStyle w:val="Compact"/>
            </w:pPr>
            <w:r w:rsidRPr="00341778">
              <w:t>0 (0%)</w:t>
            </w:r>
          </w:p>
        </w:tc>
        <w:tc>
          <w:tcPr>
            <w:tcW w:w="0" w:type="auto"/>
          </w:tcPr>
          <w:p w14:paraId="3E85753F" w14:textId="77777777" w:rsidR="00044199" w:rsidRPr="00341778" w:rsidRDefault="00000000">
            <w:pPr>
              <w:pStyle w:val="Compact"/>
            </w:pPr>
            <w:r w:rsidRPr="00341778">
              <w:t>31 (72.1%)</w:t>
            </w:r>
          </w:p>
        </w:tc>
        <w:tc>
          <w:tcPr>
            <w:tcW w:w="0" w:type="auto"/>
          </w:tcPr>
          <w:p w14:paraId="3E857540" w14:textId="77777777" w:rsidR="00044199" w:rsidRPr="00341778" w:rsidRDefault="00000000">
            <w:pPr>
              <w:pStyle w:val="Compact"/>
            </w:pPr>
            <w:r w:rsidRPr="00341778">
              <w:t>31 (11.6%)</w:t>
            </w:r>
          </w:p>
        </w:tc>
      </w:tr>
      <w:tr w:rsidR="00044199" w:rsidRPr="00341778" w14:paraId="3E857546" w14:textId="77777777">
        <w:tc>
          <w:tcPr>
            <w:tcW w:w="0" w:type="auto"/>
          </w:tcPr>
          <w:p w14:paraId="3E857542" w14:textId="77777777" w:rsidR="00044199" w:rsidRPr="00341778" w:rsidRDefault="00044199">
            <w:pPr>
              <w:pStyle w:val="Compact"/>
            </w:pPr>
          </w:p>
        </w:tc>
        <w:tc>
          <w:tcPr>
            <w:tcW w:w="0" w:type="auto"/>
          </w:tcPr>
          <w:p w14:paraId="3E857543" w14:textId="77777777" w:rsidR="00044199" w:rsidRPr="00341778" w:rsidRDefault="00044199">
            <w:pPr>
              <w:pStyle w:val="Compact"/>
            </w:pPr>
          </w:p>
        </w:tc>
        <w:tc>
          <w:tcPr>
            <w:tcW w:w="0" w:type="auto"/>
          </w:tcPr>
          <w:p w14:paraId="3E857544" w14:textId="77777777" w:rsidR="00044199" w:rsidRPr="00341778" w:rsidRDefault="00044199">
            <w:pPr>
              <w:pStyle w:val="Compact"/>
            </w:pPr>
          </w:p>
        </w:tc>
        <w:tc>
          <w:tcPr>
            <w:tcW w:w="0" w:type="auto"/>
          </w:tcPr>
          <w:p w14:paraId="3E857545" w14:textId="77777777" w:rsidR="00044199" w:rsidRPr="00341778" w:rsidRDefault="00044199">
            <w:pPr>
              <w:pStyle w:val="Compact"/>
            </w:pPr>
          </w:p>
        </w:tc>
      </w:tr>
      <w:tr w:rsidR="00044199" w:rsidRPr="00341778" w14:paraId="3E85754B" w14:textId="77777777">
        <w:tc>
          <w:tcPr>
            <w:tcW w:w="0" w:type="auto"/>
          </w:tcPr>
          <w:p w14:paraId="3E857547" w14:textId="77777777" w:rsidR="00044199" w:rsidRPr="00341778" w:rsidRDefault="00000000">
            <w:pPr>
              <w:pStyle w:val="Compact"/>
            </w:pPr>
            <w:r w:rsidRPr="00341778">
              <w:t>+</w:t>
            </w:r>
          </w:p>
        </w:tc>
        <w:tc>
          <w:tcPr>
            <w:tcW w:w="0" w:type="auto"/>
          </w:tcPr>
          <w:p w14:paraId="3E857548" w14:textId="77777777" w:rsidR="00044199" w:rsidRPr="00341778" w:rsidRDefault="00000000">
            <w:pPr>
              <w:pStyle w:val="Compact"/>
            </w:pPr>
            <w:r w:rsidRPr="00341778">
              <w:t>225 (100%)</w:t>
            </w:r>
          </w:p>
        </w:tc>
        <w:tc>
          <w:tcPr>
            <w:tcW w:w="0" w:type="auto"/>
          </w:tcPr>
          <w:p w14:paraId="3E857549" w14:textId="77777777" w:rsidR="00044199" w:rsidRPr="00341778" w:rsidRDefault="00000000">
            <w:pPr>
              <w:pStyle w:val="Compact"/>
            </w:pPr>
            <w:r w:rsidRPr="00341778">
              <w:t>42 (97.7%)</w:t>
            </w:r>
          </w:p>
        </w:tc>
        <w:tc>
          <w:tcPr>
            <w:tcW w:w="0" w:type="auto"/>
          </w:tcPr>
          <w:p w14:paraId="3E85754A" w14:textId="77777777" w:rsidR="00044199" w:rsidRPr="00341778" w:rsidRDefault="00000000">
            <w:pPr>
              <w:pStyle w:val="Compact"/>
            </w:pPr>
            <w:r w:rsidRPr="00341778">
              <w:t>267 (99.6%)</w:t>
            </w:r>
          </w:p>
        </w:tc>
      </w:tr>
      <w:tr w:rsidR="00044199" w:rsidRPr="00341778" w14:paraId="3E857550" w14:textId="77777777">
        <w:tc>
          <w:tcPr>
            <w:tcW w:w="0" w:type="auto"/>
          </w:tcPr>
          <w:p w14:paraId="3E85754C" w14:textId="77777777" w:rsidR="00044199" w:rsidRPr="00341778" w:rsidRDefault="00000000">
            <w:pPr>
              <w:pStyle w:val="Compact"/>
            </w:pPr>
            <w:r w:rsidRPr="00341778">
              <w:t>-</w:t>
            </w:r>
          </w:p>
        </w:tc>
        <w:tc>
          <w:tcPr>
            <w:tcW w:w="0" w:type="auto"/>
          </w:tcPr>
          <w:p w14:paraId="3E85754D" w14:textId="77777777" w:rsidR="00044199" w:rsidRPr="00341778" w:rsidRDefault="00000000">
            <w:pPr>
              <w:pStyle w:val="Compact"/>
            </w:pPr>
            <w:r w:rsidRPr="00341778">
              <w:t>0 (0%)</w:t>
            </w:r>
          </w:p>
        </w:tc>
        <w:tc>
          <w:tcPr>
            <w:tcW w:w="0" w:type="auto"/>
          </w:tcPr>
          <w:p w14:paraId="3E85754E" w14:textId="77777777" w:rsidR="00044199" w:rsidRPr="00341778" w:rsidRDefault="00000000">
            <w:pPr>
              <w:pStyle w:val="Compact"/>
            </w:pPr>
            <w:r w:rsidRPr="00341778">
              <w:t>1 (2.3%)</w:t>
            </w:r>
          </w:p>
        </w:tc>
        <w:tc>
          <w:tcPr>
            <w:tcW w:w="0" w:type="auto"/>
          </w:tcPr>
          <w:p w14:paraId="3E85754F" w14:textId="77777777" w:rsidR="00044199" w:rsidRPr="00341778" w:rsidRDefault="00000000">
            <w:pPr>
              <w:pStyle w:val="Compact"/>
            </w:pPr>
            <w:r w:rsidRPr="00341778">
              <w:t>1 (0.4%)</w:t>
            </w:r>
          </w:p>
        </w:tc>
      </w:tr>
      <w:tr w:rsidR="00044199" w:rsidRPr="00341778" w14:paraId="3E857555" w14:textId="77777777">
        <w:tc>
          <w:tcPr>
            <w:tcW w:w="0" w:type="auto"/>
          </w:tcPr>
          <w:p w14:paraId="3E857551" w14:textId="77777777" w:rsidR="00044199" w:rsidRPr="00341778" w:rsidRDefault="00044199">
            <w:pPr>
              <w:pStyle w:val="Compact"/>
            </w:pPr>
          </w:p>
        </w:tc>
        <w:tc>
          <w:tcPr>
            <w:tcW w:w="0" w:type="auto"/>
          </w:tcPr>
          <w:p w14:paraId="3E857552" w14:textId="77777777" w:rsidR="00044199" w:rsidRPr="00341778" w:rsidRDefault="00044199">
            <w:pPr>
              <w:pStyle w:val="Compact"/>
            </w:pPr>
          </w:p>
        </w:tc>
        <w:tc>
          <w:tcPr>
            <w:tcW w:w="0" w:type="auto"/>
          </w:tcPr>
          <w:p w14:paraId="3E857553" w14:textId="77777777" w:rsidR="00044199" w:rsidRPr="00341778" w:rsidRDefault="00044199">
            <w:pPr>
              <w:pStyle w:val="Compact"/>
            </w:pPr>
          </w:p>
        </w:tc>
        <w:tc>
          <w:tcPr>
            <w:tcW w:w="0" w:type="auto"/>
          </w:tcPr>
          <w:p w14:paraId="3E857554" w14:textId="77777777" w:rsidR="00044199" w:rsidRPr="00341778" w:rsidRDefault="00044199">
            <w:pPr>
              <w:pStyle w:val="Compact"/>
            </w:pPr>
          </w:p>
        </w:tc>
      </w:tr>
      <w:tr w:rsidR="00044199" w:rsidRPr="00341778" w14:paraId="3E85755A" w14:textId="77777777">
        <w:tc>
          <w:tcPr>
            <w:tcW w:w="0" w:type="auto"/>
          </w:tcPr>
          <w:p w14:paraId="3E857556" w14:textId="77777777" w:rsidR="00044199" w:rsidRPr="00341778" w:rsidRDefault="00000000">
            <w:pPr>
              <w:pStyle w:val="Compact"/>
            </w:pPr>
            <w:r w:rsidRPr="00341778">
              <w:t>+</w:t>
            </w:r>
          </w:p>
        </w:tc>
        <w:tc>
          <w:tcPr>
            <w:tcW w:w="0" w:type="auto"/>
          </w:tcPr>
          <w:p w14:paraId="3E857557" w14:textId="77777777" w:rsidR="00044199" w:rsidRPr="00341778" w:rsidRDefault="00000000">
            <w:pPr>
              <w:pStyle w:val="Compact"/>
            </w:pPr>
            <w:r w:rsidRPr="00341778">
              <w:t>168 (74.7%)</w:t>
            </w:r>
          </w:p>
        </w:tc>
        <w:tc>
          <w:tcPr>
            <w:tcW w:w="0" w:type="auto"/>
          </w:tcPr>
          <w:p w14:paraId="3E857558" w14:textId="77777777" w:rsidR="00044199" w:rsidRPr="00341778" w:rsidRDefault="00000000">
            <w:pPr>
              <w:pStyle w:val="Compact"/>
            </w:pPr>
            <w:r w:rsidRPr="00341778">
              <w:t>27 (62.8%)</w:t>
            </w:r>
          </w:p>
        </w:tc>
        <w:tc>
          <w:tcPr>
            <w:tcW w:w="0" w:type="auto"/>
          </w:tcPr>
          <w:p w14:paraId="3E857559" w14:textId="77777777" w:rsidR="00044199" w:rsidRPr="00341778" w:rsidRDefault="00000000">
            <w:pPr>
              <w:pStyle w:val="Compact"/>
            </w:pPr>
            <w:r w:rsidRPr="00341778">
              <w:t>195 (72.8%)</w:t>
            </w:r>
          </w:p>
        </w:tc>
      </w:tr>
      <w:tr w:rsidR="00044199" w:rsidRPr="00341778" w14:paraId="3E85755F" w14:textId="77777777">
        <w:tc>
          <w:tcPr>
            <w:tcW w:w="0" w:type="auto"/>
          </w:tcPr>
          <w:p w14:paraId="3E85755B" w14:textId="77777777" w:rsidR="00044199" w:rsidRPr="00341778" w:rsidRDefault="00000000">
            <w:pPr>
              <w:pStyle w:val="Compact"/>
            </w:pPr>
            <w:r w:rsidRPr="00341778">
              <w:lastRenderedPageBreak/>
              <w:t>-</w:t>
            </w:r>
          </w:p>
        </w:tc>
        <w:tc>
          <w:tcPr>
            <w:tcW w:w="0" w:type="auto"/>
          </w:tcPr>
          <w:p w14:paraId="3E85755C" w14:textId="77777777" w:rsidR="00044199" w:rsidRPr="00341778" w:rsidRDefault="00000000">
            <w:pPr>
              <w:pStyle w:val="Compact"/>
            </w:pPr>
            <w:r w:rsidRPr="00341778">
              <w:t>57 (25.3%)</w:t>
            </w:r>
          </w:p>
        </w:tc>
        <w:tc>
          <w:tcPr>
            <w:tcW w:w="0" w:type="auto"/>
          </w:tcPr>
          <w:p w14:paraId="3E85755D" w14:textId="77777777" w:rsidR="00044199" w:rsidRPr="00341778" w:rsidRDefault="00000000">
            <w:pPr>
              <w:pStyle w:val="Compact"/>
            </w:pPr>
            <w:r w:rsidRPr="00341778">
              <w:t>16 (37.2%)</w:t>
            </w:r>
          </w:p>
        </w:tc>
        <w:tc>
          <w:tcPr>
            <w:tcW w:w="0" w:type="auto"/>
          </w:tcPr>
          <w:p w14:paraId="3E85755E" w14:textId="77777777" w:rsidR="00044199" w:rsidRPr="00341778" w:rsidRDefault="00000000">
            <w:pPr>
              <w:pStyle w:val="Compact"/>
            </w:pPr>
            <w:r w:rsidRPr="00341778">
              <w:t>73 (27.2%)</w:t>
            </w:r>
          </w:p>
        </w:tc>
      </w:tr>
      <w:tr w:rsidR="00044199" w:rsidRPr="00341778" w14:paraId="3E857564" w14:textId="77777777">
        <w:tc>
          <w:tcPr>
            <w:tcW w:w="0" w:type="auto"/>
          </w:tcPr>
          <w:p w14:paraId="3E857560" w14:textId="77777777" w:rsidR="00044199" w:rsidRPr="00341778" w:rsidRDefault="00044199">
            <w:pPr>
              <w:pStyle w:val="Compact"/>
            </w:pPr>
          </w:p>
        </w:tc>
        <w:tc>
          <w:tcPr>
            <w:tcW w:w="0" w:type="auto"/>
          </w:tcPr>
          <w:p w14:paraId="3E857561" w14:textId="77777777" w:rsidR="00044199" w:rsidRPr="00341778" w:rsidRDefault="00044199">
            <w:pPr>
              <w:pStyle w:val="Compact"/>
            </w:pPr>
          </w:p>
        </w:tc>
        <w:tc>
          <w:tcPr>
            <w:tcW w:w="0" w:type="auto"/>
          </w:tcPr>
          <w:p w14:paraId="3E857562" w14:textId="77777777" w:rsidR="00044199" w:rsidRPr="00341778" w:rsidRDefault="00044199">
            <w:pPr>
              <w:pStyle w:val="Compact"/>
            </w:pPr>
          </w:p>
        </w:tc>
        <w:tc>
          <w:tcPr>
            <w:tcW w:w="0" w:type="auto"/>
          </w:tcPr>
          <w:p w14:paraId="3E857563" w14:textId="77777777" w:rsidR="00044199" w:rsidRPr="00341778" w:rsidRDefault="00044199">
            <w:pPr>
              <w:pStyle w:val="Compact"/>
            </w:pPr>
          </w:p>
        </w:tc>
      </w:tr>
      <w:tr w:rsidR="00044199" w:rsidRPr="00341778" w14:paraId="3E857569" w14:textId="77777777">
        <w:tc>
          <w:tcPr>
            <w:tcW w:w="0" w:type="auto"/>
          </w:tcPr>
          <w:p w14:paraId="3E857565" w14:textId="77777777" w:rsidR="00044199" w:rsidRPr="00341778" w:rsidRDefault="00000000">
            <w:pPr>
              <w:pStyle w:val="Compact"/>
            </w:pPr>
            <w:r w:rsidRPr="00341778">
              <w:t>I</w:t>
            </w:r>
          </w:p>
        </w:tc>
        <w:tc>
          <w:tcPr>
            <w:tcW w:w="0" w:type="auto"/>
          </w:tcPr>
          <w:p w14:paraId="3E857566" w14:textId="77777777" w:rsidR="00044199" w:rsidRPr="00341778" w:rsidRDefault="00000000">
            <w:pPr>
              <w:pStyle w:val="Compact"/>
            </w:pPr>
            <w:r w:rsidRPr="00341778">
              <w:t>16 (7.1%)</w:t>
            </w:r>
          </w:p>
        </w:tc>
        <w:tc>
          <w:tcPr>
            <w:tcW w:w="0" w:type="auto"/>
          </w:tcPr>
          <w:p w14:paraId="3E857567" w14:textId="77777777" w:rsidR="00044199" w:rsidRPr="00341778" w:rsidRDefault="00000000">
            <w:pPr>
              <w:pStyle w:val="Compact"/>
            </w:pPr>
            <w:r w:rsidRPr="00341778">
              <w:t>3 (7.0%)</w:t>
            </w:r>
          </w:p>
        </w:tc>
        <w:tc>
          <w:tcPr>
            <w:tcW w:w="0" w:type="auto"/>
          </w:tcPr>
          <w:p w14:paraId="3E857568" w14:textId="77777777" w:rsidR="00044199" w:rsidRPr="00341778" w:rsidRDefault="00000000">
            <w:pPr>
              <w:pStyle w:val="Compact"/>
            </w:pPr>
            <w:r w:rsidRPr="00341778">
              <w:t>19 (7.1%)</w:t>
            </w:r>
          </w:p>
        </w:tc>
      </w:tr>
      <w:tr w:rsidR="00044199" w:rsidRPr="00341778" w14:paraId="3E85756E" w14:textId="77777777">
        <w:tc>
          <w:tcPr>
            <w:tcW w:w="0" w:type="auto"/>
          </w:tcPr>
          <w:p w14:paraId="3E85756A" w14:textId="77777777" w:rsidR="00044199" w:rsidRPr="00341778" w:rsidRDefault="00000000">
            <w:pPr>
              <w:pStyle w:val="Compact"/>
            </w:pPr>
            <w:r w:rsidRPr="00341778">
              <w:t>II</w:t>
            </w:r>
          </w:p>
        </w:tc>
        <w:tc>
          <w:tcPr>
            <w:tcW w:w="0" w:type="auto"/>
          </w:tcPr>
          <w:p w14:paraId="3E85756B" w14:textId="77777777" w:rsidR="00044199" w:rsidRPr="00341778" w:rsidRDefault="00000000">
            <w:pPr>
              <w:pStyle w:val="Compact"/>
            </w:pPr>
            <w:r w:rsidRPr="00341778">
              <w:t>55 (24.4%)</w:t>
            </w:r>
          </w:p>
        </w:tc>
        <w:tc>
          <w:tcPr>
            <w:tcW w:w="0" w:type="auto"/>
          </w:tcPr>
          <w:p w14:paraId="3E85756C" w14:textId="77777777" w:rsidR="00044199" w:rsidRPr="00341778" w:rsidRDefault="00000000">
            <w:pPr>
              <w:pStyle w:val="Compact"/>
            </w:pPr>
            <w:r w:rsidRPr="00341778">
              <w:t>20 (46.5%)</w:t>
            </w:r>
          </w:p>
        </w:tc>
        <w:tc>
          <w:tcPr>
            <w:tcW w:w="0" w:type="auto"/>
          </w:tcPr>
          <w:p w14:paraId="3E85756D" w14:textId="77777777" w:rsidR="00044199" w:rsidRPr="00341778" w:rsidRDefault="00000000">
            <w:pPr>
              <w:pStyle w:val="Compact"/>
            </w:pPr>
            <w:r w:rsidRPr="00341778">
              <w:t>75 (28.0%)</w:t>
            </w:r>
          </w:p>
        </w:tc>
      </w:tr>
      <w:tr w:rsidR="00044199" w:rsidRPr="00341778" w14:paraId="3E857573" w14:textId="77777777">
        <w:tc>
          <w:tcPr>
            <w:tcW w:w="0" w:type="auto"/>
          </w:tcPr>
          <w:p w14:paraId="3E85756F" w14:textId="77777777" w:rsidR="00044199" w:rsidRPr="00341778" w:rsidRDefault="00000000">
            <w:pPr>
              <w:pStyle w:val="Compact"/>
            </w:pPr>
            <w:r w:rsidRPr="00341778">
              <w:t>III</w:t>
            </w:r>
          </w:p>
        </w:tc>
        <w:tc>
          <w:tcPr>
            <w:tcW w:w="0" w:type="auto"/>
          </w:tcPr>
          <w:p w14:paraId="3E857570" w14:textId="77777777" w:rsidR="00044199" w:rsidRPr="00341778" w:rsidRDefault="00000000">
            <w:pPr>
              <w:pStyle w:val="Compact"/>
            </w:pPr>
            <w:r w:rsidRPr="00341778">
              <w:t>62 (27.6%)</w:t>
            </w:r>
          </w:p>
        </w:tc>
        <w:tc>
          <w:tcPr>
            <w:tcW w:w="0" w:type="auto"/>
          </w:tcPr>
          <w:p w14:paraId="3E857571" w14:textId="77777777" w:rsidR="00044199" w:rsidRPr="00341778" w:rsidRDefault="00000000">
            <w:pPr>
              <w:pStyle w:val="Compact"/>
            </w:pPr>
            <w:r w:rsidRPr="00341778">
              <w:t>11 (25.6%)</w:t>
            </w:r>
          </w:p>
        </w:tc>
        <w:tc>
          <w:tcPr>
            <w:tcW w:w="0" w:type="auto"/>
          </w:tcPr>
          <w:p w14:paraId="3E857572" w14:textId="77777777" w:rsidR="00044199" w:rsidRPr="00341778" w:rsidRDefault="00000000">
            <w:pPr>
              <w:pStyle w:val="Compact"/>
            </w:pPr>
            <w:r w:rsidRPr="00341778">
              <w:t>73 (27.2%)</w:t>
            </w:r>
          </w:p>
        </w:tc>
      </w:tr>
      <w:tr w:rsidR="00044199" w:rsidRPr="00341778" w14:paraId="3E857578" w14:textId="77777777">
        <w:tc>
          <w:tcPr>
            <w:tcW w:w="0" w:type="auto"/>
          </w:tcPr>
          <w:p w14:paraId="3E857574" w14:textId="77777777" w:rsidR="00044199" w:rsidRPr="00341778" w:rsidRDefault="00000000">
            <w:pPr>
              <w:pStyle w:val="Compact"/>
            </w:pPr>
            <w:r w:rsidRPr="00341778">
              <w:t>IV</w:t>
            </w:r>
          </w:p>
        </w:tc>
        <w:tc>
          <w:tcPr>
            <w:tcW w:w="0" w:type="auto"/>
          </w:tcPr>
          <w:p w14:paraId="3E857575" w14:textId="77777777" w:rsidR="00044199" w:rsidRPr="00341778" w:rsidRDefault="00000000">
            <w:pPr>
              <w:pStyle w:val="Compact"/>
            </w:pPr>
            <w:r w:rsidRPr="00341778">
              <w:t>75 (33.3%)</w:t>
            </w:r>
          </w:p>
        </w:tc>
        <w:tc>
          <w:tcPr>
            <w:tcW w:w="0" w:type="auto"/>
          </w:tcPr>
          <w:p w14:paraId="3E857576" w14:textId="77777777" w:rsidR="00044199" w:rsidRPr="00341778" w:rsidRDefault="00000000">
            <w:pPr>
              <w:pStyle w:val="Compact"/>
            </w:pPr>
            <w:r w:rsidRPr="00341778">
              <w:t>2 (4.7%)</w:t>
            </w:r>
          </w:p>
        </w:tc>
        <w:tc>
          <w:tcPr>
            <w:tcW w:w="0" w:type="auto"/>
          </w:tcPr>
          <w:p w14:paraId="3E857577" w14:textId="77777777" w:rsidR="00044199" w:rsidRPr="00341778" w:rsidRDefault="00000000">
            <w:pPr>
              <w:pStyle w:val="Compact"/>
            </w:pPr>
            <w:r w:rsidRPr="00341778">
              <w:t>77 (28.7%)</w:t>
            </w:r>
          </w:p>
        </w:tc>
      </w:tr>
      <w:tr w:rsidR="00044199" w:rsidRPr="00341778" w14:paraId="3E85757D" w14:textId="77777777">
        <w:tc>
          <w:tcPr>
            <w:tcW w:w="0" w:type="auto"/>
          </w:tcPr>
          <w:p w14:paraId="3E857579" w14:textId="77777777" w:rsidR="00044199" w:rsidRPr="00341778" w:rsidRDefault="00000000">
            <w:pPr>
              <w:pStyle w:val="Compact"/>
            </w:pPr>
            <w:r w:rsidRPr="00341778">
              <w:t>Missing</w:t>
            </w:r>
          </w:p>
        </w:tc>
        <w:tc>
          <w:tcPr>
            <w:tcW w:w="0" w:type="auto"/>
          </w:tcPr>
          <w:p w14:paraId="3E85757A" w14:textId="77777777" w:rsidR="00044199" w:rsidRPr="00341778" w:rsidRDefault="00000000">
            <w:pPr>
              <w:pStyle w:val="Compact"/>
            </w:pPr>
            <w:r w:rsidRPr="00341778">
              <w:t>17 (7.6%)</w:t>
            </w:r>
          </w:p>
        </w:tc>
        <w:tc>
          <w:tcPr>
            <w:tcW w:w="0" w:type="auto"/>
          </w:tcPr>
          <w:p w14:paraId="3E85757B" w14:textId="77777777" w:rsidR="00044199" w:rsidRPr="00341778" w:rsidRDefault="00000000">
            <w:pPr>
              <w:pStyle w:val="Compact"/>
            </w:pPr>
            <w:r w:rsidRPr="00341778">
              <w:t>7 (16.3%)</w:t>
            </w:r>
          </w:p>
        </w:tc>
        <w:tc>
          <w:tcPr>
            <w:tcW w:w="0" w:type="auto"/>
          </w:tcPr>
          <w:p w14:paraId="3E85757C" w14:textId="77777777" w:rsidR="00044199" w:rsidRPr="00341778" w:rsidRDefault="00000000">
            <w:pPr>
              <w:pStyle w:val="Compact"/>
            </w:pPr>
            <w:r w:rsidRPr="00341778">
              <w:t>24 (9.0%)</w:t>
            </w:r>
          </w:p>
        </w:tc>
      </w:tr>
    </w:tbl>
    <w:p w14:paraId="3E85757E" w14:textId="77777777" w:rsidR="00044199" w:rsidRPr="00341778" w:rsidRDefault="00000000">
      <w:pPr>
        <w:pStyle w:val="Ttulo2"/>
      </w:pPr>
      <w:bookmarkStart w:id="6" w:name="statistical-analysis"/>
      <w:bookmarkEnd w:id="3"/>
      <w:bookmarkEnd w:id="5"/>
      <w:r w:rsidRPr="00341778">
        <w:t>Statistical Analysis</w:t>
      </w:r>
    </w:p>
    <w:p w14:paraId="3E85757F" w14:textId="77777777" w:rsidR="00044199" w:rsidRPr="00341778" w:rsidRDefault="00000000">
      <w:pPr>
        <w:pStyle w:val="FirstParagraph"/>
      </w:pPr>
      <w:r w:rsidRPr="00341778">
        <w:t xml:space="preserve">R was used for statistical analysis. Demographic, clinical characteristics and side effects were </w:t>
      </w:r>
      <w:proofErr w:type="spellStart"/>
      <w:r w:rsidRPr="00341778">
        <w:t>analysed</w:t>
      </w:r>
      <w:proofErr w:type="spellEnd"/>
      <w:r w:rsidRPr="00341778">
        <w:t xml:space="preserve"> using descriptive statistics (count, </w:t>
      </w:r>
      <w:proofErr w:type="gramStart"/>
      <w:r w:rsidRPr="00341778">
        <w:t>percentages</w:t>
      </w:r>
      <w:proofErr w:type="gramEnd"/>
      <w:r w:rsidRPr="00341778">
        <w:t xml:space="preserve"> and median/range). Kaplan–Meier test was used to determine the median PFS and OS in the entire population and subgroups. Log-rank test was used for comparisons of PFS and OS among different subgroups. Cox Regression was used to assess feature importance and impact. All statistical tests were two-sided, and the significance level was 0.05.</w:t>
      </w:r>
    </w:p>
    <w:p w14:paraId="3E857580" w14:textId="77777777" w:rsidR="00044199" w:rsidRPr="00341778" w:rsidRDefault="00000000">
      <w:pPr>
        <w:pStyle w:val="Ttulo1"/>
      </w:pPr>
      <w:bookmarkStart w:id="7" w:name="results"/>
      <w:bookmarkEnd w:id="1"/>
      <w:bookmarkEnd w:id="6"/>
      <w:r w:rsidRPr="00341778">
        <w:t>Results</w:t>
      </w:r>
    </w:p>
    <w:p w14:paraId="3E857581" w14:textId="77777777" w:rsidR="00044199" w:rsidRPr="00341778" w:rsidRDefault="00000000">
      <w:pPr>
        <w:pStyle w:val="FirstParagraph"/>
      </w:pPr>
      <w:r w:rsidRPr="00341778">
        <w:t xml:space="preserve">Median OS in the entire population treated with CDK46 inhibitors was 46 months (95%CI 39.4–55.6). Median PFS was 20.3 months (95%CI 18.3–24.2). The median OS in the entire population after removing </w:t>
      </w:r>
      <w:proofErr w:type="spellStart"/>
      <w:r w:rsidRPr="00341778">
        <w:t>abemaciclib</w:t>
      </w:r>
      <w:proofErr w:type="spellEnd"/>
      <w:r w:rsidRPr="00341778">
        <w:t xml:space="preserve"> changed very little. When comparing </w:t>
      </w:r>
      <w:proofErr w:type="spellStart"/>
      <w:r w:rsidRPr="00341778">
        <w:t>Ribociclib</w:t>
      </w:r>
      <w:proofErr w:type="spellEnd"/>
      <w:r w:rsidRPr="00341778">
        <w:t xml:space="preserve"> and </w:t>
      </w:r>
      <w:proofErr w:type="spellStart"/>
      <w:r w:rsidRPr="00341778">
        <w:t>palbociclib</w:t>
      </w:r>
      <w:proofErr w:type="spellEnd"/>
      <w:r w:rsidRPr="00341778">
        <w:t xml:space="preserve"> with each other, we see that regarding OS, there is not significant difference, but </w:t>
      </w:r>
      <w:proofErr w:type="spellStart"/>
      <w:r w:rsidRPr="00341778">
        <w:t>ribociclib</w:t>
      </w:r>
      <w:proofErr w:type="spellEnd"/>
      <w:r w:rsidRPr="00341778">
        <w:t xml:space="preserve"> is significantly better in terms of PFS (p-value </w:t>
      </w:r>
      <m:oMath>
        <m:r>
          <m:rPr>
            <m:sty m:val="p"/>
          </m:rPr>
          <w:rPr>
            <w:rFonts w:ascii="Cambria Math" w:hAnsi="Cambria Math"/>
          </w:rPr>
          <m:t>≤</m:t>
        </m:r>
      </m:oMath>
      <w:r w:rsidRPr="00341778">
        <w:t xml:space="preserve"> 0.001) (figure </w:t>
      </w:r>
      <w:hyperlink w:anchor="fig:interest">
        <w:r w:rsidRPr="00341778">
          <w:rPr>
            <w:rStyle w:val="Hiperligao"/>
          </w:rPr>
          <w:t>1</w:t>
        </w:r>
      </w:hyperlink>
      <w:r w:rsidRPr="00341778">
        <w:t>).</w:t>
      </w:r>
    </w:p>
    <w:p w14:paraId="3E857582" w14:textId="13B15192" w:rsidR="00044199" w:rsidRPr="00341778" w:rsidRDefault="00000000">
      <w:pPr>
        <w:pStyle w:val="Corpodetexto"/>
      </w:pPr>
      <w:r w:rsidRPr="00341778">
        <w:t xml:space="preserve">We then compared both with a cox-regression, checking that </w:t>
      </w:r>
      <w:r w:rsidR="00212164" w:rsidRPr="00341778">
        <w:t>this trend</w:t>
      </w:r>
      <w:r w:rsidRPr="00341778">
        <w:t xml:space="preserve"> continues where OS shows no significant difference between </w:t>
      </w:r>
      <w:proofErr w:type="spellStart"/>
      <w:r w:rsidRPr="00341778">
        <w:t>palbociclib</w:t>
      </w:r>
      <w:proofErr w:type="spellEnd"/>
      <w:r w:rsidRPr="00341778">
        <w:t xml:space="preserve"> and </w:t>
      </w:r>
      <w:proofErr w:type="spellStart"/>
      <w:r w:rsidRPr="00341778">
        <w:t>ribociclib</w:t>
      </w:r>
      <w:proofErr w:type="spellEnd"/>
      <w:r w:rsidRPr="00341778">
        <w:t xml:space="preserve"> but a significantly better PFS for </w:t>
      </w:r>
      <w:proofErr w:type="spellStart"/>
      <w:r w:rsidRPr="00341778">
        <w:t>ribociclib</w:t>
      </w:r>
      <w:proofErr w:type="spellEnd"/>
      <w:r w:rsidRPr="00341778">
        <w:t xml:space="preserve"> (figure </w:t>
      </w:r>
      <w:hyperlink w:anchor="fig:cox">
        <w:r w:rsidRPr="00341778">
          <w:rPr>
            <w:rStyle w:val="Hiperligao"/>
          </w:rPr>
          <w:t>2</w:t>
        </w:r>
      </w:hyperlink>
      <w:r w:rsidRPr="00341778">
        <w:t xml:space="preserve">). When adjusted to Stage, visceral metastases, Age and ECOG, </w:t>
      </w:r>
      <w:proofErr w:type="spellStart"/>
      <w:r w:rsidRPr="00341778">
        <w:t>ribociclib</w:t>
      </w:r>
      <w:proofErr w:type="spellEnd"/>
      <w:r w:rsidRPr="00341778">
        <w:t xml:space="preserve"> is associated to an HR of 0.44, implying that </w:t>
      </w:r>
      <w:proofErr w:type="spellStart"/>
      <w:r w:rsidRPr="00341778">
        <w:t>ribociclib</w:t>
      </w:r>
      <w:proofErr w:type="spellEnd"/>
      <w:r w:rsidRPr="00341778">
        <w:t xml:space="preserve"> as a first line treatment reduces the risk of the disease progression </w:t>
      </w:r>
      <w:r w:rsidR="00544424" w:rsidRPr="00341778">
        <w:t>by 60</w:t>
      </w:r>
      <w:r w:rsidRPr="00341778">
        <w:t xml:space="preserve">% compared to </w:t>
      </w:r>
      <w:proofErr w:type="spellStart"/>
      <w:r w:rsidRPr="00341778">
        <w:t>palbociclib</w:t>
      </w:r>
      <w:proofErr w:type="spellEnd"/>
      <w:r w:rsidRPr="00341778">
        <w:t xml:space="preserve"> as first line treatment.</w:t>
      </w:r>
    </w:p>
    <w:p w14:paraId="3E857583" w14:textId="77777777" w:rsidR="00044199" w:rsidRPr="00341778" w:rsidRDefault="00000000">
      <w:pPr>
        <w:pStyle w:val="Corpodetexto"/>
      </w:pPr>
      <w:r w:rsidRPr="00341778">
        <w:t xml:space="preserve">When comparing the traditional hormonotherapy with CDK4/6 inhibitors, we see that CDK4/6 inhibitors are significantly better in terms of PFS (p-value </w:t>
      </w:r>
      <m:oMath>
        <m:r>
          <m:rPr>
            <m:sty m:val="p"/>
          </m:rPr>
          <w:rPr>
            <w:rFonts w:ascii="Cambria Math" w:hAnsi="Cambria Math"/>
          </w:rPr>
          <m:t>≤</m:t>
        </m:r>
      </m:oMath>
      <w:r w:rsidRPr="00341778">
        <w:t xml:space="preserve"> 0.001) but not OS. When comparing ribociclib first line, we see significant difference both in terms of PFS and OS (figure </w:t>
      </w:r>
      <w:hyperlink w:anchor="fig:grouped">
        <w:r w:rsidRPr="00341778">
          <w:rPr>
            <w:rStyle w:val="Hiperligao"/>
          </w:rPr>
          <w:t>3</w:t>
        </w:r>
      </w:hyperlink>
      <w:r w:rsidRPr="00341778">
        <w:t>).</w:t>
      </w:r>
    </w:p>
    <w:p w14:paraId="3E857584" w14:textId="77777777" w:rsidR="00044199" w:rsidRPr="00341778" w:rsidRDefault="00000000">
      <w:pPr>
        <w:pStyle w:val="Corpodetexto"/>
      </w:pPr>
      <w:r w:rsidRPr="00341778">
        <w:t xml:space="preserve">When comparing </w:t>
      </w:r>
      <w:proofErr w:type="spellStart"/>
      <w:r w:rsidRPr="00341778">
        <w:t>palbociclib</w:t>
      </w:r>
      <w:proofErr w:type="spellEnd"/>
      <w:r w:rsidRPr="00341778">
        <w:t xml:space="preserve"> and </w:t>
      </w:r>
      <w:proofErr w:type="spellStart"/>
      <w:r w:rsidRPr="00341778">
        <w:t>ribociclib</w:t>
      </w:r>
      <w:proofErr w:type="spellEnd"/>
      <w:r w:rsidRPr="00341778">
        <w:t xml:space="preserve"> adjusted for propensity scores, we see that the trend continues, with no significant difference between the two in terms of OS but significant in terms of PFS (figure </w:t>
      </w:r>
      <w:hyperlink w:anchor="fig:propensity">
        <w:r w:rsidRPr="00341778">
          <w:rPr>
            <w:rStyle w:val="Hiperligao"/>
          </w:rPr>
          <w:t>4</w:t>
        </w:r>
      </w:hyperlink>
      <w:r w:rsidRPr="00341778">
        <w:t xml:space="preserve">). We matched for number of metastases, </w:t>
      </w:r>
      <w:r w:rsidRPr="00341778">
        <w:lastRenderedPageBreak/>
        <w:t>treatment line, combination drug, ECOG, age at beginning of treatment, bone metastases and visceral metastases.</w:t>
      </w:r>
    </w:p>
    <w:p w14:paraId="3E857585" w14:textId="77777777" w:rsidR="00044199" w:rsidRPr="00341778" w:rsidRDefault="00000000">
      <w:pPr>
        <w:pStyle w:val="CaptionedFigure"/>
      </w:pPr>
      <w:r w:rsidRPr="00341778">
        <w:rPr>
          <w:noProof/>
        </w:rPr>
        <w:drawing>
          <wp:inline distT="0" distB="0" distL="0" distR="0" wp14:anchorId="3E8575AC" wp14:editId="3E8575AD">
            <wp:extent cx="5334000" cy="266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ures/interest_curve_both.jpe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3E857586" w14:textId="77777777" w:rsidR="00044199" w:rsidRPr="00341778" w:rsidRDefault="00000000">
      <w:pPr>
        <w:pStyle w:val="ImageCaption"/>
      </w:pPr>
      <w:r w:rsidRPr="00341778">
        <w:t xml:space="preserve">Survival curves for Palbociclib and </w:t>
      </w:r>
      <w:proofErr w:type="spellStart"/>
      <w:r w:rsidRPr="00341778">
        <w:t>Ribociclib</w:t>
      </w:r>
      <w:proofErr w:type="spellEnd"/>
      <w:r w:rsidRPr="00341778">
        <w:t xml:space="preserve"> - Progression Free Survival and Overall Survival</w:t>
      </w:r>
    </w:p>
    <w:p w14:paraId="3E857587" w14:textId="77777777" w:rsidR="00044199" w:rsidRPr="00341778" w:rsidRDefault="00000000">
      <w:pPr>
        <w:pStyle w:val="CaptionedFigure"/>
      </w:pPr>
      <w:r w:rsidRPr="00341778">
        <w:rPr>
          <w:noProof/>
        </w:rPr>
        <w:lastRenderedPageBreak/>
        <w:drawing>
          <wp:inline distT="0" distB="0" distL="0" distR="0" wp14:anchorId="3E8575AE" wp14:editId="3E8575AF">
            <wp:extent cx="5334000" cy="656703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ures/cox_both.png"/>
                    <pic:cNvPicPr>
                      <a:picLocks noChangeAspect="1" noChangeArrowheads="1"/>
                    </pic:cNvPicPr>
                  </pic:nvPicPr>
                  <pic:blipFill>
                    <a:blip r:embed="rId8"/>
                    <a:stretch>
                      <a:fillRect/>
                    </a:stretch>
                  </pic:blipFill>
                  <pic:spPr bwMode="auto">
                    <a:xfrm>
                      <a:off x="0" y="0"/>
                      <a:ext cx="5334000" cy="6567030"/>
                    </a:xfrm>
                    <a:prstGeom prst="rect">
                      <a:avLst/>
                    </a:prstGeom>
                    <a:noFill/>
                    <a:ln w="9525">
                      <a:noFill/>
                      <a:headEnd/>
                      <a:tailEnd/>
                    </a:ln>
                  </pic:spPr>
                </pic:pic>
              </a:graphicData>
            </a:graphic>
          </wp:inline>
        </w:drawing>
      </w:r>
    </w:p>
    <w:p w14:paraId="3E857588" w14:textId="77777777" w:rsidR="00044199" w:rsidRPr="00341778" w:rsidRDefault="00000000">
      <w:pPr>
        <w:pStyle w:val="ImageCaption"/>
      </w:pPr>
      <w:r w:rsidRPr="00341778">
        <w:t xml:space="preserve">Cox Regression with </w:t>
      </w:r>
      <w:proofErr w:type="spellStart"/>
      <w:r w:rsidRPr="00341778">
        <w:t>palbociclib</w:t>
      </w:r>
      <w:proofErr w:type="spellEnd"/>
      <w:r w:rsidRPr="00341778">
        <w:t xml:space="preserve"> and </w:t>
      </w:r>
      <w:proofErr w:type="spellStart"/>
      <w:r w:rsidRPr="00341778">
        <w:t>Ribociclib</w:t>
      </w:r>
      <w:proofErr w:type="spellEnd"/>
      <w:r w:rsidRPr="00341778">
        <w:t xml:space="preserve"> - Progression Free Survival and Overall Survival</w:t>
      </w:r>
    </w:p>
    <w:p w14:paraId="3E857589" w14:textId="77777777" w:rsidR="00044199" w:rsidRPr="00341778" w:rsidRDefault="00000000">
      <w:pPr>
        <w:pStyle w:val="CaptionedFigure"/>
      </w:pPr>
      <w:r w:rsidRPr="00341778">
        <w:rPr>
          <w:noProof/>
        </w:rPr>
        <w:lastRenderedPageBreak/>
        <w:drawing>
          <wp:inline distT="0" distB="0" distL="0" distR="0" wp14:anchorId="3E8575B0" wp14:editId="3E8575B1">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ures/grouped_curve_both.jpe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3E85758A" w14:textId="77777777" w:rsidR="00044199" w:rsidRPr="00341778" w:rsidRDefault="00000000">
      <w:pPr>
        <w:pStyle w:val="ImageCaption"/>
      </w:pPr>
      <w:proofErr w:type="spellStart"/>
      <w:r w:rsidRPr="00341778">
        <w:t>Comparision</w:t>
      </w:r>
      <w:proofErr w:type="spellEnd"/>
      <w:r w:rsidRPr="00341778">
        <w:t xml:space="preserve"> of traditional hormonotherapy and CDK4/6 inhibitors </w:t>
      </w:r>
    </w:p>
    <w:p w14:paraId="3E85758B" w14:textId="77777777" w:rsidR="00044199" w:rsidRPr="00341778" w:rsidRDefault="00000000">
      <w:pPr>
        <w:pStyle w:val="CaptionedFigure"/>
      </w:pPr>
      <w:r w:rsidRPr="00341778">
        <w:rPr>
          <w:noProof/>
        </w:rPr>
        <w:drawing>
          <wp:inline distT="0" distB="0" distL="0" distR="0" wp14:anchorId="3E8575B2" wp14:editId="3E8575B3">
            <wp:extent cx="5334000" cy="2667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gures/propensity_score_both.jpe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3E85758C" w14:textId="682F67DD" w:rsidR="00044199" w:rsidRPr="00341778" w:rsidRDefault="00B950BA">
      <w:pPr>
        <w:pStyle w:val="ImageCaption"/>
      </w:pPr>
      <w:r w:rsidRPr="00341778">
        <w:t>Comparison</w:t>
      </w:r>
      <w:r w:rsidR="00000000" w:rsidRPr="00341778">
        <w:t xml:space="preserve"> of </w:t>
      </w:r>
      <w:proofErr w:type="spellStart"/>
      <w:r w:rsidR="00000000" w:rsidRPr="00341778">
        <w:t>palbociclib</w:t>
      </w:r>
      <w:proofErr w:type="spellEnd"/>
      <w:r w:rsidR="00000000" w:rsidRPr="00341778">
        <w:t xml:space="preserve"> and </w:t>
      </w:r>
      <w:proofErr w:type="spellStart"/>
      <w:r w:rsidR="00000000" w:rsidRPr="00341778">
        <w:t>ribociclib</w:t>
      </w:r>
      <w:proofErr w:type="spellEnd"/>
      <w:r w:rsidR="00000000" w:rsidRPr="00341778">
        <w:t xml:space="preserve"> adjusted for propensity </w:t>
      </w:r>
      <w:proofErr w:type="gramStart"/>
      <w:r w:rsidR="00000000" w:rsidRPr="00341778">
        <w:t>scores</w:t>
      </w:r>
      <w:proofErr w:type="gramEnd"/>
      <w:r w:rsidR="00000000" w:rsidRPr="00341778">
        <w:t xml:space="preserve"> </w:t>
      </w:r>
    </w:p>
    <w:p w14:paraId="3E85758D" w14:textId="77777777" w:rsidR="00044199" w:rsidRPr="00341778" w:rsidRDefault="00000000">
      <w:pPr>
        <w:pStyle w:val="Ttulo1"/>
      </w:pPr>
      <w:bookmarkStart w:id="8" w:name="discussion"/>
      <w:bookmarkEnd w:id="7"/>
      <w:r w:rsidRPr="00341778">
        <w:t>Discussion</w:t>
      </w:r>
    </w:p>
    <w:p w14:paraId="3E85758E" w14:textId="77777777" w:rsidR="00044199" w:rsidRPr="00341778" w:rsidRDefault="00000000">
      <w:pPr>
        <w:pStyle w:val="FirstParagraph"/>
      </w:pPr>
      <w:r w:rsidRPr="00341778">
        <w:t xml:space="preserve">The aim of this prospective study was to evaluate the real-world use of </w:t>
      </w:r>
      <w:proofErr w:type="spellStart"/>
      <w:r w:rsidRPr="00341778">
        <w:t>palbociclib</w:t>
      </w:r>
      <w:proofErr w:type="spellEnd"/>
      <w:r w:rsidRPr="00341778">
        <w:t xml:space="preserve"> and </w:t>
      </w:r>
      <w:proofErr w:type="spellStart"/>
      <w:r w:rsidRPr="00341778">
        <w:t>ribociclib</w:t>
      </w:r>
      <w:proofErr w:type="spellEnd"/>
      <w:r w:rsidRPr="00341778">
        <w:t xml:space="preserve"> in combination with ET for HR+/HER2</w:t>
      </w:r>
      <m:oMath>
        <m:r>
          <m:rPr>
            <m:sty m:val="p"/>
          </m:rPr>
          <w:rPr>
            <w:rFonts w:ascii="Cambria Math" w:hAnsi="Cambria Math"/>
          </w:rPr>
          <m:t>-</m:t>
        </m:r>
      </m:oMath>
      <w:r w:rsidRPr="00341778">
        <w:t xml:space="preserve"> and comparing this drug class with traditional hormonotherapy. Few real-world evidence studies of palbociclib and ribociclib used in daily clinical practice have been published identifying clinical benefit, patient profile and sequencing of treatment, with even less evidence of use of palbociclib in Portugal.</w:t>
      </w:r>
    </w:p>
    <w:p w14:paraId="3E85758F" w14:textId="77777777" w:rsidR="00044199" w:rsidRPr="00341778" w:rsidRDefault="00000000">
      <w:pPr>
        <w:pStyle w:val="Corpodetexto"/>
      </w:pPr>
      <w:r w:rsidRPr="00341778">
        <w:t xml:space="preserve">When comparing with clinical trials, regarding patient profile, in our study, 51% had visceral metastasis and 35% bone only disease comparing with 49% and 38% in </w:t>
      </w:r>
      <w:r w:rsidRPr="00341778">
        <w:lastRenderedPageBreak/>
        <w:t>PALOMA-2, and 60% and 25% in PALOMA-3, respectively (</w:t>
      </w:r>
      <w:proofErr w:type="spellStart"/>
      <w:r w:rsidRPr="00341778">
        <w:t>Rugo</w:t>
      </w:r>
      <w:proofErr w:type="spellEnd"/>
      <w:r w:rsidRPr="00341778">
        <w:t xml:space="preserve"> et al. 2018; </w:t>
      </w:r>
      <w:proofErr w:type="spellStart"/>
      <w:r w:rsidRPr="00341778">
        <w:t>Cristofanilli</w:t>
      </w:r>
      <w:proofErr w:type="spellEnd"/>
      <w:r w:rsidRPr="00341778">
        <w:t xml:space="preserve"> et al. 2016). As for </w:t>
      </w:r>
      <w:proofErr w:type="spellStart"/>
      <w:r w:rsidRPr="00341778">
        <w:t>ribociclib</w:t>
      </w:r>
      <w:proofErr w:type="spellEnd"/>
      <w:r w:rsidRPr="00341778">
        <w:t>, MONALEESA-7 (Tripathy et al. 2018) has 24% and MONALEESA-2 has 40% (</w:t>
      </w:r>
      <w:proofErr w:type="spellStart"/>
      <w:r w:rsidRPr="00341778">
        <w:t>Hortobagyi</w:t>
      </w:r>
      <w:proofErr w:type="spellEnd"/>
      <w:r w:rsidRPr="00341778">
        <w:t xml:space="preserve"> et al. 2018) and our study has 30%.</w:t>
      </w:r>
    </w:p>
    <w:p w14:paraId="3E857590" w14:textId="77777777" w:rsidR="00044199" w:rsidRPr="00341778" w:rsidRDefault="00000000">
      <w:pPr>
        <w:pStyle w:val="Corpodetexto"/>
      </w:pPr>
      <w:r w:rsidRPr="00341778">
        <w:t xml:space="preserve">Of note, the range of median PFS for </w:t>
      </w:r>
      <w:proofErr w:type="gramStart"/>
      <w:r w:rsidRPr="00341778">
        <w:t>first-line</w:t>
      </w:r>
      <w:proofErr w:type="gramEnd"/>
      <w:r w:rsidRPr="00341778">
        <w:t xml:space="preserve"> </w:t>
      </w:r>
      <w:proofErr w:type="spellStart"/>
      <w:r w:rsidRPr="00341778">
        <w:t>palbociclib</w:t>
      </w:r>
      <w:proofErr w:type="spellEnd"/>
      <w:r w:rsidRPr="00341778">
        <w:t xml:space="preserve"> was plus letrozole in RWE studies was 15.5–25.5 months, which is shorter than 27.6 months observed in a post hoc analysis of the PALOMA-2 clinical trial with extended follow-up (</w:t>
      </w:r>
      <w:proofErr w:type="spellStart"/>
      <w:r w:rsidRPr="00341778">
        <w:t>Rugo</w:t>
      </w:r>
      <w:proofErr w:type="spellEnd"/>
      <w:r w:rsidRPr="00341778">
        <w:t xml:space="preserve"> et al. 2018), but in line with RWE studies (13.3–20.2 months) (</w:t>
      </w:r>
      <w:proofErr w:type="spellStart"/>
      <w:r w:rsidRPr="00341778">
        <w:t>Harbeck</w:t>
      </w:r>
      <w:proofErr w:type="spellEnd"/>
      <w:r w:rsidRPr="00341778">
        <w:t xml:space="preserve"> et al. 2021). As for </w:t>
      </w:r>
      <w:proofErr w:type="spellStart"/>
      <w:r w:rsidRPr="00341778">
        <w:t>ribo</w:t>
      </w:r>
      <w:proofErr w:type="spellEnd"/>
    </w:p>
    <w:p w14:paraId="3E857591" w14:textId="77777777" w:rsidR="00044199" w:rsidRPr="00341778" w:rsidRDefault="00000000">
      <w:pPr>
        <w:pStyle w:val="Ttulo1"/>
      </w:pPr>
      <w:bookmarkStart w:id="9" w:name="conclusions"/>
      <w:bookmarkEnd w:id="8"/>
      <w:r w:rsidRPr="00341778">
        <w:t>Conclusions</w:t>
      </w:r>
    </w:p>
    <w:p w14:paraId="3E857592" w14:textId="47511FA7" w:rsidR="00044199" w:rsidRPr="00341778" w:rsidRDefault="00000000">
      <w:pPr>
        <w:pStyle w:val="FirstParagraph"/>
      </w:pPr>
      <w:r w:rsidRPr="00341778">
        <w:t xml:space="preserve">For conclusions and next steps, we feel we have demonstrated that the </w:t>
      </w:r>
      <w:proofErr w:type="spellStart"/>
      <w:r w:rsidRPr="00341778">
        <w:t>ribociclib</w:t>
      </w:r>
      <w:proofErr w:type="spellEnd"/>
      <w:r w:rsidRPr="00341778">
        <w:t xml:space="preserve"> is a good alternative to </w:t>
      </w:r>
      <w:proofErr w:type="spellStart"/>
      <w:r w:rsidRPr="00341778">
        <w:t>palbociclib</w:t>
      </w:r>
      <w:proofErr w:type="spellEnd"/>
      <w:r w:rsidRPr="00341778">
        <w:t xml:space="preserve">. We still </w:t>
      </w:r>
      <w:r w:rsidR="00BC2C9F" w:rsidRPr="00341778">
        <w:t>do</w:t>
      </w:r>
      <w:r w:rsidRPr="00341778">
        <w:t xml:space="preserve"> not have sufficient evidence to state that </w:t>
      </w:r>
      <w:proofErr w:type="spellStart"/>
      <w:r w:rsidRPr="00341778">
        <w:t>palbociclib</w:t>
      </w:r>
      <w:proofErr w:type="spellEnd"/>
      <w:r w:rsidRPr="00341778">
        <w:t xml:space="preserve"> is </w:t>
      </w:r>
      <w:proofErr w:type="gramStart"/>
      <w:r w:rsidRPr="00341778">
        <w:t>actually better</w:t>
      </w:r>
      <w:proofErr w:type="gramEnd"/>
      <w:r w:rsidRPr="00341778">
        <w:t xml:space="preserve"> than traditional </w:t>
      </w:r>
      <w:proofErr w:type="spellStart"/>
      <w:r w:rsidRPr="00341778">
        <w:t>hormonotherapty</w:t>
      </w:r>
      <w:proofErr w:type="spellEnd"/>
      <w:r w:rsidRPr="00341778">
        <w:t xml:space="preserve"> regarding Overall Survival. However, it is sufficient to state that CDK4/6i have impact on PFS. Further information about the population could be interesting, as well as providing information about safety, economic </w:t>
      </w:r>
      <w:proofErr w:type="gramStart"/>
      <w:r w:rsidRPr="00341778">
        <w:t>impact</w:t>
      </w:r>
      <w:proofErr w:type="gramEnd"/>
      <w:r w:rsidRPr="00341778">
        <w:t xml:space="preserve"> and quality of life. We aim to address those issues in sequencing papers.</w:t>
      </w:r>
    </w:p>
    <w:p w14:paraId="3E857593" w14:textId="77777777" w:rsidR="00044199" w:rsidRPr="00341778" w:rsidRDefault="00000000">
      <w:pPr>
        <w:pStyle w:val="Ttulo1"/>
      </w:pPr>
      <w:bookmarkStart w:id="10" w:name="author-contributions"/>
      <w:bookmarkEnd w:id="9"/>
      <w:r w:rsidRPr="00341778">
        <w:t>Author contributions</w:t>
      </w:r>
    </w:p>
    <w:p w14:paraId="3E857594" w14:textId="67DC8FBA" w:rsidR="00044199" w:rsidRPr="00341778" w:rsidRDefault="00BC2C9F">
      <w:pPr>
        <w:pStyle w:val="FirstParagraph"/>
      </w:pPr>
      <w:r>
        <w:t>…</w:t>
      </w:r>
    </w:p>
    <w:p w14:paraId="3E857595" w14:textId="77777777" w:rsidR="00044199" w:rsidRPr="00341778" w:rsidRDefault="00000000">
      <w:pPr>
        <w:pStyle w:val="Ttulo1"/>
      </w:pPr>
      <w:bookmarkStart w:id="11" w:name="institutional-review"/>
      <w:bookmarkEnd w:id="10"/>
      <w:r w:rsidRPr="00341778">
        <w:t>Institutional review</w:t>
      </w:r>
    </w:p>
    <w:p w14:paraId="3E857596" w14:textId="77777777" w:rsidR="00044199" w:rsidRPr="00341778" w:rsidRDefault="00000000">
      <w:pPr>
        <w:pStyle w:val="FirstParagraph"/>
      </w:pPr>
      <w:r w:rsidRPr="00341778">
        <w:t>This work was approved by the ... Ethics Committee...</w:t>
      </w:r>
    </w:p>
    <w:p w14:paraId="3E857597" w14:textId="77777777" w:rsidR="00044199" w:rsidRPr="00341778" w:rsidRDefault="00000000">
      <w:pPr>
        <w:pStyle w:val="Ttulo1"/>
      </w:pPr>
      <w:bookmarkStart w:id="12" w:name="data-availability"/>
      <w:bookmarkEnd w:id="11"/>
      <w:r w:rsidRPr="00341778">
        <w:t>Data availability</w:t>
      </w:r>
    </w:p>
    <w:p w14:paraId="3E857598" w14:textId="77777777" w:rsidR="00044199" w:rsidRPr="00341778" w:rsidRDefault="00000000">
      <w:pPr>
        <w:pStyle w:val="FirstParagraph"/>
      </w:pPr>
      <w:r w:rsidRPr="00341778">
        <w:t>...</w:t>
      </w:r>
    </w:p>
    <w:p w14:paraId="3E857599" w14:textId="77777777" w:rsidR="00044199" w:rsidRPr="00341778" w:rsidRDefault="00000000">
      <w:pPr>
        <w:pStyle w:val="Ttulo1"/>
      </w:pPr>
      <w:bookmarkStart w:id="13" w:name="funding"/>
      <w:bookmarkEnd w:id="12"/>
      <w:r w:rsidRPr="00341778">
        <w:t>Funding</w:t>
      </w:r>
    </w:p>
    <w:p w14:paraId="3E85759A" w14:textId="36F0249E" w:rsidR="00044199" w:rsidRPr="00341778" w:rsidRDefault="00BC2C9F">
      <w:pPr>
        <w:pStyle w:val="FirstParagraph"/>
      </w:pPr>
      <w:r>
        <w:t>…</w:t>
      </w:r>
    </w:p>
    <w:p w14:paraId="3E85759B" w14:textId="77777777" w:rsidR="00044199" w:rsidRPr="00341778" w:rsidRDefault="00000000">
      <w:pPr>
        <w:pStyle w:val="Ttulo1"/>
      </w:pPr>
      <w:bookmarkStart w:id="14" w:name="acknowledgments"/>
      <w:bookmarkEnd w:id="13"/>
      <w:r w:rsidRPr="00341778">
        <w:t>Acknowledgments</w:t>
      </w:r>
    </w:p>
    <w:p w14:paraId="3E85759C" w14:textId="77777777" w:rsidR="00044199" w:rsidRPr="00341778" w:rsidRDefault="00000000">
      <w:pPr>
        <w:pStyle w:val="FirstParagraph"/>
      </w:pPr>
      <w:r w:rsidRPr="00341778">
        <w:t>...</w:t>
      </w:r>
    </w:p>
    <w:p w14:paraId="3E85759D" w14:textId="77777777" w:rsidR="00044199" w:rsidRPr="00341778" w:rsidRDefault="00000000">
      <w:pPr>
        <w:pStyle w:val="Ttulo1"/>
      </w:pPr>
      <w:bookmarkStart w:id="15" w:name="conflicts-of-interest"/>
      <w:bookmarkEnd w:id="14"/>
      <w:r w:rsidRPr="00341778">
        <w:lastRenderedPageBreak/>
        <w:t>Conflicts of interest</w:t>
      </w:r>
    </w:p>
    <w:p w14:paraId="3E85759E" w14:textId="77777777" w:rsidR="00044199" w:rsidRPr="00341778" w:rsidRDefault="00000000">
      <w:pPr>
        <w:pStyle w:val="FirstParagraph"/>
      </w:pPr>
      <w:r w:rsidRPr="00341778">
        <w:t>The authors declare no conflict of interest.</w:t>
      </w:r>
    </w:p>
    <w:p w14:paraId="3E85759F" w14:textId="77777777" w:rsidR="00044199" w:rsidRPr="00341778" w:rsidRDefault="00000000">
      <w:pPr>
        <w:pStyle w:val="Ttulo1"/>
      </w:pPr>
      <w:bookmarkStart w:id="16" w:name="figure"/>
      <w:bookmarkEnd w:id="15"/>
      <w:r w:rsidRPr="00341778">
        <w:t>Figure</w:t>
      </w:r>
    </w:p>
    <w:p w14:paraId="3E8575A0" w14:textId="77777777" w:rsidR="00044199" w:rsidRPr="00341778" w:rsidRDefault="00000000">
      <w:pPr>
        <w:pStyle w:val="Ttulo1"/>
      </w:pPr>
      <w:bookmarkStart w:id="17" w:name="table"/>
      <w:bookmarkEnd w:id="16"/>
      <w:r w:rsidRPr="00341778">
        <w:t>Table</w:t>
      </w:r>
    </w:p>
    <w:p w14:paraId="3E8575A1" w14:textId="77777777" w:rsidR="00044199" w:rsidRPr="00341778" w:rsidRDefault="00000000">
      <w:pPr>
        <w:pStyle w:val="Ttulo1"/>
      </w:pPr>
      <w:bookmarkStart w:id="18" w:name="supplementary-material"/>
      <w:bookmarkEnd w:id="17"/>
      <w:r w:rsidRPr="00341778">
        <w:t>Supplementary Material</w:t>
      </w:r>
    </w:p>
    <w:p w14:paraId="3E8575A2" w14:textId="77777777" w:rsidR="00044199" w:rsidRPr="00341778" w:rsidRDefault="00000000">
      <w:pPr>
        <w:pStyle w:val="Bibliografia"/>
      </w:pPr>
      <w:bookmarkStart w:id="19" w:name="X548bf0b2dc6aa8ae30a57b526d8d856261282ee"/>
      <w:bookmarkStart w:id="20" w:name="refs"/>
      <w:proofErr w:type="spellStart"/>
      <w:r w:rsidRPr="00341778">
        <w:t>Cristofanilli</w:t>
      </w:r>
      <w:proofErr w:type="spellEnd"/>
      <w:r w:rsidRPr="00341778">
        <w:t xml:space="preserve">, Massimo, Nicholas C. Turner, Igor </w:t>
      </w:r>
      <w:proofErr w:type="spellStart"/>
      <w:r w:rsidRPr="00341778">
        <w:t>Bondarenko</w:t>
      </w:r>
      <w:proofErr w:type="spellEnd"/>
      <w:r w:rsidRPr="00341778">
        <w:t xml:space="preserve">, </w:t>
      </w:r>
      <w:proofErr w:type="spellStart"/>
      <w:r w:rsidRPr="00341778">
        <w:t>Jungsil</w:t>
      </w:r>
      <w:proofErr w:type="spellEnd"/>
      <w:r w:rsidRPr="00341778">
        <w:t xml:space="preserve"> Ro, </w:t>
      </w:r>
      <w:proofErr w:type="spellStart"/>
      <w:r w:rsidRPr="00341778">
        <w:t>Seock</w:t>
      </w:r>
      <w:proofErr w:type="spellEnd"/>
      <w:r w:rsidRPr="00341778">
        <w:t xml:space="preserve">-Ah </w:t>
      </w:r>
      <w:proofErr w:type="spellStart"/>
      <w:r w:rsidRPr="00341778">
        <w:t>Im</w:t>
      </w:r>
      <w:proofErr w:type="spellEnd"/>
      <w:r w:rsidRPr="00341778">
        <w:t>, Norikazu Masuda, Marco Colleoni, et al. 2016. “</w:t>
      </w:r>
      <w:proofErr w:type="spellStart"/>
      <w:r w:rsidRPr="00341778">
        <w:t>Fulvestrant</w:t>
      </w:r>
      <w:proofErr w:type="spellEnd"/>
      <w:r w:rsidRPr="00341778">
        <w:t xml:space="preserve"> Plus Palbociclib Versus </w:t>
      </w:r>
      <w:proofErr w:type="spellStart"/>
      <w:r w:rsidRPr="00341778">
        <w:t>Fulvestrant</w:t>
      </w:r>
      <w:proofErr w:type="spellEnd"/>
      <w:r w:rsidRPr="00341778">
        <w:t xml:space="preserve"> Plus Placebo for Treatment of Hormone-Receptor-Positive, HER2-negative Metastatic Breast Cancer That Progressed on Previous Endocrine Therapy (PALOMA-3): Final Analysis of the </w:t>
      </w:r>
      <w:proofErr w:type="spellStart"/>
      <w:r w:rsidRPr="00341778">
        <w:t>Multicentre</w:t>
      </w:r>
      <w:proofErr w:type="spellEnd"/>
      <w:r w:rsidRPr="00341778">
        <w:t xml:space="preserve">, Double-Blind, Phase 3 </w:t>
      </w:r>
      <w:proofErr w:type="spellStart"/>
      <w:r w:rsidRPr="00341778">
        <w:t>Randomised</w:t>
      </w:r>
      <w:proofErr w:type="spellEnd"/>
      <w:r w:rsidRPr="00341778">
        <w:t xml:space="preserve"> Controlled Trial.” </w:t>
      </w:r>
      <w:r w:rsidRPr="00341778">
        <w:rPr>
          <w:i/>
          <w:iCs/>
        </w:rPr>
        <w:t>The Lancet. Oncology</w:t>
      </w:r>
      <w:r w:rsidRPr="00341778">
        <w:t xml:space="preserve"> 17 (4): 425–39. </w:t>
      </w:r>
      <w:hyperlink r:id="rId11">
        <w:r w:rsidRPr="00341778">
          <w:rPr>
            <w:rStyle w:val="Hiperligao"/>
          </w:rPr>
          <w:t>https://doi.org/10.1016/S1470-2045(15)00613-0</w:t>
        </w:r>
      </w:hyperlink>
      <w:r w:rsidRPr="00341778">
        <w:t>.</w:t>
      </w:r>
    </w:p>
    <w:p w14:paraId="3E8575A3" w14:textId="77777777" w:rsidR="00044199" w:rsidRPr="00341778" w:rsidRDefault="00000000">
      <w:pPr>
        <w:pStyle w:val="Bibliografia"/>
      </w:pPr>
      <w:bookmarkStart w:id="21" w:name="X021c0c0e94bba00166742f60e0fe32e1254553f"/>
      <w:bookmarkEnd w:id="19"/>
      <w:r w:rsidRPr="00341778">
        <w:t xml:space="preserve">Finn, Richard S, John P Crown, Istvan Lang, Katalin Boer, Igor M </w:t>
      </w:r>
      <w:proofErr w:type="spellStart"/>
      <w:r w:rsidRPr="00341778">
        <w:t>Bondarenko</w:t>
      </w:r>
      <w:proofErr w:type="spellEnd"/>
      <w:r w:rsidRPr="00341778">
        <w:t xml:space="preserve">, Sergey O </w:t>
      </w:r>
      <w:proofErr w:type="spellStart"/>
      <w:r w:rsidRPr="00341778">
        <w:t>Kulyk</w:t>
      </w:r>
      <w:proofErr w:type="spellEnd"/>
      <w:r w:rsidRPr="00341778">
        <w:t xml:space="preserve">, Johannes </w:t>
      </w:r>
      <w:proofErr w:type="spellStart"/>
      <w:r w:rsidRPr="00341778">
        <w:t>Ettl</w:t>
      </w:r>
      <w:proofErr w:type="spellEnd"/>
      <w:r w:rsidRPr="00341778">
        <w:t xml:space="preserve">, et al. 2015. “The Cyclin-Dependent Kinase 4/6 Inhibitor Palbociclib in Combination with Letrozole Versus Letrozole Alone as First-Line Treatment of </w:t>
      </w:r>
      <w:proofErr w:type="spellStart"/>
      <w:r w:rsidRPr="00341778">
        <w:t>Oestrogen</w:t>
      </w:r>
      <w:proofErr w:type="spellEnd"/>
      <w:r w:rsidRPr="00341778">
        <w:t xml:space="preserve"> Receptor-Positive, HER2-negative, Advanced Breast Cancer (PALOMA-1/TRIO-18): A </w:t>
      </w:r>
      <w:proofErr w:type="spellStart"/>
      <w:r w:rsidRPr="00341778">
        <w:t>Randomised</w:t>
      </w:r>
      <w:proofErr w:type="spellEnd"/>
      <w:r w:rsidRPr="00341778">
        <w:t xml:space="preserve"> Phase 2 Study.” </w:t>
      </w:r>
      <w:r w:rsidRPr="00341778">
        <w:rPr>
          <w:i/>
          <w:iCs/>
        </w:rPr>
        <w:t>The Lancet Oncology</w:t>
      </w:r>
      <w:r w:rsidRPr="00341778">
        <w:t xml:space="preserve"> 16 (1): 25–35. </w:t>
      </w:r>
      <w:hyperlink r:id="rId12">
        <w:r w:rsidRPr="00341778">
          <w:rPr>
            <w:rStyle w:val="Hiperligao"/>
          </w:rPr>
          <w:t>https://doi.org/10.1016/S1470-2045(14)71159-3</w:t>
        </w:r>
      </w:hyperlink>
      <w:r w:rsidRPr="00341778">
        <w:t>.</w:t>
      </w:r>
    </w:p>
    <w:p w14:paraId="3E8575A4" w14:textId="77777777" w:rsidR="00044199" w:rsidRPr="00341778" w:rsidRDefault="00000000">
      <w:pPr>
        <w:pStyle w:val="Bibliografia"/>
      </w:pPr>
      <w:bookmarkStart w:id="22" w:name="ref-goetzMONARCHAbemaciclibInitial2017"/>
      <w:bookmarkEnd w:id="21"/>
      <w:r w:rsidRPr="00341778">
        <w:t xml:space="preserve">Goetz, Matthew P., Masakazu Toi, Mario </w:t>
      </w:r>
      <w:proofErr w:type="spellStart"/>
      <w:r w:rsidRPr="00341778">
        <w:t>Campone</w:t>
      </w:r>
      <w:proofErr w:type="spellEnd"/>
      <w:r w:rsidRPr="00341778">
        <w:t xml:space="preserve">, </w:t>
      </w:r>
      <w:proofErr w:type="spellStart"/>
      <w:r w:rsidRPr="00341778">
        <w:t>Joohyuk</w:t>
      </w:r>
      <w:proofErr w:type="spellEnd"/>
      <w:r w:rsidRPr="00341778">
        <w:t xml:space="preserve"> Sohn, Shani </w:t>
      </w:r>
      <w:proofErr w:type="spellStart"/>
      <w:r w:rsidRPr="00341778">
        <w:t>Paluch</w:t>
      </w:r>
      <w:proofErr w:type="spellEnd"/>
      <w:r w:rsidRPr="00341778">
        <w:t xml:space="preserve">-Shimon, Jens </w:t>
      </w:r>
      <w:proofErr w:type="spellStart"/>
      <w:r w:rsidRPr="00341778">
        <w:t>Huober</w:t>
      </w:r>
      <w:proofErr w:type="spellEnd"/>
      <w:r w:rsidRPr="00341778">
        <w:t xml:space="preserve">, In </w:t>
      </w:r>
      <w:proofErr w:type="spellStart"/>
      <w:r w:rsidRPr="00341778">
        <w:t>Hae</w:t>
      </w:r>
      <w:proofErr w:type="spellEnd"/>
      <w:r w:rsidRPr="00341778">
        <w:t xml:space="preserve"> Park, et al. 2017. “MONARCH 3: </w:t>
      </w:r>
      <w:proofErr w:type="spellStart"/>
      <w:r w:rsidRPr="00341778">
        <w:t>Abemaciclib</w:t>
      </w:r>
      <w:proofErr w:type="spellEnd"/>
      <w:r w:rsidRPr="00341778">
        <w:t xml:space="preserve"> </w:t>
      </w:r>
      <w:proofErr w:type="gramStart"/>
      <w:r w:rsidRPr="00341778">
        <w:t>As</w:t>
      </w:r>
      <w:proofErr w:type="gramEnd"/>
      <w:r w:rsidRPr="00341778">
        <w:t xml:space="preserve"> Initial Therapy for Advanced Breast Cancer.” </w:t>
      </w:r>
      <w:r w:rsidRPr="00341778">
        <w:rPr>
          <w:i/>
          <w:iCs/>
        </w:rPr>
        <w:t>Journal of Clinical Oncology: Official Journal of the American Society of Clinical Oncology</w:t>
      </w:r>
      <w:r w:rsidRPr="00341778">
        <w:t xml:space="preserve"> 35 (32): 3638–46. </w:t>
      </w:r>
      <w:hyperlink r:id="rId13">
        <w:r w:rsidRPr="00341778">
          <w:rPr>
            <w:rStyle w:val="Hiperligao"/>
          </w:rPr>
          <w:t>https://doi.org/10.1200/JCO.2017.75.6155</w:t>
        </w:r>
      </w:hyperlink>
      <w:r w:rsidRPr="00341778">
        <w:t>.</w:t>
      </w:r>
    </w:p>
    <w:p w14:paraId="3E8575A5" w14:textId="77777777" w:rsidR="00044199" w:rsidRPr="00341778" w:rsidRDefault="00000000">
      <w:pPr>
        <w:pStyle w:val="Bibliografia"/>
      </w:pPr>
      <w:bookmarkStart w:id="23" w:name="ref-harbeckCDK4InhibitorsHR2021"/>
      <w:bookmarkEnd w:id="22"/>
      <w:proofErr w:type="spellStart"/>
      <w:r w:rsidRPr="00341778">
        <w:t>Harbeck</w:t>
      </w:r>
      <w:proofErr w:type="spellEnd"/>
      <w:r w:rsidRPr="00341778">
        <w:t xml:space="preserve">, Nadia, Meaghan Bartlett, Dean </w:t>
      </w:r>
      <w:proofErr w:type="spellStart"/>
      <w:r w:rsidRPr="00341778">
        <w:t>Spurden</w:t>
      </w:r>
      <w:proofErr w:type="spellEnd"/>
      <w:r w:rsidRPr="00341778">
        <w:t xml:space="preserve">, Becky Hooper, Lin Zhan, Emily </w:t>
      </w:r>
      <w:proofErr w:type="spellStart"/>
      <w:r w:rsidRPr="00341778">
        <w:t>Rosta</w:t>
      </w:r>
      <w:proofErr w:type="spellEnd"/>
      <w:r w:rsidRPr="00341778">
        <w:t xml:space="preserve">, Chris Cameron, </w:t>
      </w:r>
      <w:proofErr w:type="spellStart"/>
      <w:r w:rsidRPr="00341778">
        <w:t>Debanjali</w:t>
      </w:r>
      <w:proofErr w:type="spellEnd"/>
      <w:r w:rsidRPr="00341778">
        <w:t xml:space="preserve"> Mitra, and Anna Zhou. 2021. “CDK4/6 Inhibitors in HR+/HER2- Advanced/Metastatic Breast Cancer: A Systematic Literature Review of Real-World Evidence Studies.” </w:t>
      </w:r>
      <w:r w:rsidRPr="00341778">
        <w:rPr>
          <w:i/>
          <w:iCs/>
        </w:rPr>
        <w:t>Future Oncology</w:t>
      </w:r>
      <w:r w:rsidRPr="00341778">
        <w:t xml:space="preserve"> 17 (16): 2107–22. </w:t>
      </w:r>
      <w:hyperlink r:id="rId14">
        <w:r w:rsidRPr="00341778">
          <w:rPr>
            <w:rStyle w:val="Hiperligao"/>
          </w:rPr>
          <w:t>https://doi.org/10.2217/fon-2020-1264</w:t>
        </w:r>
      </w:hyperlink>
      <w:r w:rsidRPr="00341778">
        <w:t>.</w:t>
      </w:r>
    </w:p>
    <w:p w14:paraId="3E8575A6" w14:textId="77777777" w:rsidR="00044199" w:rsidRPr="00341778" w:rsidRDefault="00000000">
      <w:pPr>
        <w:pStyle w:val="Bibliografia"/>
      </w:pPr>
      <w:bookmarkStart w:id="24" w:name="X7732b50530ca30926eb24044c25cf2a4200c103"/>
      <w:bookmarkEnd w:id="23"/>
      <w:proofErr w:type="spellStart"/>
      <w:r w:rsidRPr="00341778">
        <w:t>Hortobagyi</w:t>
      </w:r>
      <w:proofErr w:type="spellEnd"/>
      <w:r w:rsidRPr="00341778">
        <w:t xml:space="preserve">, G., S. Stemmer, H. Burris, Y. Yap, G. </w:t>
      </w:r>
      <w:proofErr w:type="spellStart"/>
      <w:r w:rsidRPr="00341778">
        <w:t>Sonke</w:t>
      </w:r>
      <w:proofErr w:type="spellEnd"/>
      <w:r w:rsidRPr="00341778">
        <w:t xml:space="preserve">, S. </w:t>
      </w:r>
      <w:proofErr w:type="spellStart"/>
      <w:r w:rsidRPr="00341778">
        <w:t>Paluch</w:t>
      </w:r>
      <w:proofErr w:type="spellEnd"/>
      <w:r w:rsidRPr="00341778">
        <w:t xml:space="preserve">-Shimon, M. </w:t>
      </w:r>
      <w:proofErr w:type="spellStart"/>
      <w:r w:rsidRPr="00341778">
        <w:t>Campone</w:t>
      </w:r>
      <w:proofErr w:type="spellEnd"/>
      <w:r w:rsidRPr="00341778">
        <w:t xml:space="preserve">, et al. 2018. “Updated Results from MONALEESA-2, a Phase III Trial of </w:t>
      </w:r>
      <w:proofErr w:type="gramStart"/>
      <w:r w:rsidRPr="00341778">
        <w:t>First-Line</w:t>
      </w:r>
      <w:proofErr w:type="gramEnd"/>
      <w:r w:rsidRPr="00341778">
        <w:t xml:space="preserve"> </w:t>
      </w:r>
      <w:proofErr w:type="spellStart"/>
      <w:r w:rsidRPr="00341778">
        <w:t>Ribociclib</w:t>
      </w:r>
      <w:proofErr w:type="spellEnd"/>
      <w:r w:rsidRPr="00341778">
        <w:t xml:space="preserve"> Plus Letrozole Versus Placebo Plus Letrozole in Hormone Receptor-Positive, HER2-negative Advanced Breast Cancer.” </w:t>
      </w:r>
      <w:r w:rsidRPr="00341778">
        <w:rPr>
          <w:i/>
          <w:iCs/>
        </w:rPr>
        <w:t xml:space="preserve">Annals of </w:t>
      </w:r>
      <w:proofErr w:type="gramStart"/>
      <w:r w:rsidRPr="00341778">
        <w:rPr>
          <w:i/>
          <w:iCs/>
        </w:rPr>
        <w:t>Oncology :</w:t>
      </w:r>
      <w:proofErr w:type="gramEnd"/>
      <w:r w:rsidRPr="00341778">
        <w:rPr>
          <w:i/>
          <w:iCs/>
        </w:rPr>
        <w:t xml:space="preserve"> Official Journal of the European Society for Medical Oncology</w:t>
      </w:r>
      <w:r w:rsidRPr="00341778">
        <w:t xml:space="preserve">. </w:t>
      </w:r>
      <w:hyperlink r:id="rId15">
        <w:r w:rsidRPr="00341778">
          <w:rPr>
            <w:rStyle w:val="Hiperligao"/>
          </w:rPr>
          <w:t>https://doi.org/10.1093/annonc/mdy155</w:t>
        </w:r>
      </w:hyperlink>
      <w:r w:rsidRPr="00341778">
        <w:t>.</w:t>
      </w:r>
    </w:p>
    <w:p w14:paraId="3E8575A7" w14:textId="77777777" w:rsidR="00044199" w:rsidRPr="00341778" w:rsidRDefault="00000000">
      <w:pPr>
        <w:pStyle w:val="Bibliografia"/>
      </w:pPr>
      <w:bookmarkStart w:id="25" w:name="ref-rugoImpactPalbociclibLetrozole2018"/>
      <w:bookmarkEnd w:id="24"/>
      <w:proofErr w:type="spellStart"/>
      <w:r w:rsidRPr="00341778">
        <w:lastRenderedPageBreak/>
        <w:t>Rugo</w:t>
      </w:r>
      <w:proofErr w:type="spellEnd"/>
      <w:r w:rsidRPr="00341778">
        <w:t xml:space="preserve">, H. S., V. </w:t>
      </w:r>
      <w:proofErr w:type="spellStart"/>
      <w:r w:rsidRPr="00341778">
        <w:t>Diéras</w:t>
      </w:r>
      <w:proofErr w:type="spellEnd"/>
      <w:r w:rsidRPr="00341778">
        <w:t xml:space="preserve">, K. A. </w:t>
      </w:r>
      <w:proofErr w:type="spellStart"/>
      <w:r w:rsidRPr="00341778">
        <w:t>Gelmon</w:t>
      </w:r>
      <w:proofErr w:type="spellEnd"/>
      <w:r w:rsidRPr="00341778">
        <w:t xml:space="preserve">, R. S. Finn, D. J. </w:t>
      </w:r>
      <w:proofErr w:type="spellStart"/>
      <w:r w:rsidRPr="00341778">
        <w:t>Slamon</w:t>
      </w:r>
      <w:proofErr w:type="spellEnd"/>
      <w:r w:rsidRPr="00341778">
        <w:t xml:space="preserve">, M. Martin, P. Neven, et al. 2018. “Impact of Palbociclib Plus Letrozole on Patient-Reported Health-Related Quality of Life: Results from the PALOMA-2 Trial.” </w:t>
      </w:r>
      <w:r w:rsidRPr="00341778">
        <w:rPr>
          <w:i/>
          <w:iCs/>
        </w:rPr>
        <w:t>Annals of Oncology: Official Journal of the European Society for Medical Oncology</w:t>
      </w:r>
      <w:r w:rsidRPr="00341778">
        <w:t xml:space="preserve"> 29 (4): 888–94. </w:t>
      </w:r>
      <w:hyperlink r:id="rId16">
        <w:r w:rsidRPr="00341778">
          <w:rPr>
            <w:rStyle w:val="Hiperligao"/>
          </w:rPr>
          <w:t>https://doi.org/10.1093/annonc/mdy012</w:t>
        </w:r>
      </w:hyperlink>
      <w:r w:rsidRPr="00341778">
        <w:t>.</w:t>
      </w:r>
    </w:p>
    <w:p w14:paraId="3E8575A8" w14:textId="77777777" w:rsidR="00044199" w:rsidRPr="00341778" w:rsidRDefault="00000000">
      <w:pPr>
        <w:pStyle w:val="Bibliografia"/>
      </w:pPr>
      <w:bookmarkStart w:id="26" w:name="ref-slamonPhaseIIIRandomized2018"/>
      <w:bookmarkEnd w:id="25"/>
      <w:proofErr w:type="spellStart"/>
      <w:r w:rsidRPr="00341778">
        <w:t>Slamon</w:t>
      </w:r>
      <w:proofErr w:type="spellEnd"/>
      <w:r w:rsidRPr="00341778">
        <w:t xml:space="preserve">, Dennis J., Patrick Neven, Stephen Chia, Peter A. Fasching, </w:t>
      </w:r>
      <w:proofErr w:type="spellStart"/>
      <w:r w:rsidRPr="00341778">
        <w:t>Michelino</w:t>
      </w:r>
      <w:proofErr w:type="spellEnd"/>
      <w:r w:rsidRPr="00341778">
        <w:t xml:space="preserve"> De </w:t>
      </w:r>
      <w:proofErr w:type="spellStart"/>
      <w:r w:rsidRPr="00341778">
        <w:t>Laurentiis</w:t>
      </w:r>
      <w:proofErr w:type="spellEnd"/>
      <w:r w:rsidRPr="00341778">
        <w:t xml:space="preserve">, </w:t>
      </w:r>
      <w:proofErr w:type="spellStart"/>
      <w:r w:rsidRPr="00341778">
        <w:t>Seock</w:t>
      </w:r>
      <w:proofErr w:type="spellEnd"/>
      <w:r w:rsidRPr="00341778">
        <w:t xml:space="preserve">-Ah </w:t>
      </w:r>
      <w:proofErr w:type="spellStart"/>
      <w:r w:rsidRPr="00341778">
        <w:t>Im</w:t>
      </w:r>
      <w:proofErr w:type="spellEnd"/>
      <w:r w:rsidRPr="00341778">
        <w:t xml:space="preserve">, Katarina </w:t>
      </w:r>
      <w:proofErr w:type="spellStart"/>
      <w:r w:rsidRPr="00341778">
        <w:t>Petrakova</w:t>
      </w:r>
      <w:proofErr w:type="spellEnd"/>
      <w:r w:rsidRPr="00341778">
        <w:t xml:space="preserve">, et al. 2018. “Phase III Randomized Study of </w:t>
      </w:r>
      <w:proofErr w:type="spellStart"/>
      <w:r w:rsidRPr="00341778">
        <w:t>Ribociclib</w:t>
      </w:r>
      <w:proofErr w:type="spellEnd"/>
      <w:r w:rsidRPr="00341778">
        <w:t xml:space="preserve"> and </w:t>
      </w:r>
      <w:proofErr w:type="spellStart"/>
      <w:r w:rsidRPr="00341778">
        <w:t>Fulvestrant</w:t>
      </w:r>
      <w:proofErr w:type="spellEnd"/>
      <w:r w:rsidRPr="00341778">
        <w:t xml:space="preserve"> in Hormone Receptor-Positive, Human Epidermal Growth Factor Receptor 2-Negative Advanced Breast Cancer: MONALEESA-3.” </w:t>
      </w:r>
      <w:r w:rsidRPr="00341778">
        <w:rPr>
          <w:i/>
          <w:iCs/>
        </w:rPr>
        <w:t>Journal of Clinical Oncology: Official Journal of the American Society of Clinical Oncology</w:t>
      </w:r>
      <w:r w:rsidRPr="00341778">
        <w:t xml:space="preserve"> 36 (24): 2465–72. </w:t>
      </w:r>
      <w:hyperlink r:id="rId17">
        <w:r w:rsidRPr="00341778">
          <w:rPr>
            <w:rStyle w:val="Hiperligao"/>
          </w:rPr>
          <w:t>https://doi.org/10.1200/JCO.2018.78.9909</w:t>
        </w:r>
      </w:hyperlink>
      <w:r w:rsidRPr="00341778">
        <w:t>.</w:t>
      </w:r>
    </w:p>
    <w:p w14:paraId="3E8575A9" w14:textId="77777777" w:rsidR="00044199" w:rsidRPr="00341778" w:rsidRDefault="00000000">
      <w:pPr>
        <w:pStyle w:val="Bibliografia"/>
      </w:pPr>
      <w:bookmarkStart w:id="27" w:name="X134564b9764a34ab5032ebbde2f0f82b156eee8"/>
      <w:bookmarkEnd w:id="26"/>
      <w:r w:rsidRPr="00341778">
        <w:t xml:space="preserve">Sledge, George W., Masakazu Toi, Patrick Neven, </w:t>
      </w:r>
      <w:proofErr w:type="spellStart"/>
      <w:r w:rsidRPr="00341778">
        <w:t>Joohyuk</w:t>
      </w:r>
      <w:proofErr w:type="spellEnd"/>
      <w:r w:rsidRPr="00341778">
        <w:t xml:space="preserve"> Sohn, Kenichi Inoue, Xavier Pivot, Olga </w:t>
      </w:r>
      <w:proofErr w:type="spellStart"/>
      <w:r w:rsidRPr="00341778">
        <w:t>Burdaeva</w:t>
      </w:r>
      <w:proofErr w:type="spellEnd"/>
      <w:r w:rsidRPr="00341778">
        <w:t xml:space="preserve">, et al. 2017. “MONARCH 2: </w:t>
      </w:r>
      <w:proofErr w:type="spellStart"/>
      <w:r w:rsidRPr="00341778">
        <w:t>Abemaciclib</w:t>
      </w:r>
      <w:proofErr w:type="spellEnd"/>
      <w:r w:rsidRPr="00341778">
        <w:t xml:space="preserve"> in Combination </w:t>
      </w:r>
      <w:proofErr w:type="gramStart"/>
      <w:r w:rsidRPr="00341778">
        <w:t>With</w:t>
      </w:r>
      <w:proofErr w:type="gramEnd"/>
      <w:r w:rsidRPr="00341778">
        <w:t xml:space="preserve"> </w:t>
      </w:r>
      <w:proofErr w:type="spellStart"/>
      <w:r w:rsidRPr="00341778">
        <w:t>Fulvestrant</w:t>
      </w:r>
      <w:proofErr w:type="spellEnd"/>
      <w:r w:rsidRPr="00341778">
        <w:t xml:space="preserve"> in Women With HR+/HER2- Advanced Breast Cancer Who Had Progressed While Receiving Endocrine Therapy.” </w:t>
      </w:r>
      <w:r w:rsidRPr="00341778">
        <w:rPr>
          <w:i/>
          <w:iCs/>
        </w:rPr>
        <w:t>Journal of Clinical Oncology: Official Journal of the American Society of Clinical Oncology</w:t>
      </w:r>
      <w:r w:rsidRPr="00341778">
        <w:t xml:space="preserve"> 35 (25): 2875–84. </w:t>
      </w:r>
      <w:hyperlink r:id="rId18">
        <w:r w:rsidRPr="00341778">
          <w:rPr>
            <w:rStyle w:val="Hiperligao"/>
          </w:rPr>
          <w:t>https://doi.org/10.1200/JCO.2017.73.7585</w:t>
        </w:r>
      </w:hyperlink>
      <w:r w:rsidRPr="00341778">
        <w:t>.</w:t>
      </w:r>
    </w:p>
    <w:p w14:paraId="3E8575AA" w14:textId="77777777" w:rsidR="00044199" w:rsidRPr="00341778" w:rsidRDefault="00000000">
      <w:pPr>
        <w:pStyle w:val="Bibliografia"/>
      </w:pPr>
      <w:bookmarkStart w:id="28" w:name="Xc00747cc28c26a565e07ed16edef99d15dabe29"/>
      <w:bookmarkEnd w:id="27"/>
      <w:r w:rsidRPr="00341778">
        <w:t xml:space="preserve">Tripathy, </w:t>
      </w:r>
      <w:proofErr w:type="spellStart"/>
      <w:r w:rsidRPr="00341778">
        <w:t>Debu</w:t>
      </w:r>
      <w:proofErr w:type="spellEnd"/>
      <w:r w:rsidRPr="00341778">
        <w:t xml:space="preserve">, </w:t>
      </w:r>
      <w:proofErr w:type="spellStart"/>
      <w:r w:rsidRPr="00341778">
        <w:t>Seock</w:t>
      </w:r>
      <w:proofErr w:type="spellEnd"/>
      <w:r w:rsidRPr="00341778">
        <w:t xml:space="preserve">-Ah </w:t>
      </w:r>
      <w:proofErr w:type="spellStart"/>
      <w:r w:rsidRPr="00341778">
        <w:t>Im</w:t>
      </w:r>
      <w:proofErr w:type="spellEnd"/>
      <w:r w:rsidRPr="00341778">
        <w:t xml:space="preserve">, Marco Colleoni, Fabio Franke, Aditya </w:t>
      </w:r>
      <w:proofErr w:type="spellStart"/>
      <w:r w:rsidRPr="00341778">
        <w:t>Bardia</w:t>
      </w:r>
      <w:proofErr w:type="spellEnd"/>
      <w:r w:rsidRPr="00341778">
        <w:t xml:space="preserve">, Nadia </w:t>
      </w:r>
      <w:proofErr w:type="spellStart"/>
      <w:r w:rsidRPr="00341778">
        <w:t>Harbeck</w:t>
      </w:r>
      <w:proofErr w:type="spellEnd"/>
      <w:r w:rsidRPr="00341778">
        <w:t xml:space="preserve">, Sara A. </w:t>
      </w:r>
      <w:proofErr w:type="spellStart"/>
      <w:r w:rsidRPr="00341778">
        <w:t>Hurvitz</w:t>
      </w:r>
      <w:proofErr w:type="spellEnd"/>
      <w:r w:rsidRPr="00341778">
        <w:t>, et al. 2018. “</w:t>
      </w:r>
      <w:proofErr w:type="spellStart"/>
      <w:r w:rsidRPr="00341778">
        <w:t>Ribociclib</w:t>
      </w:r>
      <w:proofErr w:type="spellEnd"/>
      <w:r w:rsidRPr="00341778">
        <w:t xml:space="preserve"> Plus Endocrine Therapy for Premenopausal Women with Hormone-Receptor-Positive, Advanced Breast Cancer (MONALEESA-7): A </w:t>
      </w:r>
      <w:proofErr w:type="spellStart"/>
      <w:r w:rsidRPr="00341778">
        <w:t>Randomised</w:t>
      </w:r>
      <w:proofErr w:type="spellEnd"/>
      <w:r w:rsidRPr="00341778">
        <w:t xml:space="preserve"> Phase 3 Trial.” </w:t>
      </w:r>
      <w:r w:rsidRPr="00341778">
        <w:rPr>
          <w:i/>
          <w:iCs/>
        </w:rPr>
        <w:t>The Lancet. Oncology</w:t>
      </w:r>
      <w:r w:rsidRPr="00341778">
        <w:t xml:space="preserve"> 19 (7): 904–15. </w:t>
      </w:r>
      <w:hyperlink r:id="rId19">
        <w:r w:rsidRPr="00341778">
          <w:rPr>
            <w:rStyle w:val="Hiperligao"/>
          </w:rPr>
          <w:t>https://doi.org/10.1016/S1470-2045(18)30292-4</w:t>
        </w:r>
      </w:hyperlink>
      <w:r w:rsidRPr="00341778">
        <w:t>.</w:t>
      </w:r>
    </w:p>
    <w:p w14:paraId="3E8575AB" w14:textId="77777777" w:rsidR="00044199" w:rsidRPr="00341778" w:rsidRDefault="00000000">
      <w:pPr>
        <w:pStyle w:val="Bibliografia"/>
      </w:pPr>
      <w:bookmarkStart w:id="29" w:name="Xfe17b2a1ee16d0091423cb7c22addcb5c3b78f6"/>
      <w:bookmarkEnd w:id="28"/>
      <w:r w:rsidRPr="00341778">
        <w:t xml:space="preserve">Verma, Sunil, Cynthia Huang Bartlett, Patrick Schnell, Angela M. </w:t>
      </w:r>
      <w:proofErr w:type="spellStart"/>
      <w:r w:rsidRPr="00341778">
        <w:t>DeMichele</w:t>
      </w:r>
      <w:proofErr w:type="spellEnd"/>
      <w:r w:rsidRPr="00341778">
        <w:t xml:space="preserve">, </w:t>
      </w:r>
      <w:proofErr w:type="spellStart"/>
      <w:r w:rsidRPr="00341778">
        <w:t>Sherene</w:t>
      </w:r>
      <w:proofErr w:type="spellEnd"/>
      <w:r w:rsidRPr="00341778">
        <w:t xml:space="preserve"> </w:t>
      </w:r>
      <w:proofErr w:type="spellStart"/>
      <w:r w:rsidRPr="00341778">
        <w:t>Loi</w:t>
      </w:r>
      <w:proofErr w:type="spellEnd"/>
      <w:r w:rsidRPr="00341778">
        <w:t xml:space="preserve">, </w:t>
      </w:r>
      <w:proofErr w:type="spellStart"/>
      <w:r w:rsidRPr="00341778">
        <w:t>Jungsil</w:t>
      </w:r>
      <w:proofErr w:type="spellEnd"/>
      <w:r w:rsidRPr="00341778">
        <w:t xml:space="preserve"> Ro, Marco Colleoni, et al. 2016. “Palbociclib in Combination </w:t>
      </w:r>
      <w:proofErr w:type="gramStart"/>
      <w:r w:rsidRPr="00341778">
        <w:t>With</w:t>
      </w:r>
      <w:proofErr w:type="gramEnd"/>
      <w:r w:rsidRPr="00341778">
        <w:t xml:space="preserve"> </w:t>
      </w:r>
      <w:proofErr w:type="spellStart"/>
      <w:r w:rsidRPr="00341778">
        <w:t>Fulvestrant</w:t>
      </w:r>
      <w:proofErr w:type="spellEnd"/>
      <w:r w:rsidRPr="00341778">
        <w:t xml:space="preserve"> in Women With Hormone Receptor-Positive/HER2-Negative Advanced Metastatic Breast Cancer: Detailed Safety Analysis From a Multicenter, Randomized, Placebo-Controlled, Phase III Study (PALOMA-3).” </w:t>
      </w:r>
      <w:r w:rsidRPr="00341778">
        <w:rPr>
          <w:i/>
          <w:iCs/>
        </w:rPr>
        <w:t>The Oncologist</w:t>
      </w:r>
      <w:r w:rsidRPr="00341778">
        <w:t xml:space="preserve"> 21 (10): 1165–75. </w:t>
      </w:r>
      <w:hyperlink r:id="rId20">
        <w:r w:rsidRPr="00341778">
          <w:rPr>
            <w:rStyle w:val="Hiperligao"/>
          </w:rPr>
          <w:t>https://doi.org/10.1634/theoncologist.2016-0097</w:t>
        </w:r>
      </w:hyperlink>
      <w:r w:rsidRPr="00341778">
        <w:t>.</w:t>
      </w:r>
      <w:bookmarkEnd w:id="18"/>
      <w:bookmarkEnd w:id="20"/>
      <w:bookmarkEnd w:id="29"/>
    </w:p>
    <w:sectPr w:rsidR="00044199" w:rsidRPr="0034177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E0B1" w14:textId="77777777" w:rsidR="00030048" w:rsidRDefault="00030048">
      <w:pPr>
        <w:spacing w:after="0"/>
      </w:pPr>
      <w:r>
        <w:separator/>
      </w:r>
    </w:p>
  </w:endnote>
  <w:endnote w:type="continuationSeparator" w:id="0">
    <w:p w14:paraId="7ABC1BFE" w14:textId="77777777" w:rsidR="00030048" w:rsidRDefault="000300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6FC3A" w14:textId="77777777" w:rsidR="00030048" w:rsidRDefault="00030048">
      <w:r>
        <w:separator/>
      </w:r>
    </w:p>
  </w:footnote>
  <w:footnote w:type="continuationSeparator" w:id="0">
    <w:p w14:paraId="2781CB5C" w14:textId="77777777" w:rsidR="00030048" w:rsidRDefault="00030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A838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7518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199"/>
    <w:rsid w:val="00030048"/>
    <w:rsid w:val="00044199"/>
    <w:rsid w:val="00212164"/>
    <w:rsid w:val="00341778"/>
    <w:rsid w:val="00544424"/>
    <w:rsid w:val="00B950BA"/>
    <w:rsid w:val="00BC2C9F"/>
    <w:rsid w:val="00BF6914"/>
    <w:rsid w:val="00CF1E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5748B"/>
  <w15:docId w15:val="{01FCD76C-33EF-D14D-AB13-9A309CF4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200/JCO.2017.75.6155" TargetMode="External"/><Relationship Id="rId18" Type="http://schemas.openxmlformats.org/officeDocument/2006/relationships/hyperlink" Target="https://doi.org/10.1200/JCO.2017.73.758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doi.org/10.1016/S1470-2045(14)71159-3" TargetMode="External"/><Relationship Id="rId17" Type="http://schemas.openxmlformats.org/officeDocument/2006/relationships/hyperlink" Target="https://doi.org/10.1200/JCO.2018.78.9909" TargetMode="External"/><Relationship Id="rId2" Type="http://schemas.openxmlformats.org/officeDocument/2006/relationships/styles" Target="styles.xml"/><Relationship Id="rId16" Type="http://schemas.openxmlformats.org/officeDocument/2006/relationships/hyperlink" Target="https://doi.org/10.1093/annonc/mdy012" TargetMode="External"/><Relationship Id="rId20" Type="http://schemas.openxmlformats.org/officeDocument/2006/relationships/hyperlink" Target="https://doi.org/10.1634/theoncologist.2016-00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S1470-2045(15)00613-0" TargetMode="External"/><Relationship Id="rId5" Type="http://schemas.openxmlformats.org/officeDocument/2006/relationships/footnotes" Target="footnotes.xml"/><Relationship Id="rId15" Type="http://schemas.openxmlformats.org/officeDocument/2006/relationships/hyperlink" Target="https://doi.org/10.1093/annonc/mdy155" TargetMode="External"/><Relationship Id="rId10" Type="http://schemas.openxmlformats.org/officeDocument/2006/relationships/image" Target="media/image4.jpg"/><Relationship Id="rId19" Type="http://schemas.openxmlformats.org/officeDocument/2006/relationships/hyperlink" Target="https://doi.org/10.1016/S1470-2045(18)30292-4"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2217/fon-2020-12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2415</Words>
  <Characters>13042</Characters>
  <Application>Microsoft Office Word</Application>
  <DocSecurity>0</DocSecurity>
  <Lines>108</Lines>
  <Paragraphs>30</Paragraphs>
  <ScaleCrop>false</ScaleCrop>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preparing submission using Overleaf</dc:title>
  <dc:creator>Author One; Author Two; Author Three; Author Four</dc:creator>
  <cp:keywords/>
  <cp:lastModifiedBy>João Almeida</cp:lastModifiedBy>
  <cp:revision>8</cp:revision>
  <dcterms:created xsi:type="dcterms:W3CDTF">2023-09-19T08:53:00Z</dcterms:created>
  <dcterms:modified xsi:type="dcterms:W3CDTF">2023-09-19T09:03:00Z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ies>
</file>