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BAE2E" w14:textId="77777777" w:rsidR="00247ECE" w:rsidRPr="001D2A1D" w:rsidRDefault="001D2A1D">
      <w:pPr>
        <w:pStyle w:val="Ttulo"/>
        <w:rPr>
          <w:lang w:val="en-GB"/>
        </w:rPr>
      </w:pPr>
      <w:r w:rsidRPr="001D2A1D">
        <w:rPr>
          <w:lang w:val="en-GB"/>
        </w:rPr>
        <w:t xml:space="preserve">Comparative Analysis of Palbociclib and </w:t>
      </w:r>
      <w:proofErr w:type="spellStart"/>
      <w:r w:rsidRPr="001D2A1D">
        <w:rPr>
          <w:lang w:val="en-GB"/>
        </w:rPr>
        <w:t>Ribociclib</w:t>
      </w:r>
      <w:proofErr w:type="spellEnd"/>
      <w:r w:rsidRPr="001D2A1D">
        <w:rPr>
          <w:lang w:val="en-GB"/>
        </w:rPr>
        <w:t>: A real world data and Propensity Score-Adjusted Evaluation with endocrine therapy"</w:t>
      </w:r>
    </w:p>
    <w:p w14:paraId="783BAE2F" w14:textId="77777777" w:rsidR="00247ECE" w:rsidRPr="001D2A1D" w:rsidRDefault="001D2A1D">
      <w:pPr>
        <w:pStyle w:val="Author"/>
        <w:rPr>
          <w:lang w:val="en-GB"/>
        </w:rPr>
      </w:pPr>
      <w:r w:rsidRPr="001D2A1D">
        <w:rPr>
          <w:lang w:val="en-GB"/>
        </w:rPr>
        <w:t>Author One</w:t>
      </w:r>
    </w:p>
    <w:p w14:paraId="783BAE30" w14:textId="77777777" w:rsidR="00247ECE" w:rsidRPr="001D2A1D" w:rsidRDefault="001D2A1D">
      <w:pPr>
        <w:pStyle w:val="Author"/>
        <w:rPr>
          <w:lang w:val="en-GB"/>
        </w:rPr>
      </w:pPr>
      <w:r w:rsidRPr="001D2A1D">
        <w:rPr>
          <w:lang w:val="en-GB"/>
        </w:rPr>
        <w:t>Author Two</w:t>
      </w:r>
    </w:p>
    <w:p w14:paraId="783BAE31" w14:textId="77777777" w:rsidR="00247ECE" w:rsidRPr="001D2A1D" w:rsidRDefault="001D2A1D">
      <w:pPr>
        <w:pStyle w:val="Author"/>
        <w:rPr>
          <w:lang w:val="en-GB"/>
        </w:rPr>
      </w:pPr>
      <w:r w:rsidRPr="001D2A1D">
        <w:rPr>
          <w:lang w:val="en-GB"/>
        </w:rPr>
        <w:t>Author Three</w:t>
      </w:r>
    </w:p>
    <w:p w14:paraId="783BAE32" w14:textId="77777777" w:rsidR="00247ECE" w:rsidRPr="001D2A1D" w:rsidRDefault="001D2A1D">
      <w:pPr>
        <w:pStyle w:val="Author"/>
        <w:rPr>
          <w:lang w:val="en-GB"/>
        </w:rPr>
      </w:pPr>
      <w:r w:rsidRPr="001D2A1D">
        <w:rPr>
          <w:lang w:val="en-GB"/>
        </w:rPr>
        <w:t>Author Four</w:t>
      </w:r>
    </w:p>
    <w:p w14:paraId="783BAE33" w14:textId="77777777" w:rsidR="00247ECE" w:rsidRPr="001D2A1D" w:rsidRDefault="001D2A1D">
      <w:pPr>
        <w:pStyle w:val="Ttulo1"/>
        <w:rPr>
          <w:lang w:val="en-GB"/>
        </w:rPr>
      </w:pPr>
      <w:bookmarkStart w:id="0" w:name="introduction"/>
      <w:r w:rsidRPr="001D2A1D">
        <w:rPr>
          <w:lang w:val="en-GB"/>
        </w:rPr>
        <w:t>Introduction</w:t>
      </w:r>
    </w:p>
    <w:p w14:paraId="783BAE34" w14:textId="77777777" w:rsidR="00247ECE" w:rsidRPr="001D2A1D" w:rsidRDefault="001D2A1D">
      <w:pPr>
        <w:pStyle w:val="FirstParagraph"/>
        <w:rPr>
          <w:lang w:val="en-GB"/>
        </w:rPr>
      </w:pPr>
      <w:r w:rsidRPr="001D2A1D">
        <w:rPr>
          <w:lang w:val="en-GB"/>
        </w:rPr>
        <w:t xml:space="preserve">Currently, metastatic breast cancer is difficult to treat. Patients with Hormone Receptor-positive (HR+) and Human Epidermal Growth Factor Receptor 2-negative (HER2-) breast cancer, the most common subtype, typically undergo endocrine therapy. Therefore, new treatments can be very useful in improving quality of life, reducing toxicity, and decreasing scenarios of hormonal resistance. Medications from the group of cyclin-dependent kinase inhibitors appear as a potential improvement in the therapeutic approach to advanced breast cancer. Within this group, there are </w:t>
      </w:r>
      <w:proofErr w:type="spellStart"/>
      <w:r w:rsidRPr="001D2A1D">
        <w:rPr>
          <w:lang w:val="en-GB"/>
        </w:rPr>
        <w:t>palbociclib</w:t>
      </w:r>
      <w:proofErr w:type="spellEnd"/>
      <w:r w:rsidRPr="001D2A1D">
        <w:rPr>
          <w:lang w:val="en-GB"/>
        </w:rPr>
        <w:t xml:space="preserve">, </w:t>
      </w:r>
      <w:proofErr w:type="spellStart"/>
      <w:r w:rsidRPr="001D2A1D">
        <w:rPr>
          <w:lang w:val="en-GB"/>
        </w:rPr>
        <w:t>ribociclib</w:t>
      </w:r>
      <w:proofErr w:type="spellEnd"/>
      <w:r w:rsidRPr="001D2A1D">
        <w:rPr>
          <w:lang w:val="en-GB"/>
        </w:rPr>
        <w:t xml:space="preserve"> and </w:t>
      </w:r>
      <w:proofErr w:type="spellStart"/>
      <w:r w:rsidRPr="001D2A1D">
        <w:rPr>
          <w:lang w:val="en-GB"/>
        </w:rPr>
        <w:t>abemaciclib</w:t>
      </w:r>
      <w:proofErr w:type="spellEnd"/>
      <w:r w:rsidRPr="001D2A1D">
        <w:rPr>
          <w:lang w:val="en-GB"/>
        </w:rPr>
        <w:t xml:space="preserve">. Cyclin-dependent kinases 4 and 6 </w:t>
      </w:r>
      <m:oMath>
        <m:r>
          <m:rPr>
            <m:sty m:val="p"/>
          </m:rPr>
          <w:rPr>
            <w:rFonts w:ascii="Cambria Math" w:hAnsi="Cambria Math"/>
            <w:lang w:val="en-GB"/>
          </w:rPr>
          <m:t>(</m:t>
        </m:r>
      </m:oMath>
      <w:r w:rsidRPr="001D2A1D">
        <w:rPr>
          <w:lang w:val="en-GB"/>
        </w:rPr>
        <w:t>CDK4/6</w:t>
      </w:r>
      <m:oMath>
        <m:r>
          <m:rPr>
            <m:sty m:val="p"/>
          </m:rPr>
          <w:rPr>
            <w:rFonts w:ascii="Cambria Math" w:hAnsi="Cambria Math"/>
            <w:lang w:val="en-GB"/>
          </w:rPr>
          <m:t>)</m:t>
        </m:r>
      </m:oMath>
      <w:r w:rsidRPr="001D2A1D">
        <w:rPr>
          <w:lang w:val="en-GB"/>
        </w:rPr>
        <w:t xml:space="preserve"> are responsible for regulating the cell cycle at the transition between the G1 and S phases. In many neoplasms, this cycle is deregulated, and it promotes uncontrolled cell proliferation. It is then possible for these medications to have better effectiveness. These medications were approved by INFARMED, I.P. after an analysis of the therapeutic value they offer. This decision was made based on data provided by clinical trials done with these medications. The MONALEESA (Hortobagyi et al. 2018; Slamon et al. 2018; Tripathy et al. 2018) studies were used for </w:t>
      </w:r>
      <w:proofErr w:type="spellStart"/>
      <w:r w:rsidRPr="001D2A1D">
        <w:rPr>
          <w:lang w:val="en-GB"/>
        </w:rPr>
        <w:t>ribociclib</w:t>
      </w:r>
      <w:proofErr w:type="spellEnd"/>
      <w:r w:rsidRPr="001D2A1D">
        <w:rPr>
          <w:lang w:val="en-GB"/>
        </w:rPr>
        <w:t xml:space="preserve">, PALOMA (Verma et al. 2016; </w:t>
      </w:r>
      <w:proofErr w:type="spellStart"/>
      <w:r w:rsidRPr="001D2A1D">
        <w:rPr>
          <w:lang w:val="en-GB"/>
        </w:rPr>
        <w:t>Rugo</w:t>
      </w:r>
      <w:proofErr w:type="spellEnd"/>
      <w:r w:rsidRPr="001D2A1D">
        <w:rPr>
          <w:lang w:val="en-GB"/>
        </w:rPr>
        <w:t xml:space="preserve"> et al. 2018; Finn et al. 2015) for </w:t>
      </w:r>
      <w:proofErr w:type="spellStart"/>
      <w:r w:rsidRPr="001D2A1D">
        <w:rPr>
          <w:lang w:val="en-GB"/>
        </w:rPr>
        <w:t>palbociclib</w:t>
      </w:r>
      <w:proofErr w:type="spellEnd"/>
      <w:r w:rsidRPr="001D2A1D">
        <w:rPr>
          <w:lang w:val="en-GB"/>
        </w:rPr>
        <w:t xml:space="preserve">, and MONARCH (Goetz et al. 2017; Sledge et al. 2017) for </w:t>
      </w:r>
      <w:proofErr w:type="spellStart"/>
      <w:r w:rsidRPr="001D2A1D">
        <w:rPr>
          <w:lang w:val="en-GB"/>
        </w:rPr>
        <w:t>abemaciclib</w:t>
      </w:r>
      <w:proofErr w:type="spellEnd"/>
      <w:r w:rsidRPr="001D2A1D">
        <w:rPr>
          <w:lang w:val="en-GB"/>
        </w:rPr>
        <w:t xml:space="preserve">. These studies focused on testing the hypothesis of treating CDK4/6 inhibitors in combination with an aromatase inhibitor or </w:t>
      </w:r>
      <w:proofErr w:type="spellStart"/>
      <w:r w:rsidRPr="001D2A1D">
        <w:rPr>
          <w:lang w:val="en-GB"/>
        </w:rPr>
        <w:t>fulvestrant</w:t>
      </w:r>
      <w:proofErr w:type="spellEnd"/>
      <w:r w:rsidRPr="001D2A1D">
        <w:rPr>
          <w:lang w:val="en-GB"/>
        </w:rPr>
        <w:t xml:space="preserve"> as an alternative to the gold standard. In these research findings, it was determined that there was a notable enhancement in effectiveness, supporting their application in clinical practice. However, this evaluation was based on clinical trials with very specific inclusion and exclusion criteria and in a highly controlled environment. It is then vital to study how these new molecules compare to current practice in terms of treatment effectiveness in a real-world setting. In the meticulously controlled setting of clinical trials, patient selection often skews towards relatively healthier individuals with fewer comorbidities. However, in real-world clinical practice, patients present a diverse range of health profiles, co-existing illnesses, and medication histories that may influence drug efficacy and safety. Real-world data, drawn from electronic health records, insurance claims databases, and </w:t>
      </w:r>
      <w:r w:rsidRPr="001D2A1D">
        <w:rPr>
          <w:lang w:val="en-GB"/>
        </w:rPr>
        <w:lastRenderedPageBreak/>
        <w:t>patient registries, offers the advantage of reflecting a more heterogeneous patient population, thus potentially uncovering insights not readily apparent in clinical trial settings. Understanding the effectiveness and safety of CDK4/6 inhibitors in real-world conditions is crucial for tailoring more individualized treatment regimens, optimizing outcomes, and enhancing quality of life for patients with HR+, HER2- breast cancer (</w:t>
      </w:r>
      <w:proofErr w:type="spellStart"/>
      <w:r w:rsidRPr="001D2A1D">
        <w:rPr>
          <w:lang w:val="en-GB"/>
        </w:rPr>
        <w:t>Harbeck</w:t>
      </w:r>
      <w:proofErr w:type="spellEnd"/>
      <w:r w:rsidRPr="001D2A1D">
        <w:rPr>
          <w:lang w:val="en-GB"/>
        </w:rPr>
        <w:t xml:space="preserve"> et al. 2021). Nevertheless, observational studies have inherent limitations, such as confounding by indication, which can lead to biased estimates of treatment effects. To tackle this, there are causality-based assessments that can be employed </w:t>
      </w:r>
      <w:proofErr w:type="gramStart"/>
      <w:r w:rsidRPr="001D2A1D">
        <w:rPr>
          <w:lang w:val="en-GB"/>
        </w:rPr>
        <w:t>in order to</w:t>
      </w:r>
      <w:proofErr w:type="gramEnd"/>
      <w:r w:rsidRPr="001D2A1D">
        <w:rPr>
          <w:lang w:val="en-GB"/>
        </w:rPr>
        <w:t xml:space="preserve"> better estimate the causal effects of treatments. Incorporating statistical techniques like Inverse Probability of Treatment Weighting (IPTW) can play an essential role in enhancing the quality of real-world evidence by accounting for treatment selection bias and balancing observed covariates between treatment groups. IPTW, grounded in the framework of causal inference, allows for the mimicking of a randomized control trial-like setting within observational studies. By assigning weights to individual patients based on their propensity scores—the likelihood of receiving a particular treatment given a set of observed characteristics—analyses can achieve balance between different treatment arms, thereby reducing bias and confounding factors. Establishing causality, rather than mere association, is vital for the robust interpretation of real-world data. As we strive to understand the long-term impact, efficacy, and safety of CDK4/6 inhibitors in HR+, HER2- breast cancer, the rigorous application of IPTW and causal inference methods can substantially augment the validity of real-world findings, making them a more reliable basis for clinical decision-making (Peter C. Austin 2011; Peter C. Austin 2014) So in this paper, we propose:</w:t>
      </w:r>
    </w:p>
    <w:p w14:paraId="783BAE35" w14:textId="77777777" w:rsidR="00247ECE" w:rsidRPr="001D2A1D" w:rsidRDefault="001D2A1D">
      <w:pPr>
        <w:numPr>
          <w:ilvl w:val="0"/>
          <w:numId w:val="2"/>
        </w:numPr>
        <w:rPr>
          <w:lang w:val="en-GB"/>
        </w:rPr>
      </w:pPr>
      <w:r w:rsidRPr="001D2A1D">
        <w:rPr>
          <w:lang w:val="en-GB"/>
        </w:rPr>
        <w:t xml:space="preserve">To compare the effectiveness of the CDK4/6 inhibitors drug class in terms of progression-free survival </w:t>
      </w:r>
      <m:oMath>
        <m:r>
          <m:rPr>
            <m:sty m:val="p"/>
          </m:rPr>
          <w:rPr>
            <w:rFonts w:ascii="Cambria Math" w:hAnsi="Cambria Math"/>
            <w:lang w:val="en-GB"/>
          </w:rPr>
          <m:t>(</m:t>
        </m:r>
      </m:oMath>
      <w:r w:rsidRPr="001D2A1D">
        <w:rPr>
          <w:lang w:val="en-GB"/>
        </w:rPr>
        <w:t>PFS</w:t>
      </w:r>
      <m:oMath>
        <m:r>
          <m:rPr>
            <m:sty m:val="p"/>
          </m:rPr>
          <w:rPr>
            <w:rFonts w:ascii="Cambria Math" w:hAnsi="Cambria Math"/>
            <w:lang w:val="en-GB"/>
          </w:rPr>
          <m:t>)</m:t>
        </m:r>
      </m:oMath>
      <w:r w:rsidRPr="001D2A1D">
        <w:rPr>
          <w:lang w:val="en-GB"/>
        </w:rPr>
        <w:t xml:space="preserve"> and overall survival </w:t>
      </w:r>
      <m:oMath>
        <m:r>
          <m:rPr>
            <m:sty m:val="p"/>
          </m:rPr>
          <w:rPr>
            <w:rFonts w:ascii="Cambria Math" w:hAnsi="Cambria Math"/>
            <w:lang w:val="en-GB"/>
          </w:rPr>
          <m:t>(</m:t>
        </m:r>
      </m:oMath>
      <w:r w:rsidRPr="001D2A1D">
        <w:rPr>
          <w:lang w:val="en-GB"/>
        </w:rPr>
        <w:t>OS</w:t>
      </w:r>
      <m:oMath>
        <m:r>
          <m:rPr>
            <m:sty m:val="p"/>
          </m:rPr>
          <w:rPr>
            <w:rFonts w:ascii="Cambria Math" w:hAnsi="Cambria Math"/>
            <w:lang w:val="en-GB"/>
          </w:rPr>
          <m:t>)</m:t>
        </m:r>
      </m:oMath>
      <w:r w:rsidRPr="001D2A1D">
        <w:rPr>
          <w:lang w:val="en-GB"/>
        </w:rPr>
        <w:t>;</w:t>
      </w:r>
    </w:p>
    <w:p w14:paraId="783BAE36" w14:textId="77777777" w:rsidR="00247ECE" w:rsidRPr="001D2A1D" w:rsidRDefault="001D2A1D">
      <w:pPr>
        <w:numPr>
          <w:ilvl w:val="0"/>
          <w:numId w:val="2"/>
        </w:numPr>
        <w:rPr>
          <w:lang w:val="en-GB"/>
        </w:rPr>
      </w:pPr>
      <w:proofErr w:type="spellStart"/>
      <w:r w:rsidRPr="001D2A1D">
        <w:rPr>
          <w:lang w:val="en-GB"/>
        </w:rPr>
        <w:t>Asess</w:t>
      </w:r>
      <w:proofErr w:type="spellEnd"/>
      <w:r w:rsidRPr="001D2A1D">
        <w:rPr>
          <w:lang w:val="en-GB"/>
        </w:rPr>
        <w:t xml:space="preserve"> the Hazard Ratio of using the CDK4/6 inhibitors drug class in terms of PFS and OS.</w:t>
      </w:r>
    </w:p>
    <w:p w14:paraId="783BAE37" w14:textId="77777777" w:rsidR="00247ECE" w:rsidRPr="001D2A1D" w:rsidRDefault="001D2A1D">
      <w:pPr>
        <w:numPr>
          <w:ilvl w:val="0"/>
          <w:numId w:val="2"/>
        </w:numPr>
        <w:rPr>
          <w:lang w:val="en-GB"/>
        </w:rPr>
      </w:pPr>
      <w:r w:rsidRPr="001D2A1D">
        <w:rPr>
          <w:lang w:val="en-GB"/>
        </w:rPr>
        <w:t xml:space="preserve">To compare the effectiveness of CDK4/6 inhibitors in combination with an aromatase inhibitor or </w:t>
      </w:r>
      <w:proofErr w:type="spellStart"/>
      <w:r w:rsidRPr="001D2A1D">
        <w:rPr>
          <w:lang w:val="en-GB"/>
        </w:rPr>
        <w:t>fulvestrant</w:t>
      </w:r>
      <w:proofErr w:type="spellEnd"/>
      <w:r w:rsidRPr="001D2A1D">
        <w:rPr>
          <w:lang w:val="en-GB"/>
        </w:rPr>
        <w:t xml:space="preserve"> with the current standard of care in terms of PFS and OS in patients with HR+, HER2- advanced breast cancer.</w:t>
      </w:r>
    </w:p>
    <w:p w14:paraId="783BAE38" w14:textId="77777777" w:rsidR="00247ECE" w:rsidRPr="001D2A1D" w:rsidRDefault="001D2A1D">
      <w:pPr>
        <w:numPr>
          <w:ilvl w:val="0"/>
          <w:numId w:val="2"/>
        </w:numPr>
        <w:rPr>
          <w:lang w:val="en-GB"/>
        </w:rPr>
      </w:pPr>
      <w:r w:rsidRPr="001D2A1D">
        <w:rPr>
          <w:lang w:val="en-GB"/>
        </w:rPr>
        <w:t xml:space="preserve">assess the differences in effectiveness between the three CDK4/6 inhibitors in combination with an aromatase inhibitor or </w:t>
      </w:r>
      <w:proofErr w:type="spellStart"/>
      <w:r w:rsidRPr="001D2A1D">
        <w:rPr>
          <w:lang w:val="en-GB"/>
        </w:rPr>
        <w:t>fulvestrant</w:t>
      </w:r>
      <w:proofErr w:type="spellEnd"/>
      <w:r w:rsidRPr="001D2A1D">
        <w:rPr>
          <w:lang w:val="en-GB"/>
        </w:rPr>
        <w:t xml:space="preserve"> in terms of PFS and OS with causality principles in mind, especially the counterfactual theory and </w:t>
      </w:r>
      <w:proofErr w:type="gramStart"/>
      <w:r w:rsidRPr="001D2A1D">
        <w:rPr>
          <w:lang w:val="en-GB"/>
        </w:rPr>
        <w:t>IPTW ;</w:t>
      </w:r>
      <w:proofErr w:type="gramEnd"/>
    </w:p>
    <w:p w14:paraId="783BAE39" w14:textId="77777777" w:rsidR="00247ECE" w:rsidRPr="001D2A1D" w:rsidRDefault="001D2A1D">
      <w:pPr>
        <w:pStyle w:val="Ttulo1"/>
        <w:rPr>
          <w:lang w:val="en-GB"/>
        </w:rPr>
      </w:pPr>
      <w:bookmarkStart w:id="1" w:name="materials-and-methods"/>
      <w:bookmarkEnd w:id="0"/>
      <w:r w:rsidRPr="001D2A1D">
        <w:rPr>
          <w:lang w:val="en-GB"/>
        </w:rPr>
        <w:t>Materials and Methods</w:t>
      </w:r>
    </w:p>
    <w:p w14:paraId="783BAE3A" w14:textId="77777777" w:rsidR="00247ECE" w:rsidRPr="001D2A1D" w:rsidRDefault="001D2A1D">
      <w:pPr>
        <w:pStyle w:val="Ttulo2"/>
        <w:rPr>
          <w:lang w:val="en-GB"/>
        </w:rPr>
      </w:pPr>
      <w:bookmarkStart w:id="2" w:name="study-design"/>
      <w:r w:rsidRPr="001D2A1D">
        <w:rPr>
          <w:lang w:val="en-GB"/>
        </w:rPr>
        <w:t>Study Design</w:t>
      </w:r>
    </w:p>
    <w:p w14:paraId="783BAE3B" w14:textId="77777777" w:rsidR="00247ECE" w:rsidRPr="001D2A1D" w:rsidRDefault="001D2A1D">
      <w:pPr>
        <w:pStyle w:val="FirstParagraph"/>
        <w:rPr>
          <w:lang w:val="en-GB"/>
        </w:rPr>
      </w:pPr>
      <w:r w:rsidRPr="001D2A1D">
        <w:rPr>
          <w:lang w:val="en-GB"/>
        </w:rPr>
        <w:t>This retrospective study was designed in 2022. The aim of the study was to evaluate the clinical benefit and long-term survival of patients with HR+/HER2</w:t>
      </w:r>
      <m:oMath>
        <m:r>
          <m:rPr>
            <m:sty m:val="p"/>
          </m:rPr>
          <w:rPr>
            <w:rFonts w:ascii="Cambria Math" w:hAnsi="Cambria Math"/>
            <w:lang w:val="en-GB"/>
          </w:rPr>
          <m:t>-</m:t>
        </m:r>
      </m:oMath>
      <w:r w:rsidRPr="001D2A1D">
        <w:rPr>
          <w:lang w:val="en-GB"/>
        </w:rPr>
        <w:t xml:space="preserve"> that started </w:t>
      </w:r>
      <w:r w:rsidRPr="001D2A1D">
        <w:rPr>
          <w:lang w:val="en-GB"/>
        </w:rPr>
        <w:lastRenderedPageBreak/>
        <w:t xml:space="preserve">treatment with CDK46 inhibitors plus endocrine therapy in different lines of treatment between the 14th of March 2017 and the 31st of December 2021. The follow-up period was set until June 2022. Inclusion criteria: postmenopausal women, men, Oestrogen Receptor positive % (defined by ER expression </w:t>
      </w:r>
      <m:oMath>
        <m:r>
          <m:rPr>
            <m:sty m:val="p"/>
          </m:rPr>
          <w:rPr>
            <w:rFonts w:ascii="Cambria Math" w:hAnsi="Cambria Math"/>
            <w:lang w:val="en-GB"/>
          </w:rPr>
          <m:t>≥</m:t>
        </m:r>
      </m:oMath>
      <w:r w:rsidRPr="001D2A1D">
        <w:rPr>
          <w:lang w:val="en-GB"/>
        </w:rPr>
        <w:t xml:space="preserve"> 1 % of tumour cell by immunohistochemistry, IHC) and HER2 negative (by IHC and/or amplification assay) in the primary tumour or metastatic site after biopsy. Exclusion criteria: Patients that had only ambulatory medication, and patients involved in clinical trials, diagnosed with other neoplasms or with active treatment during the study period. The comparison group was defined by a population of patients, that were treated with hormone therapy as first-line (due to bone metastases) between 2015 and 13 of match 2017.</w:t>
      </w:r>
    </w:p>
    <w:p w14:paraId="783BAE3C" w14:textId="77777777" w:rsidR="00247ECE" w:rsidRPr="001D2A1D" w:rsidRDefault="001D2A1D">
      <w:pPr>
        <w:pStyle w:val="Corpodetexto"/>
        <w:rPr>
          <w:lang w:val="en-GB"/>
        </w:rPr>
      </w:pPr>
      <w:r w:rsidRPr="001D2A1D">
        <w:rPr>
          <w:lang w:val="en-GB"/>
        </w:rPr>
        <w:t>The evaluation of effectiveness will involve overall survival and progression-free analysis. We will compare the three different cyclin-dependent kinase inhibitors in terms of efficacy in real-world patients and will also compare the effectiveness of this class of drug against traditional endocrine therapy.</w:t>
      </w:r>
    </w:p>
    <w:p w14:paraId="783BAE3D" w14:textId="77777777" w:rsidR="00247ECE" w:rsidRPr="001D2A1D" w:rsidRDefault="001D2A1D">
      <w:pPr>
        <w:pStyle w:val="Ttulo2"/>
        <w:rPr>
          <w:lang w:val="en-GB"/>
        </w:rPr>
      </w:pPr>
      <w:bookmarkStart w:id="3" w:name="data-collection"/>
      <w:bookmarkEnd w:id="2"/>
      <w:r w:rsidRPr="001D2A1D">
        <w:rPr>
          <w:lang w:val="en-GB"/>
        </w:rPr>
        <w:t>Data collection</w:t>
      </w:r>
    </w:p>
    <w:p w14:paraId="783BAE3E" w14:textId="77777777" w:rsidR="00247ECE" w:rsidRPr="001D2A1D" w:rsidRDefault="001D2A1D">
      <w:pPr>
        <w:pStyle w:val="FirstParagraph"/>
        <w:rPr>
          <w:lang w:val="en-GB"/>
        </w:rPr>
      </w:pPr>
      <w:r w:rsidRPr="001D2A1D">
        <w:rPr>
          <w:lang w:val="en-GB"/>
        </w:rPr>
        <w:t xml:space="preserve">All data were collected from original medical records from baseline to last visit or death. </w:t>
      </w:r>
      <w:proofErr w:type="spellStart"/>
      <w:r w:rsidRPr="00895603">
        <w:rPr>
          <w:lang w:val="pt-PT"/>
        </w:rPr>
        <w:t>The</w:t>
      </w:r>
      <w:proofErr w:type="spellEnd"/>
      <w:r w:rsidRPr="00895603">
        <w:rPr>
          <w:lang w:val="pt-PT"/>
        </w:rPr>
        <w:t xml:space="preserve"> data </w:t>
      </w:r>
      <w:proofErr w:type="spellStart"/>
      <w:r w:rsidRPr="00895603">
        <w:rPr>
          <w:lang w:val="pt-PT"/>
        </w:rPr>
        <w:t>was</w:t>
      </w:r>
      <w:proofErr w:type="spellEnd"/>
      <w:r w:rsidRPr="00895603">
        <w:rPr>
          <w:lang w:val="pt-PT"/>
        </w:rPr>
        <w:t xml:space="preserve"> </w:t>
      </w:r>
      <w:proofErr w:type="spellStart"/>
      <w:r w:rsidRPr="00895603">
        <w:rPr>
          <w:lang w:val="pt-PT"/>
        </w:rPr>
        <w:t>collected</w:t>
      </w:r>
      <w:proofErr w:type="spellEnd"/>
      <w:r w:rsidRPr="00895603">
        <w:rPr>
          <w:lang w:val="pt-PT"/>
        </w:rPr>
        <w:t xml:space="preserve"> </w:t>
      </w:r>
      <w:proofErr w:type="spellStart"/>
      <w:r w:rsidRPr="00895603">
        <w:rPr>
          <w:lang w:val="pt-PT"/>
        </w:rPr>
        <w:t>from</w:t>
      </w:r>
      <w:proofErr w:type="spellEnd"/>
      <w:r w:rsidRPr="00895603">
        <w:rPr>
          <w:lang w:val="pt-PT"/>
        </w:rPr>
        <w:t xml:space="preserve"> Instituto Português de Oncologia – Porto (IPO-P). </w:t>
      </w:r>
      <w:r w:rsidRPr="001D2A1D">
        <w:rPr>
          <w:lang w:val="en-GB"/>
        </w:rPr>
        <w:t xml:space="preserve">Table </w:t>
      </w:r>
      <w:hyperlink w:anchor="tab:stats_ipop_cdk">
        <w:r w:rsidRPr="001D2A1D">
          <w:rPr>
            <w:rStyle w:val="Hiperligao"/>
            <w:lang w:val="en-GB"/>
          </w:rPr>
          <w:t>1</w:t>
        </w:r>
      </w:hyperlink>
      <w:r w:rsidRPr="001D2A1D">
        <w:rPr>
          <w:lang w:val="en-GB"/>
        </w:rPr>
        <w:t xml:space="preserve"> shows a comparison between the groups. Data included for population treated with CDK46 inhibitors plus endocrine therapy : demographic information, age at first diagnosis and age at the beginning of treatment, clinical characteristics and performance status by Eastern Cooperative Oncology Group scale (ECOG), treatment line and treatment schema - CDK46 inhibitor and endocrine therapy, stage of the cancer, site of metastases (bone, soft tissue, visceral, visceral and bone, central nervous system-CNS with or without another site). Data included for population treated with endocrine therapy as first-line: demographic information, age at first diagnosis and age at the beginning of treatment, clinical </w:t>
      </w:r>
      <w:proofErr w:type="gramStart"/>
      <w:r w:rsidRPr="001D2A1D">
        <w:rPr>
          <w:lang w:val="en-GB"/>
        </w:rPr>
        <w:t>characteristics</w:t>
      </w:r>
      <w:proofErr w:type="gramEnd"/>
      <w:r w:rsidRPr="001D2A1D">
        <w:rPr>
          <w:lang w:val="en-GB"/>
        </w:rPr>
        <w:t xml:space="preserve"> and performance status by Eastern Cooperative Oncology Group scale (ECOG), stage of the cancer.</w:t>
      </w:r>
    </w:p>
    <w:p w14:paraId="783BAE3F" w14:textId="77777777" w:rsidR="00247ECE" w:rsidRPr="001D2A1D" w:rsidRDefault="001D2A1D">
      <w:pPr>
        <w:pStyle w:val="Corpodetexto"/>
        <w:rPr>
          <w:lang w:val="en-GB"/>
        </w:rPr>
      </w:pPr>
      <w:r w:rsidRPr="001D2A1D">
        <w:rPr>
          <w:lang w:val="en-GB"/>
        </w:rPr>
        <w:t xml:space="preserve">For comparison purposes, we used </w:t>
      </w:r>
      <w:proofErr w:type="spellStart"/>
      <w:r w:rsidRPr="001D2A1D">
        <w:rPr>
          <w:lang w:val="en-GB"/>
        </w:rPr>
        <w:t>palbociclib</w:t>
      </w:r>
      <w:proofErr w:type="spellEnd"/>
      <w:r w:rsidRPr="001D2A1D">
        <w:rPr>
          <w:lang w:val="en-GB"/>
        </w:rPr>
        <w:t xml:space="preserve"> and </w:t>
      </w:r>
      <w:proofErr w:type="spellStart"/>
      <w:r w:rsidRPr="001D2A1D">
        <w:rPr>
          <w:lang w:val="en-GB"/>
        </w:rPr>
        <w:t>ribociclib</w:t>
      </w:r>
      <w:proofErr w:type="spellEnd"/>
      <w:r w:rsidRPr="001D2A1D">
        <w:rPr>
          <w:lang w:val="en-GB"/>
        </w:rPr>
        <w:t xml:space="preserve"> since we had a small number of patients treated with </w:t>
      </w:r>
      <w:proofErr w:type="spellStart"/>
      <w:r w:rsidRPr="001D2A1D">
        <w:rPr>
          <w:lang w:val="en-GB"/>
        </w:rPr>
        <w:t>abemaciclib</w:t>
      </w:r>
      <w:proofErr w:type="spellEnd"/>
      <w:r w:rsidRPr="001D2A1D">
        <w:rPr>
          <w:lang w:val="en-GB"/>
        </w:rPr>
        <w:t xml:space="preserve"> (12).</w:t>
      </w:r>
    </w:p>
    <w:p w14:paraId="783BAE40" w14:textId="77777777" w:rsidR="00247ECE" w:rsidRPr="001D2A1D" w:rsidRDefault="00247ECE">
      <w:pPr>
        <w:pStyle w:val="Corpodetexto"/>
        <w:rPr>
          <w:lang w:val="en-GB"/>
        </w:rPr>
      </w:pPr>
    </w:p>
    <w:p w14:paraId="783BAE41" w14:textId="77777777" w:rsidR="00247ECE" w:rsidRPr="001D2A1D" w:rsidRDefault="001D2A1D">
      <w:pPr>
        <w:pStyle w:val="TableCaption"/>
        <w:rPr>
          <w:lang w:val="en-GB"/>
        </w:rPr>
      </w:pPr>
      <w:bookmarkStart w:id="4" w:name="tab:stats_ipop_cdk"/>
      <w:r w:rsidRPr="001D2A1D">
        <w:rPr>
          <w:lang w:val="en-GB"/>
        </w:rPr>
        <w:t>Descriptive statistics of cyclin-dependent kinase inhibitors group and endocrine therapy group. The Drug/combination refers to the actual drug or the combination for CDK4/6</w:t>
      </w:r>
    </w:p>
    <w:tbl>
      <w:tblPr>
        <w:tblStyle w:val="Table"/>
        <w:tblW w:w="0" w:type="auto"/>
        <w:tblLook w:val="0020" w:firstRow="1" w:lastRow="0" w:firstColumn="0" w:lastColumn="0" w:noHBand="0" w:noVBand="0"/>
      </w:tblPr>
      <w:tblGrid>
        <w:gridCol w:w="2128"/>
        <w:gridCol w:w="1883"/>
        <w:gridCol w:w="1883"/>
        <w:gridCol w:w="1883"/>
      </w:tblGrid>
      <w:tr w:rsidR="00247ECE" w:rsidRPr="001D2A1D" w14:paraId="783BAE46" w14:textId="77777777" w:rsidTr="00247ECE">
        <w:trPr>
          <w:cnfStyle w:val="100000000000" w:firstRow="1" w:lastRow="0" w:firstColumn="0" w:lastColumn="0" w:oddVBand="0" w:evenVBand="0" w:oddHBand="0" w:evenHBand="0" w:firstRowFirstColumn="0" w:firstRowLastColumn="0" w:lastRowFirstColumn="0" w:lastRowLastColumn="0"/>
          <w:tblHeader/>
        </w:trPr>
        <w:tc>
          <w:tcPr>
            <w:tcW w:w="0" w:type="auto"/>
          </w:tcPr>
          <w:p w14:paraId="783BAE42" w14:textId="77777777" w:rsidR="00247ECE" w:rsidRPr="001D2A1D" w:rsidRDefault="001D2A1D">
            <w:pPr>
              <w:pStyle w:val="Compact"/>
              <w:rPr>
                <w:lang w:val="en-GB"/>
              </w:rPr>
            </w:pPr>
            <w:r w:rsidRPr="001D2A1D">
              <w:rPr>
                <w:lang w:val="en-GB"/>
              </w:rPr>
              <w:t> </w:t>
            </w:r>
          </w:p>
        </w:tc>
        <w:tc>
          <w:tcPr>
            <w:tcW w:w="0" w:type="auto"/>
          </w:tcPr>
          <w:p w14:paraId="783BAE43" w14:textId="77777777" w:rsidR="00247ECE" w:rsidRPr="001D2A1D" w:rsidRDefault="001D2A1D">
            <w:pPr>
              <w:pStyle w:val="Compact"/>
              <w:rPr>
                <w:lang w:val="en-GB"/>
              </w:rPr>
            </w:pPr>
            <w:r w:rsidRPr="001D2A1D">
              <w:rPr>
                <w:lang w:val="en-GB"/>
              </w:rPr>
              <w:t>ET</w:t>
            </w:r>
          </w:p>
        </w:tc>
        <w:tc>
          <w:tcPr>
            <w:tcW w:w="0" w:type="auto"/>
          </w:tcPr>
          <w:p w14:paraId="783BAE44" w14:textId="77777777" w:rsidR="00247ECE" w:rsidRPr="001D2A1D" w:rsidRDefault="001D2A1D">
            <w:pPr>
              <w:pStyle w:val="Compact"/>
              <w:rPr>
                <w:lang w:val="en-GB"/>
              </w:rPr>
            </w:pPr>
            <w:r w:rsidRPr="001D2A1D">
              <w:rPr>
                <w:lang w:val="en-GB"/>
              </w:rPr>
              <w:t>Palbociclib</w:t>
            </w:r>
          </w:p>
        </w:tc>
        <w:tc>
          <w:tcPr>
            <w:tcW w:w="0" w:type="auto"/>
          </w:tcPr>
          <w:p w14:paraId="783BAE45" w14:textId="77777777" w:rsidR="00247ECE" w:rsidRPr="001D2A1D" w:rsidRDefault="001D2A1D">
            <w:pPr>
              <w:pStyle w:val="Compact"/>
              <w:rPr>
                <w:lang w:val="en-GB"/>
              </w:rPr>
            </w:pPr>
            <w:proofErr w:type="spellStart"/>
            <w:r w:rsidRPr="001D2A1D">
              <w:rPr>
                <w:lang w:val="en-GB"/>
              </w:rPr>
              <w:t>Ribociclib</w:t>
            </w:r>
            <w:proofErr w:type="spellEnd"/>
          </w:p>
        </w:tc>
      </w:tr>
      <w:tr w:rsidR="00247ECE" w:rsidRPr="001D2A1D" w14:paraId="783BAE4B" w14:textId="77777777">
        <w:tc>
          <w:tcPr>
            <w:tcW w:w="0" w:type="auto"/>
          </w:tcPr>
          <w:p w14:paraId="783BAE47" w14:textId="77777777" w:rsidR="00247ECE" w:rsidRPr="001D2A1D" w:rsidRDefault="00247ECE">
            <w:pPr>
              <w:pStyle w:val="Compact"/>
              <w:rPr>
                <w:lang w:val="en-GB"/>
              </w:rPr>
            </w:pPr>
          </w:p>
        </w:tc>
        <w:tc>
          <w:tcPr>
            <w:tcW w:w="0" w:type="auto"/>
          </w:tcPr>
          <w:p w14:paraId="783BAE48" w14:textId="77777777" w:rsidR="00247ECE" w:rsidRPr="001D2A1D" w:rsidRDefault="001D2A1D">
            <w:pPr>
              <w:pStyle w:val="Compact"/>
              <w:rPr>
                <w:lang w:val="en-GB"/>
              </w:rPr>
            </w:pPr>
            <w:r w:rsidRPr="001D2A1D">
              <w:rPr>
                <w:lang w:val="en-GB"/>
              </w:rPr>
              <w:t>(N=43)</w:t>
            </w:r>
          </w:p>
        </w:tc>
        <w:tc>
          <w:tcPr>
            <w:tcW w:w="0" w:type="auto"/>
          </w:tcPr>
          <w:p w14:paraId="783BAE49" w14:textId="77777777" w:rsidR="00247ECE" w:rsidRPr="001D2A1D" w:rsidRDefault="001D2A1D">
            <w:pPr>
              <w:pStyle w:val="Compact"/>
              <w:rPr>
                <w:lang w:val="en-GB"/>
              </w:rPr>
            </w:pPr>
            <w:r w:rsidRPr="001D2A1D">
              <w:rPr>
                <w:lang w:val="en-GB"/>
              </w:rPr>
              <w:t>(N=247)</w:t>
            </w:r>
          </w:p>
        </w:tc>
        <w:tc>
          <w:tcPr>
            <w:tcW w:w="0" w:type="auto"/>
          </w:tcPr>
          <w:p w14:paraId="783BAE4A" w14:textId="77777777" w:rsidR="00247ECE" w:rsidRPr="001D2A1D" w:rsidRDefault="001D2A1D">
            <w:pPr>
              <w:pStyle w:val="Compact"/>
              <w:rPr>
                <w:lang w:val="en-GB"/>
              </w:rPr>
            </w:pPr>
            <w:r w:rsidRPr="001D2A1D">
              <w:rPr>
                <w:lang w:val="en-GB"/>
              </w:rPr>
              <w:t>(N=106)</w:t>
            </w:r>
          </w:p>
        </w:tc>
      </w:tr>
      <w:tr w:rsidR="00247ECE" w:rsidRPr="001D2A1D" w14:paraId="783BAE50" w14:textId="77777777">
        <w:tc>
          <w:tcPr>
            <w:tcW w:w="0" w:type="auto"/>
          </w:tcPr>
          <w:p w14:paraId="783BAE4C" w14:textId="77777777" w:rsidR="00247ECE" w:rsidRPr="001D2A1D" w:rsidRDefault="00247ECE">
            <w:pPr>
              <w:pStyle w:val="Compact"/>
              <w:rPr>
                <w:lang w:val="en-GB"/>
              </w:rPr>
            </w:pPr>
          </w:p>
        </w:tc>
        <w:tc>
          <w:tcPr>
            <w:tcW w:w="0" w:type="auto"/>
          </w:tcPr>
          <w:p w14:paraId="783BAE4D" w14:textId="77777777" w:rsidR="00247ECE" w:rsidRPr="001D2A1D" w:rsidRDefault="00247ECE">
            <w:pPr>
              <w:pStyle w:val="Compact"/>
              <w:rPr>
                <w:lang w:val="en-GB"/>
              </w:rPr>
            </w:pPr>
          </w:p>
        </w:tc>
        <w:tc>
          <w:tcPr>
            <w:tcW w:w="0" w:type="auto"/>
          </w:tcPr>
          <w:p w14:paraId="783BAE4E" w14:textId="77777777" w:rsidR="00247ECE" w:rsidRPr="001D2A1D" w:rsidRDefault="00247ECE">
            <w:pPr>
              <w:pStyle w:val="Compact"/>
              <w:rPr>
                <w:lang w:val="en-GB"/>
              </w:rPr>
            </w:pPr>
          </w:p>
        </w:tc>
        <w:tc>
          <w:tcPr>
            <w:tcW w:w="0" w:type="auto"/>
          </w:tcPr>
          <w:p w14:paraId="783BAE4F" w14:textId="77777777" w:rsidR="00247ECE" w:rsidRPr="001D2A1D" w:rsidRDefault="00247ECE">
            <w:pPr>
              <w:pStyle w:val="Compact"/>
              <w:rPr>
                <w:lang w:val="en-GB"/>
              </w:rPr>
            </w:pPr>
          </w:p>
        </w:tc>
      </w:tr>
      <w:tr w:rsidR="00247ECE" w:rsidRPr="001D2A1D" w14:paraId="783BAE55" w14:textId="77777777">
        <w:tc>
          <w:tcPr>
            <w:tcW w:w="0" w:type="auto"/>
          </w:tcPr>
          <w:p w14:paraId="783BAE51" w14:textId="77777777" w:rsidR="00247ECE" w:rsidRPr="001D2A1D" w:rsidRDefault="001D2A1D">
            <w:pPr>
              <w:pStyle w:val="Compact"/>
              <w:rPr>
                <w:lang w:val="en-GB"/>
              </w:rPr>
            </w:pPr>
            <w:r w:rsidRPr="001D2A1D">
              <w:rPr>
                <w:lang w:val="en-GB"/>
              </w:rPr>
              <w:t>Mean (SD)</w:t>
            </w:r>
          </w:p>
        </w:tc>
        <w:tc>
          <w:tcPr>
            <w:tcW w:w="0" w:type="auto"/>
          </w:tcPr>
          <w:p w14:paraId="783BAE52" w14:textId="77777777" w:rsidR="00247ECE" w:rsidRPr="001D2A1D" w:rsidRDefault="001D2A1D">
            <w:pPr>
              <w:pStyle w:val="Compact"/>
              <w:rPr>
                <w:lang w:val="en-GB"/>
              </w:rPr>
            </w:pPr>
            <w:r w:rsidRPr="001D2A1D">
              <w:rPr>
                <w:lang w:val="en-GB"/>
              </w:rPr>
              <w:t>60.1 (12.4)</w:t>
            </w:r>
          </w:p>
        </w:tc>
        <w:tc>
          <w:tcPr>
            <w:tcW w:w="0" w:type="auto"/>
          </w:tcPr>
          <w:p w14:paraId="783BAE53" w14:textId="77777777" w:rsidR="00247ECE" w:rsidRPr="001D2A1D" w:rsidRDefault="001D2A1D">
            <w:pPr>
              <w:pStyle w:val="Compact"/>
              <w:rPr>
                <w:lang w:val="en-GB"/>
              </w:rPr>
            </w:pPr>
            <w:r w:rsidRPr="001D2A1D">
              <w:rPr>
                <w:lang w:val="en-GB"/>
              </w:rPr>
              <w:t>59.2 (11.7)</w:t>
            </w:r>
          </w:p>
        </w:tc>
        <w:tc>
          <w:tcPr>
            <w:tcW w:w="0" w:type="auto"/>
          </w:tcPr>
          <w:p w14:paraId="783BAE54" w14:textId="77777777" w:rsidR="00247ECE" w:rsidRPr="001D2A1D" w:rsidRDefault="001D2A1D">
            <w:pPr>
              <w:pStyle w:val="Compact"/>
              <w:rPr>
                <w:lang w:val="en-GB"/>
              </w:rPr>
            </w:pPr>
            <w:r w:rsidRPr="001D2A1D">
              <w:rPr>
                <w:lang w:val="en-GB"/>
              </w:rPr>
              <w:t>58.2 (10.7)</w:t>
            </w:r>
          </w:p>
        </w:tc>
      </w:tr>
      <w:tr w:rsidR="00247ECE" w:rsidRPr="001D2A1D" w14:paraId="783BAE5A" w14:textId="77777777">
        <w:tc>
          <w:tcPr>
            <w:tcW w:w="0" w:type="auto"/>
          </w:tcPr>
          <w:p w14:paraId="783BAE56" w14:textId="77777777" w:rsidR="00247ECE" w:rsidRPr="001D2A1D" w:rsidRDefault="001D2A1D">
            <w:pPr>
              <w:pStyle w:val="Compact"/>
              <w:rPr>
                <w:lang w:val="en-GB"/>
              </w:rPr>
            </w:pPr>
            <w:r w:rsidRPr="001D2A1D">
              <w:rPr>
                <w:lang w:val="en-GB"/>
              </w:rPr>
              <w:t>Median [Min, Max]</w:t>
            </w:r>
          </w:p>
        </w:tc>
        <w:tc>
          <w:tcPr>
            <w:tcW w:w="0" w:type="auto"/>
          </w:tcPr>
          <w:p w14:paraId="783BAE57" w14:textId="77777777" w:rsidR="00247ECE" w:rsidRPr="001D2A1D" w:rsidRDefault="001D2A1D">
            <w:pPr>
              <w:pStyle w:val="Compact"/>
              <w:rPr>
                <w:lang w:val="en-GB"/>
              </w:rPr>
            </w:pPr>
            <w:r w:rsidRPr="001D2A1D">
              <w:rPr>
                <w:lang w:val="en-GB"/>
              </w:rPr>
              <w:t>62.0 [34.0, 85.0]</w:t>
            </w:r>
          </w:p>
        </w:tc>
        <w:tc>
          <w:tcPr>
            <w:tcW w:w="0" w:type="auto"/>
          </w:tcPr>
          <w:p w14:paraId="783BAE58" w14:textId="77777777" w:rsidR="00247ECE" w:rsidRPr="001D2A1D" w:rsidRDefault="001D2A1D">
            <w:pPr>
              <w:pStyle w:val="Compact"/>
              <w:rPr>
                <w:lang w:val="en-GB"/>
              </w:rPr>
            </w:pPr>
            <w:r w:rsidRPr="001D2A1D">
              <w:rPr>
                <w:lang w:val="en-GB"/>
              </w:rPr>
              <w:t>60.0 [28.0, 84.0]</w:t>
            </w:r>
          </w:p>
        </w:tc>
        <w:tc>
          <w:tcPr>
            <w:tcW w:w="0" w:type="auto"/>
          </w:tcPr>
          <w:p w14:paraId="783BAE59" w14:textId="77777777" w:rsidR="00247ECE" w:rsidRPr="001D2A1D" w:rsidRDefault="001D2A1D">
            <w:pPr>
              <w:pStyle w:val="Compact"/>
              <w:rPr>
                <w:lang w:val="en-GB"/>
              </w:rPr>
            </w:pPr>
            <w:r w:rsidRPr="001D2A1D">
              <w:rPr>
                <w:lang w:val="en-GB"/>
              </w:rPr>
              <w:t>58.0 [32.0, 79.0]</w:t>
            </w:r>
          </w:p>
        </w:tc>
      </w:tr>
      <w:tr w:rsidR="00247ECE" w:rsidRPr="001D2A1D" w14:paraId="783BAE5F" w14:textId="77777777">
        <w:tc>
          <w:tcPr>
            <w:tcW w:w="0" w:type="auto"/>
          </w:tcPr>
          <w:p w14:paraId="783BAE5B" w14:textId="77777777" w:rsidR="00247ECE" w:rsidRPr="001D2A1D" w:rsidRDefault="00247ECE">
            <w:pPr>
              <w:pStyle w:val="Compact"/>
              <w:rPr>
                <w:lang w:val="en-GB"/>
              </w:rPr>
            </w:pPr>
          </w:p>
        </w:tc>
        <w:tc>
          <w:tcPr>
            <w:tcW w:w="0" w:type="auto"/>
          </w:tcPr>
          <w:p w14:paraId="783BAE5C" w14:textId="77777777" w:rsidR="00247ECE" w:rsidRPr="001D2A1D" w:rsidRDefault="00247ECE">
            <w:pPr>
              <w:pStyle w:val="Compact"/>
              <w:rPr>
                <w:lang w:val="en-GB"/>
              </w:rPr>
            </w:pPr>
          </w:p>
        </w:tc>
        <w:tc>
          <w:tcPr>
            <w:tcW w:w="0" w:type="auto"/>
          </w:tcPr>
          <w:p w14:paraId="783BAE5D" w14:textId="77777777" w:rsidR="00247ECE" w:rsidRPr="001D2A1D" w:rsidRDefault="00247ECE">
            <w:pPr>
              <w:pStyle w:val="Compact"/>
              <w:rPr>
                <w:lang w:val="en-GB"/>
              </w:rPr>
            </w:pPr>
          </w:p>
        </w:tc>
        <w:tc>
          <w:tcPr>
            <w:tcW w:w="0" w:type="auto"/>
          </w:tcPr>
          <w:p w14:paraId="783BAE5E" w14:textId="77777777" w:rsidR="00247ECE" w:rsidRPr="001D2A1D" w:rsidRDefault="00247ECE">
            <w:pPr>
              <w:pStyle w:val="Compact"/>
              <w:rPr>
                <w:lang w:val="en-GB"/>
              </w:rPr>
            </w:pPr>
          </w:p>
        </w:tc>
      </w:tr>
      <w:tr w:rsidR="00247ECE" w:rsidRPr="001D2A1D" w14:paraId="783BAE64" w14:textId="77777777">
        <w:tc>
          <w:tcPr>
            <w:tcW w:w="0" w:type="auto"/>
          </w:tcPr>
          <w:p w14:paraId="783BAE60" w14:textId="77777777" w:rsidR="00247ECE" w:rsidRPr="001D2A1D" w:rsidRDefault="001D2A1D">
            <w:pPr>
              <w:pStyle w:val="Compact"/>
              <w:rPr>
                <w:lang w:val="en-GB"/>
              </w:rPr>
            </w:pPr>
            <w:r w:rsidRPr="001D2A1D">
              <w:rPr>
                <w:lang w:val="en-GB"/>
              </w:rPr>
              <w:lastRenderedPageBreak/>
              <w:t>+</w:t>
            </w:r>
          </w:p>
        </w:tc>
        <w:tc>
          <w:tcPr>
            <w:tcW w:w="0" w:type="auto"/>
          </w:tcPr>
          <w:p w14:paraId="783BAE61" w14:textId="77777777" w:rsidR="00247ECE" w:rsidRPr="001D2A1D" w:rsidRDefault="001D2A1D">
            <w:pPr>
              <w:pStyle w:val="Compact"/>
              <w:rPr>
                <w:lang w:val="en-GB"/>
              </w:rPr>
            </w:pPr>
            <w:r w:rsidRPr="001D2A1D">
              <w:rPr>
                <w:lang w:val="en-GB"/>
              </w:rPr>
              <w:t>42 (98 %)</w:t>
            </w:r>
          </w:p>
        </w:tc>
        <w:tc>
          <w:tcPr>
            <w:tcW w:w="0" w:type="auto"/>
          </w:tcPr>
          <w:p w14:paraId="783BAE62" w14:textId="77777777" w:rsidR="00247ECE" w:rsidRPr="001D2A1D" w:rsidRDefault="001D2A1D">
            <w:pPr>
              <w:pStyle w:val="Compact"/>
              <w:rPr>
                <w:lang w:val="en-GB"/>
              </w:rPr>
            </w:pPr>
            <w:r w:rsidRPr="001D2A1D">
              <w:rPr>
                <w:lang w:val="en-GB"/>
              </w:rPr>
              <w:t>247 (100 %)</w:t>
            </w:r>
          </w:p>
        </w:tc>
        <w:tc>
          <w:tcPr>
            <w:tcW w:w="0" w:type="auto"/>
          </w:tcPr>
          <w:p w14:paraId="783BAE63" w14:textId="77777777" w:rsidR="00247ECE" w:rsidRPr="001D2A1D" w:rsidRDefault="001D2A1D">
            <w:pPr>
              <w:pStyle w:val="Compact"/>
              <w:rPr>
                <w:lang w:val="en-GB"/>
              </w:rPr>
            </w:pPr>
            <w:r w:rsidRPr="001D2A1D">
              <w:rPr>
                <w:lang w:val="en-GB"/>
              </w:rPr>
              <w:t>106 (100 %)</w:t>
            </w:r>
          </w:p>
        </w:tc>
      </w:tr>
      <w:tr w:rsidR="00247ECE" w:rsidRPr="001D2A1D" w14:paraId="783BAE69" w14:textId="77777777">
        <w:tc>
          <w:tcPr>
            <w:tcW w:w="0" w:type="auto"/>
          </w:tcPr>
          <w:p w14:paraId="783BAE65" w14:textId="77777777" w:rsidR="00247ECE" w:rsidRPr="001D2A1D" w:rsidRDefault="001D2A1D">
            <w:pPr>
              <w:pStyle w:val="Compact"/>
              <w:rPr>
                <w:lang w:val="en-GB"/>
              </w:rPr>
            </w:pPr>
            <w:r w:rsidRPr="001D2A1D">
              <w:rPr>
                <w:lang w:val="en-GB"/>
              </w:rPr>
              <w:t>-</w:t>
            </w:r>
          </w:p>
        </w:tc>
        <w:tc>
          <w:tcPr>
            <w:tcW w:w="0" w:type="auto"/>
          </w:tcPr>
          <w:p w14:paraId="783BAE66" w14:textId="77777777" w:rsidR="00247ECE" w:rsidRPr="001D2A1D" w:rsidRDefault="001D2A1D">
            <w:pPr>
              <w:pStyle w:val="Compact"/>
              <w:rPr>
                <w:lang w:val="en-GB"/>
              </w:rPr>
            </w:pPr>
            <w:r w:rsidRPr="001D2A1D">
              <w:rPr>
                <w:lang w:val="en-GB"/>
              </w:rPr>
              <w:t>1 (2 %)</w:t>
            </w:r>
          </w:p>
        </w:tc>
        <w:tc>
          <w:tcPr>
            <w:tcW w:w="0" w:type="auto"/>
          </w:tcPr>
          <w:p w14:paraId="783BAE67" w14:textId="77777777" w:rsidR="00247ECE" w:rsidRPr="001D2A1D" w:rsidRDefault="001D2A1D">
            <w:pPr>
              <w:pStyle w:val="Compact"/>
              <w:rPr>
                <w:lang w:val="en-GB"/>
              </w:rPr>
            </w:pPr>
            <w:r w:rsidRPr="001D2A1D">
              <w:rPr>
                <w:lang w:val="en-GB"/>
              </w:rPr>
              <w:t>NA</w:t>
            </w:r>
          </w:p>
        </w:tc>
        <w:tc>
          <w:tcPr>
            <w:tcW w:w="0" w:type="auto"/>
          </w:tcPr>
          <w:p w14:paraId="783BAE68" w14:textId="77777777" w:rsidR="00247ECE" w:rsidRPr="001D2A1D" w:rsidRDefault="001D2A1D">
            <w:pPr>
              <w:pStyle w:val="Compact"/>
              <w:rPr>
                <w:lang w:val="en-GB"/>
              </w:rPr>
            </w:pPr>
            <w:r w:rsidRPr="001D2A1D">
              <w:rPr>
                <w:lang w:val="en-GB"/>
              </w:rPr>
              <w:t>NA</w:t>
            </w:r>
          </w:p>
        </w:tc>
      </w:tr>
      <w:tr w:rsidR="00247ECE" w:rsidRPr="001D2A1D" w14:paraId="783BAE6E" w14:textId="77777777">
        <w:tc>
          <w:tcPr>
            <w:tcW w:w="0" w:type="auto"/>
          </w:tcPr>
          <w:p w14:paraId="783BAE6A" w14:textId="77777777" w:rsidR="00247ECE" w:rsidRPr="001D2A1D" w:rsidRDefault="00247ECE">
            <w:pPr>
              <w:pStyle w:val="Compact"/>
              <w:rPr>
                <w:lang w:val="en-GB"/>
              </w:rPr>
            </w:pPr>
          </w:p>
        </w:tc>
        <w:tc>
          <w:tcPr>
            <w:tcW w:w="0" w:type="auto"/>
          </w:tcPr>
          <w:p w14:paraId="783BAE6B" w14:textId="77777777" w:rsidR="00247ECE" w:rsidRPr="001D2A1D" w:rsidRDefault="00247ECE">
            <w:pPr>
              <w:pStyle w:val="Compact"/>
              <w:rPr>
                <w:lang w:val="en-GB"/>
              </w:rPr>
            </w:pPr>
          </w:p>
        </w:tc>
        <w:tc>
          <w:tcPr>
            <w:tcW w:w="0" w:type="auto"/>
          </w:tcPr>
          <w:p w14:paraId="783BAE6C" w14:textId="77777777" w:rsidR="00247ECE" w:rsidRPr="001D2A1D" w:rsidRDefault="00247ECE">
            <w:pPr>
              <w:pStyle w:val="Compact"/>
              <w:rPr>
                <w:lang w:val="en-GB"/>
              </w:rPr>
            </w:pPr>
          </w:p>
        </w:tc>
        <w:tc>
          <w:tcPr>
            <w:tcW w:w="0" w:type="auto"/>
          </w:tcPr>
          <w:p w14:paraId="783BAE6D" w14:textId="77777777" w:rsidR="00247ECE" w:rsidRPr="001D2A1D" w:rsidRDefault="00247ECE">
            <w:pPr>
              <w:pStyle w:val="Compact"/>
              <w:rPr>
                <w:lang w:val="en-GB"/>
              </w:rPr>
            </w:pPr>
          </w:p>
        </w:tc>
      </w:tr>
      <w:tr w:rsidR="00247ECE" w:rsidRPr="001D2A1D" w14:paraId="783BAE73" w14:textId="77777777">
        <w:tc>
          <w:tcPr>
            <w:tcW w:w="0" w:type="auto"/>
          </w:tcPr>
          <w:p w14:paraId="783BAE6F" w14:textId="77777777" w:rsidR="00247ECE" w:rsidRPr="001D2A1D" w:rsidRDefault="001D2A1D">
            <w:pPr>
              <w:pStyle w:val="Compact"/>
              <w:rPr>
                <w:lang w:val="en-GB"/>
              </w:rPr>
            </w:pPr>
            <w:r w:rsidRPr="001D2A1D">
              <w:rPr>
                <w:lang w:val="en-GB"/>
              </w:rPr>
              <w:t>+</w:t>
            </w:r>
          </w:p>
        </w:tc>
        <w:tc>
          <w:tcPr>
            <w:tcW w:w="0" w:type="auto"/>
          </w:tcPr>
          <w:p w14:paraId="783BAE70" w14:textId="77777777" w:rsidR="00247ECE" w:rsidRPr="001D2A1D" w:rsidRDefault="001D2A1D">
            <w:pPr>
              <w:pStyle w:val="Compact"/>
              <w:rPr>
                <w:lang w:val="en-GB"/>
              </w:rPr>
            </w:pPr>
            <w:r w:rsidRPr="001D2A1D">
              <w:rPr>
                <w:lang w:val="en-GB"/>
              </w:rPr>
              <w:t>27 (63 %)</w:t>
            </w:r>
          </w:p>
        </w:tc>
        <w:tc>
          <w:tcPr>
            <w:tcW w:w="0" w:type="auto"/>
          </w:tcPr>
          <w:p w14:paraId="783BAE71" w14:textId="77777777" w:rsidR="00247ECE" w:rsidRPr="001D2A1D" w:rsidRDefault="001D2A1D">
            <w:pPr>
              <w:pStyle w:val="Compact"/>
              <w:rPr>
                <w:lang w:val="en-GB"/>
              </w:rPr>
            </w:pPr>
            <w:r w:rsidRPr="001D2A1D">
              <w:rPr>
                <w:lang w:val="en-GB"/>
              </w:rPr>
              <w:t>192 (78 %)</w:t>
            </w:r>
          </w:p>
        </w:tc>
        <w:tc>
          <w:tcPr>
            <w:tcW w:w="0" w:type="auto"/>
          </w:tcPr>
          <w:p w14:paraId="783BAE72" w14:textId="77777777" w:rsidR="00247ECE" w:rsidRPr="001D2A1D" w:rsidRDefault="001D2A1D">
            <w:pPr>
              <w:pStyle w:val="Compact"/>
              <w:rPr>
                <w:lang w:val="en-GB"/>
              </w:rPr>
            </w:pPr>
            <w:r w:rsidRPr="001D2A1D">
              <w:rPr>
                <w:lang w:val="en-GB"/>
              </w:rPr>
              <w:t>80 (75 %)</w:t>
            </w:r>
          </w:p>
        </w:tc>
      </w:tr>
      <w:tr w:rsidR="00247ECE" w:rsidRPr="001D2A1D" w14:paraId="783BAE78" w14:textId="77777777">
        <w:tc>
          <w:tcPr>
            <w:tcW w:w="0" w:type="auto"/>
          </w:tcPr>
          <w:p w14:paraId="783BAE74" w14:textId="77777777" w:rsidR="00247ECE" w:rsidRPr="001D2A1D" w:rsidRDefault="001D2A1D">
            <w:pPr>
              <w:pStyle w:val="Compact"/>
              <w:rPr>
                <w:lang w:val="en-GB"/>
              </w:rPr>
            </w:pPr>
            <w:r w:rsidRPr="001D2A1D">
              <w:rPr>
                <w:lang w:val="en-GB"/>
              </w:rPr>
              <w:t>-</w:t>
            </w:r>
          </w:p>
        </w:tc>
        <w:tc>
          <w:tcPr>
            <w:tcW w:w="0" w:type="auto"/>
          </w:tcPr>
          <w:p w14:paraId="783BAE75" w14:textId="77777777" w:rsidR="00247ECE" w:rsidRPr="001D2A1D" w:rsidRDefault="001D2A1D">
            <w:pPr>
              <w:pStyle w:val="Compact"/>
              <w:rPr>
                <w:lang w:val="en-GB"/>
              </w:rPr>
            </w:pPr>
            <w:r w:rsidRPr="001D2A1D">
              <w:rPr>
                <w:lang w:val="en-GB"/>
              </w:rPr>
              <w:t>16 (37 %)</w:t>
            </w:r>
          </w:p>
        </w:tc>
        <w:tc>
          <w:tcPr>
            <w:tcW w:w="0" w:type="auto"/>
          </w:tcPr>
          <w:p w14:paraId="783BAE76" w14:textId="77777777" w:rsidR="00247ECE" w:rsidRPr="001D2A1D" w:rsidRDefault="001D2A1D">
            <w:pPr>
              <w:pStyle w:val="Compact"/>
              <w:rPr>
                <w:lang w:val="en-GB"/>
              </w:rPr>
            </w:pPr>
            <w:r w:rsidRPr="001D2A1D">
              <w:rPr>
                <w:lang w:val="en-GB"/>
              </w:rPr>
              <w:t>55 (22 %)</w:t>
            </w:r>
          </w:p>
        </w:tc>
        <w:tc>
          <w:tcPr>
            <w:tcW w:w="0" w:type="auto"/>
          </w:tcPr>
          <w:p w14:paraId="783BAE77" w14:textId="77777777" w:rsidR="00247ECE" w:rsidRPr="001D2A1D" w:rsidRDefault="001D2A1D">
            <w:pPr>
              <w:pStyle w:val="Compact"/>
              <w:rPr>
                <w:lang w:val="en-GB"/>
              </w:rPr>
            </w:pPr>
            <w:r w:rsidRPr="001D2A1D">
              <w:rPr>
                <w:lang w:val="en-GB"/>
              </w:rPr>
              <w:t>26 (25 %)</w:t>
            </w:r>
          </w:p>
        </w:tc>
      </w:tr>
      <w:tr w:rsidR="00247ECE" w:rsidRPr="001D2A1D" w14:paraId="783BAE7D" w14:textId="77777777">
        <w:tc>
          <w:tcPr>
            <w:tcW w:w="0" w:type="auto"/>
          </w:tcPr>
          <w:p w14:paraId="783BAE79" w14:textId="77777777" w:rsidR="00247ECE" w:rsidRPr="001D2A1D" w:rsidRDefault="00247ECE">
            <w:pPr>
              <w:pStyle w:val="Compact"/>
              <w:rPr>
                <w:lang w:val="en-GB"/>
              </w:rPr>
            </w:pPr>
          </w:p>
        </w:tc>
        <w:tc>
          <w:tcPr>
            <w:tcW w:w="0" w:type="auto"/>
          </w:tcPr>
          <w:p w14:paraId="783BAE7A" w14:textId="77777777" w:rsidR="00247ECE" w:rsidRPr="001D2A1D" w:rsidRDefault="00247ECE">
            <w:pPr>
              <w:pStyle w:val="Compact"/>
              <w:rPr>
                <w:lang w:val="en-GB"/>
              </w:rPr>
            </w:pPr>
          </w:p>
        </w:tc>
        <w:tc>
          <w:tcPr>
            <w:tcW w:w="0" w:type="auto"/>
          </w:tcPr>
          <w:p w14:paraId="783BAE7B" w14:textId="77777777" w:rsidR="00247ECE" w:rsidRPr="001D2A1D" w:rsidRDefault="00247ECE">
            <w:pPr>
              <w:pStyle w:val="Compact"/>
              <w:rPr>
                <w:lang w:val="en-GB"/>
              </w:rPr>
            </w:pPr>
          </w:p>
        </w:tc>
        <w:tc>
          <w:tcPr>
            <w:tcW w:w="0" w:type="auto"/>
          </w:tcPr>
          <w:p w14:paraId="783BAE7C" w14:textId="77777777" w:rsidR="00247ECE" w:rsidRPr="001D2A1D" w:rsidRDefault="00247ECE">
            <w:pPr>
              <w:pStyle w:val="Compact"/>
              <w:rPr>
                <w:lang w:val="en-GB"/>
              </w:rPr>
            </w:pPr>
          </w:p>
        </w:tc>
      </w:tr>
      <w:tr w:rsidR="00247ECE" w:rsidRPr="001D2A1D" w14:paraId="783BAE82" w14:textId="77777777">
        <w:tc>
          <w:tcPr>
            <w:tcW w:w="0" w:type="auto"/>
          </w:tcPr>
          <w:p w14:paraId="783BAE7E" w14:textId="77777777" w:rsidR="00247ECE" w:rsidRPr="001D2A1D" w:rsidRDefault="001D2A1D">
            <w:pPr>
              <w:pStyle w:val="Compact"/>
              <w:rPr>
                <w:lang w:val="en-GB"/>
              </w:rPr>
            </w:pPr>
            <w:r w:rsidRPr="001D2A1D">
              <w:rPr>
                <w:lang w:val="en-GB"/>
              </w:rPr>
              <w:t>No</w:t>
            </w:r>
          </w:p>
        </w:tc>
        <w:tc>
          <w:tcPr>
            <w:tcW w:w="0" w:type="auto"/>
          </w:tcPr>
          <w:p w14:paraId="783BAE7F" w14:textId="77777777" w:rsidR="00247ECE" w:rsidRPr="001D2A1D" w:rsidRDefault="001D2A1D">
            <w:pPr>
              <w:pStyle w:val="Compact"/>
              <w:rPr>
                <w:lang w:val="en-GB"/>
              </w:rPr>
            </w:pPr>
            <w:r w:rsidRPr="001D2A1D">
              <w:rPr>
                <w:lang w:val="en-GB"/>
              </w:rPr>
              <w:t>NA</w:t>
            </w:r>
          </w:p>
        </w:tc>
        <w:tc>
          <w:tcPr>
            <w:tcW w:w="0" w:type="auto"/>
          </w:tcPr>
          <w:p w14:paraId="783BAE80" w14:textId="77777777" w:rsidR="00247ECE" w:rsidRPr="001D2A1D" w:rsidRDefault="001D2A1D">
            <w:pPr>
              <w:pStyle w:val="Compact"/>
              <w:rPr>
                <w:lang w:val="en-GB"/>
              </w:rPr>
            </w:pPr>
            <w:r w:rsidRPr="001D2A1D">
              <w:rPr>
                <w:lang w:val="en-GB"/>
              </w:rPr>
              <w:t>161 (65 %)</w:t>
            </w:r>
          </w:p>
        </w:tc>
        <w:tc>
          <w:tcPr>
            <w:tcW w:w="0" w:type="auto"/>
          </w:tcPr>
          <w:p w14:paraId="783BAE81" w14:textId="77777777" w:rsidR="00247ECE" w:rsidRPr="001D2A1D" w:rsidRDefault="001D2A1D">
            <w:pPr>
              <w:pStyle w:val="Compact"/>
              <w:rPr>
                <w:lang w:val="en-GB"/>
              </w:rPr>
            </w:pPr>
            <w:r w:rsidRPr="001D2A1D">
              <w:rPr>
                <w:lang w:val="en-GB"/>
              </w:rPr>
              <w:t>74 (70 %)</w:t>
            </w:r>
          </w:p>
        </w:tc>
      </w:tr>
      <w:tr w:rsidR="00247ECE" w:rsidRPr="001D2A1D" w14:paraId="783BAE87" w14:textId="77777777">
        <w:tc>
          <w:tcPr>
            <w:tcW w:w="0" w:type="auto"/>
          </w:tcPr>
          <w:p w14:paraId="783BAE83" w14:textId="77777777" w:rsidR="00247ECE" w:rsidRPr="001D2A1D" w:rsidRDefault="001D2A1D">
            <w:pPr>
              <w:pStyle w:val="Compact"/>
              <w:rPr>
                <w:lang w:val="en-GB"/>
              </w:rPr>
            </w:pPr>
            <w:r w:rsidRPr="001D2A1D">
              <w:rPr>
                <w:lang w:val="en-GB"/>
              </w:rPr>
              <w:t>Yes</w:t>
            </w:r>
          </w:p>
        </w:tc>
        <w:tc>
          <w:tcPr>
            <w:tcW w:w="0" w:type="auto"/>
          </w:tcPr>
          <w:p w14:paraId="783BAE84" w14:textId="77777777" w:rsidR="00247ECE" w:rsidRPr="001D2A1D" w:rsidRDefault="001D2A1D">
            <w:pPr>
              <w:pStyle w:val="Compact"/>
              <w:rPr>
                <w:lang w:val="en-GB"/>
              </w:rPr>
            </w:pPr>
            <w:r w:rsidRPr="001D2A1D">
              <w:rPr>
                <w:lang w:val="en-GB"/>
              </w:rPr>
              <w:t>NA</w:t>
            </w:r>
          </w:p>
        </w:tc>
        <w:tc>
          <w:tcPr>
            <w:tcW w:w="0" w:type="auto"/>
          </w:tcPr>
          <w:p w14:paraId="783BAE85" w14:textId="77777777" w:rsidR="00247ECE" w:rsidRPr="001D2A1D" w:rsidRDefault="001D2A1D">
            <w:pPr>
              <w:pStyle w:val="Compact"/>
              <w:rPr>
                <w:lang w:val="en-GB"/>
              </w:rPr>
            </w:pPr>
            <w:r w:rsidRPr="001D2A1D">
              <w:rPr>
                <w:lang w:val="en-GB"/>
              </w:rPr>
              <w:t>86 (35 %)</w:t>
            </w:r>
          </w:p>
        </w:tc>
        <w:tc>
          <w:tcPr>
            <w:tcW w:w="0" w:type="auto"/>
          </w:tcPr>
          <w:p w14:paraId="783BAE86" w14:textId="77777777" w:rsidR="00247ECE" w:rsidRPr="001D2A1D" w:rsidRDefault="001D2A1D">
            <w:pPr>
              <w:pStyle w:val="Compact"/>
              <w:rPr>
                <w:lang w:val="en-GB"/>
              </w:rPr>
            </w:pPr>
            <w:r w:rsidRPr="001D2A1D">
              <w:rPr>
                <w:lang w:val="en-GB"/>
              </w:rPr>
              <w:t>32 (30 %)</w:t>
            </w:r>
          </w:p>
        </w:tc>
      </w:tr>
      <w:tr w:rsidR="00247ECE" w:rsidRPr="001D2A1D" w14:paraId="783BAE8C" w14:textId="77777777">
        <w:tc>
          <w:tcPr>
            <w:tcW w:w="0" w:type="auto"/>
          </w:tcPr>
          <w:p w14:paraId="783BAE88" w14:textId="77777777" w:rsidR="00247ECE" w:rsidRPr="001D2A1D" w:rsidRDefault="001D2A1D">
            <w:pPr>
              <w:pStyle w:val="Compact"/>
              <w:rPr>
                <w:lang w:val="en-GB"/>
              </w:rPr>
            </w:pPr>
            <w:r w:rsidRPr="001D2A1D">
              <w:rPr>
                <w:lang w:val="en-GB"/>
              </w:rPr>
              <w:t>Missing</w:t>
            </w:r>
          </w:p>
        </w:tc>
        <w:tc>
          <w:tcPr>
            <w:tcW w:w="0" w:type="auto"/>
          </w:tcPr>
          <w:p w14:paraId="783BAE89" w14:textId="77777777" w:rsidR="00247ECE" w:rsidRPr="001D2A1D" w:rsidRDefault="001D2A1D">
            <w:pPr>
              <w:pStyle w:val="Compact"/>
              <w:rPr>
                <w:lang w:val="en-GB"/>
              </w:rPr>
            </w:pPr>
            <w:r w:rsidRPr="001D2A1D">
              <w:rPr>
                <w:lang w:val="en-GB"/>
              </w:rPr>
              <w:t>43 (100%)</w:t>
            </w:r>
          </w:p>
        </w:tc>
        <w:tc>
          <w:tcPr>
            <w:tcW w:w="0" w:type="auto"/>
          </w:tcPr>
          <w:p w14:paraId="783BAE8A" w14:textId="77777777" w:rsidR="00247ECE" w:rsidRPr="001D2A1D" w:rsidRDefault="001D2A1D">
            <w:pPr>
              <w:pStyle w:val="Compact"/>
              <w:rPr>
                <w:lang w:val="en-GB"/>
              </w:rPr>
            </w:pPr>
            <w:r w:rsidRPr="001D2A1D">
              <w:rPr>
                <w:lang w:val="en-GB"/>
              </w:rPr>
              <w:t>0 (0%)</w:t>
            </w:r>
          </w:p>
        </w:tc>
        <w:tc>
          <w:tcPr>
            <w:tcW w:w="0" w:type="auto"/>
          </w:tcPr>
          <w:p w14:paraId="783BAE8B" w14:textId="77777777" w:rsidR="00247ECE" w:rsidRPr="001D2A1D" w:rsidRDefault="001D2A1D">
            <w:pPr>
              <w:pStyle w:val="Compact"/>
              <w:rPr>
                <w:lang w:val="en-GB"/>
              </w:rPr>
            </w:pPr>
            <w:r w:rsidRPr="001D2A1D">
              <w:rPr>
                <w:lang w:val="en-GB"/>
              </w:rPr>
              <w:t>0 (0%)</w:t>
            </w:r>
          </w:p>
        </w:tc>
      </w:tr>
      <w:tr w:rsidR="00247ECE" w:rsidRPr="001D2A1D" w14:paraId="783BAE91" w14:textId="77777777">
        <w:tc>
          <w:tcPr>
            <w:tcW w:w="0" w:type="auto"/>
          </w:tcPr>
          <w:p w14:paraId="783BAE8D" w14:textId="77777777" w:rsidR="00247ECE" w:rsidRPr="001D2A1D" w:rsidRDefault="00247ECE">
            <w:pPr>
              <w:pStyle w:val="Compact"/>
              <w:rPr>
                <w:lang w:val="en-GB"/>
              </w:rPr>
            </w:pPr>
          </w:p>
        </w:tc>
        <w:tc>
          <w:tcPr>
            <w:tcW w:w="0" w:type="auto"/>
          </w:tcPr>
          <w:p w14:paraId="783BAE8E" w14:textId="77777777" w:rsidR="00247ECE" w:rsidRPr="001D2A1D" w:rsidRDefault="00247ECE">
            <w:pPr>
              <w:pStyle w:val="Compact"/>
              <w:rPr>
                <w:lang w:val="en-GB"/>
              </w:rPr>
            </w:pPr>
          </w:p>
        </w:tc>
        <w:tc>
          <w:tcPr>
            <w:tcW w:w="0" w:type="auto"/>
          </w:tcPr>
          <w:p w14:paraId="783BAE8F" w14:textId="77777777" w:rsidR="00247ECE" w:rsidRPr="001D2A1D" w:rsidRDefault="00247ECE">
            <w:pPr>
              <w:pStyle w:val="Compact"/>
              <w:rPr>
                <w:lang w:val="en-GB"/>
              </w:rPr>
            </w:pPr>
          </w:p>
        </w:tc>
        <w:tc>
          <w:tcPr>
            <w:tcW w:w="0" w:type="auto"/>
          </w:tcPr>
          <w:p w14:paraId="783BAE90" w14:textId="77777777" w:rsidR="00247ECE" w:rsidRPr="001D2A1D" w:rsidRDefault="00247ECE">
            <w:pPr>
              <w:pStyle w:val="Compact"/>
              <w:rPr>
                <w:lang w:val="en-GB"/>
              </w:rPr>
            </w:pPr>
          </w:p>
        </w:tc>
      </w:tr>
      <w:tr w:rsidR="00247ECE" w:rsidRPr="001D2A1D" w14:paraId="783BAE96" w14:textId="77777777">
        <w:tc>
          <w:tcPr>
            <w:tcW w:w="0" w:type="auto"/>
          </w:tcPr>
          <w:p w14:paraId="783BAE92" w14:textId="77777777" w:rsidR="00247ECE" w:rsidRPr="001D2A1D" w:rsidRDefault="001D2A1D">
            <w:pPr>
              <w:pStyle w:val="Compact"/>
              <w:rPr>
                <w:lang w:val="en-GB"/>
              </w:rPr>
            </w:pPr>
            <w:r w:rsidRPr="001D2A1D">
              <w:rPr>
                <w:lang w:val="en-GB"/>
              </w:rPr>
              <w:t>No</w:t>
            </w:r>
          </w:p>
        </w:tc>
        <w:tc>
          <w:tcPr>
            <w:tcW w:w="0" w:type="auto"/>
          </w:tcPr>
          <w:p w14:paraId="783BAE93" w14:textId="77777777" w:rsidR="00247ECE" w:rsidRPr="001D2A1D" w:rsidRDefault="001D2A1D">
            <w:pPr>
              <w:pStyle w:val="Compact"/>
              <w:rPr>
                <w:lang w:val="en-GB"/>
              </w:rPr>
            </w:pPr>
            <w:r w:rsidRPr="001D2A1D">
              <w:rPr>
                <w:lang w:val="en-GB"/>
              </w:rPr>
              <w:t>NA</w:t>
            </w:r>
          </w:p>
        </w:tc>
        <w:tc>
          <w:tcPr>
            <w:tcW w:w="0" w:type="auto"/>
          </w:tcPr>
          <w:p w14:paraId="783BAE94" w14:textId="77777777" w:rsidR="00247ECE" w:rsidRPr="001D2A1D" w:rsidRDefault="001D2A1D">
            <w:pPr>
              <w:pStyle w:val="Compact"/>
              <w:rPr>
                <w:lang w:val="en-GB"/>
              </w:rPr>
            </w:pPr>
            <w:r w:rsidRPr="001D2A1D">
              <w:rPr>
                <w:lang w:val="en-GB"/>
              </w:rPr>
              <w:t>122 (49 %)</w:t>
            </w:r>
          </w:p>
        </w:tc>
        <w:tc>
          <w:tcPr>
            <w:tcW w:w="0" w:type="auto"/>
          </w:tcPr>
          <w:p w14:paraId="783BAE95" w14:textId="77777777" w:rsidR="00247ECE" w:rsidRPr="001D2A1D" w:rsidRDefault="001D2A1D">
            <w:pPr>
              <w:pStyle w:val="Compact"/>
              <w:rPr>
                <w:lang w:val="en-GB"/>
              </w:rPr>
            </w:pPr>
            <w:r w:rsidRPr="001D2A1D">
              <w:rPr>
                <w:lang w:val="en-GB"/>
              </w:rPr>
              <w:t>49 (46 %)</w:t>
            </w:r>
          </w:p>
        </w:tc>
      </w:tr>
      <w:tr w:rsidR="00247ECE" w:rsidRPr="001D2A1D" w14:paraId="783BAE9B" w14:textId="77777777">
        <w:tc>
          <w:tcPr>
            <w:tcW w:w="0" w:type="auto"/>
          </w:tcPr>
          <w:p w14:paraId="783BAE97" w14:textId="77777777" w:rsidR="00247ECE" w:rsidRPr="001D2A1D" w:rsidRDefault="001D2A1D">
            <w:pPr>
              <w:pStyle w:val="Compact"/>
              <w:rPr>
                <w:lang w:val="en-GB"/>
              </w:rPr>
            </w:pPr>
            <w:r w:rsidRPr="001D2A1D">
              <w:rPr>
                <w:lang w:val="en-GB"/>
              </w:rPr>
              <w:t>Yes</w:t>
            </w:r>
          </w:p>
        </w:tc>
        <w:tc>
          <w:tcPr>
            <w:tcW w:w="0" w:type="auto"/>
          </w:tcPr>
          <w:p w14:paraId="783BAE98" w14:textId="77777777" w:rsidR="00247ECE" w:rsidRPr="001D2A1D" w:rsidRDefault="001D2A1D">
            <w:pPr>
              <w:pStyle w:val="Compact"/>
              <w:rPr>
                <w:lang w:val="en-GB"/>
              </w:rPr>
            </w:pPr>
            <w:r w:rsidRPr="001D2A1D">
              <w:rPr>
                <w:lang w:val="en-GB"/>
              </w:rPr>
              <w:t>NA</w:t>
            </w:r>
          </w:p>
        </w:tc>
        <w:tc>
          <w:tcPr>
            <w:tcW w:w="0" w:type="auto"/>
          </w:tcPr>
          <w:p w14:paraId="783BAE99" w14:textId="77777777" w:rsidR="00247ECE" w:rsidRPr="001D2A1D" w:rsidRDefault="001D2A1D">
            <w:pPr>
              <w:pStyle w:val="Compact"/>
              <w:rPr>
                <w:lang w:val="en-GB"/>
              </w:rPr>
            </w:pPr>
            <w:r w:rsidRPr="001D2A1D">
              <w:rPr>
                <w:lang w:val="en-GB"/>
              </w:rPr>
              <w:t>125 (51 %)</w:t>
            </w:r>
          </w:p>
        </w:tc>
        <w:tc>
          <w:tcPr>
            <w:tcW w:w="0" w:type="auto"/>
          </w:tcPr>
          <w:p w14:paraId="783BAE9A" w14:textId="77777777" w:rsidR="00247ECE" w:rsidRPr="001D2A1D" w:rsidRDefault="001D2A1D">
            <w:pPr>
              <w:pStyle w:val="Compact"/>
              <w:rPr>
                <w:lang w:val="en-GB"/>
              </w:rPr>
            </w:pPr>
            <w:r w:rsidRPr="001D2A1D">
              <w:rPr>
                <w:lang w:val="en-GB"/>
              </w:rPr>
              <w:t>57 (54 %)</w:t>
            </w:r>
          </w:p>
        </w:tc>
      </w:tr>
      <w:tr w:rsidR="00247ECE" w:rsidRPr="001D2A1D" w14:paraId="783BAEA0" w14:textId="77777777">
        <w:tc>
          <w:tcPr>
            <w:tcW w:w="0" w:type="auto"/>
          </w:tcPr>
          <w:p w14:paraId="783BAE9C" w14:textId="77777777" w:rsidR="00247ECE" w:rsidRPr="001D2A1D" w:rsidRDefault="001D2A1D">
            <w:pPr>
              <w:pStyle w:val="Compact"/>
              <w:rPr>
                <w:lang w:val="en-GB"/>
              </w:rPr>
            </w:pPr>
            <w:r w:rsidRPr="001D2A1D">
              <w:rPr>
                <w:lang w:val="en-GB"/>
              </w:rPr>
              <w:t>Missing</w:t>
            </w:r>
          </w:p>
        </w:tc>
        <w:tc>
          <w:tcPr>
            <w:tcW w:w="0" w:type="auto"/>
          </w:tcPr>
          <w:p w14:paraId="783BAE9D" w14:textId="77777777" w:rsidR="00247ECE" w:rsidRPr="001D2A1D" w:rsidRDefault="001D2A1D">
            <w:pPr>
              <w:pStyle w:val="Compact"/>
              <w:rPr>
                <w:lang w:val="en-GB"/>
              </w:rPr>
            </w:pPr>
            <w:r w:rsidRPr="001D2A1D">
              <w:rPr>
                <w:lang w:val="en-GB"/>
              </w:rPr>
              <w:t>43 (100%)</w:t>
            </w:r>
          </w:p>
        </w:tc>
        <w:tc>
          <w:tcPr>
            <w:tcW w:w="0" w:type="auto"/>
          </w:tcPr>
          <w:p w14:paraId="783BAE9E" w14:textId="77777777" w:rsidR="00247ECE" w:rsidRPr="001D2A1D" w:rsidRDefault="001D2A1D">
            <w:pPr>
              <w:pStyle w:val="Compact"/>
              <w:rPr>
                <w:lang w:val="en-GB"/>
              </w:rPr>
            </w:pPr>
            <w:r w:rsidRPr="001D2A1D">
              <w:rPr>
                <w:lang w:val="en-GB"/>
              </w:rPr>
              <w:t>0 (0%)</w:t>
            </w:r>
          </w:p>
        </w:tc>
        <w:tc>
          <w:tcPr>
            <w:tcW w:w="0" w:type="auto"/>
          </w:tcPr>
          <w:p w14:paraId="783BAE9F" w14:textId="77777777" w:rsidR="00247ECE" w:rsidRPr="001D2A1D" w:rsidRDefault="001D2A1D">
            <w:pPr>
              <w:pStyle w:val="Compact"/>
              <w:rPr>
                <w:lang w:val="en-GB"/>
              </w:rPr>
            </w:pPr>
            <w:r w:rsidRPr="001D2A1D">
              <w:rPr>
                <w:lang w:val="en-GB"/>
              </w:rPr>
              <w:t>0 (0%)</w:t>
            </w:r>
          </w:p>
        </w:tc>
      </w:tr>
      <w:tr w:rsidR="00247ECE" w:rsidRPr="001D2A1D" w14:paraId="783BAEA5" w14:textId="77777777">
        <w:tc>
          <w:tcPr>
            <w:tcW w:w="0" w:type="auto"/>
          </w:tcPr>
          <w:p w14:paraId="783BAEA1" w14:textId="77777777" w:rsidR="00247ECE" w:rsidRPr="001D2A1D" w:rsidRDefault="00247ECE">
            <w:pPr>
              <w:pStyle w:val="Compact"/>
              <w:rPr>
                <w:lang w:val="en-GB"/>
              </w:rPr>
            </w:pPr>
          </w:p>
        </w:tc>
        <w:tc>
          <w:tcPr>
            <w:tcW w:w="0" w:type="auto"/>
          </w:tcPr>
          <w:p w14:paraId="783BAEA2" w14:textId="77777777" w:rsidR="00247ECE" w:rsidRPr="001D2A1D" w:rsidRDefault="00247ECE">
            <w:pPr>
              <w:pStyle w:val="Compact"/>
              <w:rPr>
                <w:lang w:val="en-GB"/>
              </w:rPr>
            </w:pPr>
          </w:p>
        </w:tc>
        <w:tc>
          <w:tcPr>
            <w:tcW w:w="0" w:type="auto"/>
          </w:tcPr>
          <w:p w14:paraId="783BAEA3" w14:textId="77777777" w:rsidR="00247ECE" w:rsidRPr="001D2A1D" w:rsidRDefault="00247ECE">
            <w:pPr>
              <w:pStyle w:val="Compact"/>
              <w:rPr>
                <w:lang w:val="en-GB"/>
              </w:rPr>
            </w:pPr>
          </w:p>
        </w:tc>
        <w:tc>
          <w:tcPr>
            <w:tcW w:w="0" w:type="auto"/>
          </w:tcPr>
          <w:p w14:paraId="783BAEA4" w14:textId="77777777" w:rsidR="00247ECE" w:rsidRPr="001D2A1D" w:rsidRDefault="00247ECE">
            <w:pPr>
              <w:pStyle w:val="Compact"/>
              <w:rPr>
                <w:lang w:val="en-GB"/>
              </w:rPr>
            </w:pPr>
          </w:p>
        </w:tc>
      </w:tr>
      <w:tr w:rsidR="00247ECE" w:rsidRPr="001D2A1D" w14:paraId="783BAEAA" w14:textId="77777777">
        <w:tc>
          <w:tcPr>
            <w:tcW w:w="0" w:type="auto"/>
          </w:tcPr>
          <w:p w14:paraId="783BAEA6" w14:textId="77777777" w:rsidR="00247ECE" w:rsidRPr="001D2A1D" w:rsidRDefault="001D2A1D">
            <w:pPr>
              <w:pStyle w:val="Compact"/>
              <w:rPr>
                <w:lang w:val="en-GB"/>
              </w:rPr>
            </w:pPr>
            <w:r w:rsidRPr="001D2A1D">
              <w:rPr>
                <w:lang w:val="en-GB"/>
              </w:rPr>
              <w:t>I</w:t>
            </w:r>
          </w:p>
        </w:tc>
        <w:tc>
          <w:tcPr>
            <w:tcW w:w="0" w:type="auto"/>
          </w:tcPr>
          <w:p w14:paraId="783BAEA7" w14:textId="77777777" w:rsidR="00247ECE" w:rsidRPr="001D2A1D" w:rsidRDefault="001D2A1D">
            <w:pPr>
              <w:pStyle w:val="Compact"/>
              <w:rPr>
                <w:lang w:val="en-GB"/>
              </w:rPr>
            </w:pPr>
            <w:r w:rsidRPr="001D2A1D">
              <w:rPr>
                <w:lang w:val="en-GB"/>
              </w:rPr>
              <w:t>3 (7 %)</w:t>
            </w:r>
          </w:p>
        </w:tc>
        <w:tc>
          <w:tcPr>
            <w:tcW w:w="0" w:type="auto"/>
          </w:tcPr>
          <w:p w14:paraId="783BAEA8" w14:textId="77777777" w:rsidR="00247ECE" w:rsidRPr="001D2A1D" w:rsidRDefault="001D2A1D">
            <w:pPr>
              <w:pStyle w:val="Compact"/>
              <w:rPr>
                <w:lang w:val="en-GB"/>
              </w:rPr>
            </w:pPr>
            <w:r w:rsidRPr="001D2A1D">
              <w:rPr>
                <w:lang w:val="en-GB"/>
              </w:rPr>
              <w:t>22 (9 %)</w:t>
            </w:r>
          </w:p>
        </w:tc>
        <w:tc>
          <w:tcPr>
            <w:tcW w:w="0" w:type="auto"/>
          </w:tcPr>
          <w:p w14:paraId="783BAEA9" w14:textId="77777777" w:rsidR="00247ECE" w:rsidRPr="001D2A1D" w:rsidRDefault="001D2A1D">
            <w:pPr>
              <w:pStyle w:val="Compact"/>
              <w:rPr>
                <w:lang w:val="en-GB"/>
              </w:rPr>
            </w:pPr>
            <w:r w:rsidRPr="001D2A1D">
              <w:rPr>
                <w:lang w:val="en-GB"/>
              </w:rPr>
              <w:t>7 (7 %)</w:t>
            </w:r>
          </w:p>
        </w:tc>
      </w:tr>
      <w:tr w:rsidR="00247ECE" w:rsidRPr="001D2A1D" w14:paraId="783BAEAF" w14:textId="77777777">
        <w:tc>
          <w:tcPr>
            <w:tcW w:w="0" w:type="auto"/>
          </w:tcPr>
          <w:p w14:paraId="783BAEAB" w14:textId="77777777" w:rsidR="00247ECE" w:rsidRPr="001D2A1D" w:rsidRDefault="001D2A1D">
            <w:pPr>
              <w:pStyle w:val="Compact"/>
              <w:rPr>
                <w:lang w:val="en-GB"/>
              </w:rPr>
            </w:pPr>
            <w:r w:rsidRPr="001D2A1D">
              <w:rPr>
                <w:lang w:val="en-GB"/>
              </w:rPr>
              <w:t>II</w:t>
            </w:r>
          </w:p>
        </w:tc>
        <w:tc>
          <w:tcPr>
            <w:tcW w:w="0" w:type="auto"/>
          </w:tcPr>
          <w:p w14:paraId="783BAEAC" w14:textId="77777777" w:rsidR="00247ECE" w:rsidRPr="001D2A1D" w:rsidRDefault="001D2A1D">
            <w:pPr>
              <w:pStyle w:val="Compact"/>
              <w:rPr>
                <w:lang w:val="en-GB"/>
              </w:rPr>
            </w:pPr>
            <w:r w:rsidRPr="001D2A1D">
              <w:rPr>
                <w:lang w:val="en-GB"/>
              </w:rPr>
              <w:t>20 (47 %)</w:t>
            </w:r>
          </w:p>
        </w:tc>
        <w:tc>
          <w:tcPr>
            <w:tcW w:w="0" w:type="auto"/>
          </w:tcPr>
          <w:p w14:paraId="783BAEAD" w14:textId="77777777" w:rsidR="00247ECE" w:rsidRPr="001D2A1D" w:rsidRDefault="001D2A1D">
            <w:pPr>
              <w:pStyle w:val="Compact"/>
              <w:rPr>
                <w:lang w:val="en-GB"/>
              </w:rPr>
            </w:pPr>
            <w:r w:rsidRPr="001D2A1D">
              <w:rPr>
                <w:lang w:val="en-GB"/>
              </w:rPr>
              <w:t>75 (30 %)</w:t>
            </w:r>
          </w:p>
        </w:tc>
        <w:tc>
          <w:tcPr>
            <w:tcW w:w="0" w:type="auto"/>
          </w:tcPr>
          <w:p w14:paraId="783BAEAE" w14:textId="77777777" w:rsidR="00247ECE" w:rsidRPr="001D2A1D" w:rsidRDefault="001D2A1D">
            <w:pPr>
              <w:pStyle w:val="Compact"/>
              <w:rPr>
                <w:lang w:val="en-GB"/>
              </w:rPr>
            </w:pPr>
            <w:r w:rsidRPr="001D2A1D">
              <w:rPr>
                <w:lang w:val="en-GB"/>
              </w:rPr>
              <w:t>22 (21 %)</w:t>
            </w:r>
          </w:p>
        </w:tc>
      </w:tr>
      <w:tr w:rsidR="00247ECE" w:rsidRPr="001D2A1D" w14:paraId="783BAEB4" w14:textId="77777777">
        <w:tc>
          <w:tcPr>
            <w:tcW w:w="0" w:type="auto"/>
          </w:tcPr>
          <w:p w14:paraId="783BAEB0" w14:textId="77777777" w:rsidR="00247ECE" w:rsidRPr="001D2A1D" w:rsidRDefault="001D2A1D">
            <w:pPr>
              <w:pStyle w:val="Compact"/>
              <w:rPr>
                <w:lang w:val="en-GB"/>
              </w:rPr>
            </w:pPr>
            <w:r w:rsidRPr="001D2A1D">
              <w:rPr>
                <w:lang w:val="en-GB"/>
              </w:rPr>
              <w:t>III</w:t>
            </w:r>
          </w:p>
        </w:tc>
        <w:tc>
          <w:tcPr>
            <w:tcW w:w="0" w:type="auto"/>
          </w:tcPr>
          <w:p w14:paraId="783BAEB1" w14:textId="77777777" w:rsidR="00247ECE" w:rsidRPr="001D2A1D" w:rsidRDefault="001D2A1D">
            <w:pPr>
              <w:pStyle w:val="Compact"/>
              <w:rPr>
                <w:lang w:val="en-GB"/>
              </w:rPr>
            </w:pPr>
            <w:r w:rsidRPr="001D2A1D">
              <w:rPr>
                <w:lang w:val="en-GB"/>
              </w:rPr>
              <w:t>11 (26 %)</w:t>
            </w:r>
          </w:p>
        </w:tc>
        <w:tc>
          <w:tcPr>
            <w:tcW w:w="0" w:type="auto"/>
          </w:tcPr>
          <w:p w14:paraId="783BAEB2" w14:textId="77777777" w:rsidR="00247ECE" w:rsidRPr="001D2A1D" w:rsidRDefault="001D2A1D">
            <w:pPr>
              <w:pStyle w:val="Compact"/>
              <w:rPr>
                <w:lang w:val="en-GB"/>
              </w:rPr>
            </w:pPr>
            <w:r w:rsidRPr="001D2A1D">
              <w:rPr>
                <w:lang w:val="en-GB"/>
              </w:rPr>
              <w:t>75 (30 %)</w:t>
            </w:r>
          </w:p>
        </w:tc>
        <w:tc>
          <w:tcPr>
            <w:tcW w:w="0" w:type="auto"/>
          </w:tcPr>
          <w:p w14:paraId="783BAEB3" w14:textId="77777777" w:rsidR="00247ECE" w:rsidRPr="001D2A1D" w:rsidRDefault="001D2A1D">
            <w:pPr>
              <w:pStyle w:val="Compact"/>
              <w:rPr>
                <w:lang w:val="en-GB"/>
              </w:rPr>
            </w:pPr>
            <w:r w:rsidRPr="001D2A1D">
              <w:rPr>
                <w:lang w:val="en-GB"/>
              </w:rPr>
              <w:t>18 (17 %)</w:t>
            </w:r>
          </w:p>
        </w:tc>
      </w:tr>
      <w:tr w:rsidR="00247ECE" w:rsidRPr="001D2A1D" w14:paraId="783BAEB9" w14:textId="77777777">
        <w:tc>
          <w:tcPr>
            <w:tcW w:w="0" w:type="auto"/>
          </w:tcPr>
          <w:p w14:paraId="783BAEB5" w14:textId="77777777" w:rsidR="00247ECE" w:rsidRPr="001D2A1D" w:rsidRDefault="001D2A1D">
            <w:pPr>
              <w:pStyle w:val="Compact"/>
              <w:rPr>
                <w:lang w:val="en-GB"/>
              </w:rPr>
            </w:pPr>
            <w:r w:rsidRPr="001D2A1D">
              <w:rPr>
                <w:lang w:val="en-GB"/>
              </w:rPr>
              <w:t>IV</w:t>
            </w:r>
          </w:p>
        </w:tc>
        <w:tc>
          <w:tcPr>
            <w:tcW w:w="0" w:type="auto"/>
          </w:tcPr>
          <w:p w14:paraId="783BAEB6" w14:textId="77777777" w:rsidR="00247ECE" w:rsidRPr="001D2A1D" w:rsidRDefault="001D2A1D">
            <w:pPr>
              <w:pStyle w:val="Compact"/>
              <w:rPr>
                <w:lang w:val="en-GB"/>
              </w:rPr>
            </w:pPr>
            <w:r w:rsidRPr="001D2A1D">
              <w:rPr>
                <w:lang w:val="en-GB"/>
              </w:rPr>
              <w:t>2 (5 %)</w:t>
            </w:r>
          </w:p>
        </w:tc>
        <w:tc>
          <w:tcPr>
            <w:tcW w:w="0" w:type="auto"/>
          </w:tcPr>
          <w:p w14:paraId="783BAEB7" w14:textId="77777777" w:rsidR="00247ECE" w:rsidRPr="001D2A1D" w:rsidRDefault="001D2A1D">
            <w:pPr>
              <w:pStyle w:val="Compact"/>
              <w:rPr>
                <w:lang w:val="en-GB"/>
              </w:rPr>
            </w:pPr>
            <w:r w:rsidRPr="001D2A1D">
              <w:rPr>
                <w:lang w:val="en-GB"/>
              </w:rPr>
              <w:t>65 (26 %)</w:t>
            </w:r>
          </w:p>
        </w:tc>
        <w:tc>
          <w:tcPr>
            <w:tcW w:w="0" w:type="auto"/>
          </w:tcPr>
          <w:p w14:paraId="783BAEB8" w14:textId="77777777" w:rsidR="00247ECE" w:rsidRPr="001D2A1D" w:rsidRDefault="001D2A1D">
            <w:pPr>
              <w:pStyle w:val="Compact"/>
              <w:rPr>
                <w:lang w:val="en-GB"/>
              </w:rPr>
            </w:pPr>
            <w:r w:rsidRPr="001D2A1D">
              <w:rPr>
                <w:lang w:val="en-GB"/>
              </w:rPr>
              <w:t>46 (43 %)</w:t>
            </w:r>
          </w:p>
        </w:tc>
      </w:tr>
      <w:tr w:rsidR="00247ECE" w:rsidRPr="001D2A1D" w14:paraId="783BAEBE" w14:textId="77777777">
        <w:tc>
          <w:tcPr>
            <w:tcW w:w="0" w:type="auto"/>
          </w:tcPr>
          <w:p w14:paraId="783BAEBA" w14:textId="77777777" w:rsidR="00247ECE" w:rsidRPr="001D2A1D" w:rsidRDefault="001D2A1D">
            <w:pPr>
              <w:pStyle w:val="Compact"/>
              <w:rPr>
                <w:lang w:val="en-GB"/>
              </w:rPr>
            </w:pPr>
            <w:r w:rsidRPr="001D2A1D">
              <w:rPr>
                <w:lang w:val="en-GB"/>
              </w:rPr>
              <w:t>Missing</w:t>
            </w:r>
          </w:p>
        </w:tc>
        <w:tc>
          <w:tcPr>
            <w:tcW w:w="0" w:type="auto"/>
          </w:tcPr>
          <w:p w14:paraId="783BAEBB" w14:textId="77777777" w:rsidR="00247ECE" w:rsidRPr="001D2A1D" w:rsidRDefault="001D2A1D">
            <w:pPr>
              <w:pStyle w:val="Compact"/>
              <w:rPr>
                <w:lang w:val="en-GB"/>
              </w:rPr>
            </w:pPr>
            <w:r w:rsidRPr="001D2A1D">
              <w:rPr>
                <w:lang w:val="en-GB"/>
              </w:rPr>
              <w:t>7 (16.3%)</w:t>
            </w:r>
          </w:p>
        </w:tc>
        <w:tc>
          <w:tcPr>
            <w:tcW w:w="0" w:type="auto"/>
          </w:tcPr>
          <w:p w14:paraId="783BAEBC" w14:textId="77777777" w:rsidR="00247ECE" w:rsidRPr="001D2A1D" w:rsidRDefault="001D2A1D">
            <w:pPr>
              <w:pStyle w:val="Compact"/>
              <w:rPr>
                <w:lang w:val="en-GB"/>
              </w:rPr>
            </w:pPr>
            <w:r w:rsidRPr="001D2A1D">
              <w:rPr>
                <w:lang w:val="en-GB"/>
              </w:rPr>
              <w:t>10 (4.0%)</w:t>
            </w:r>
          </w:p>
        </w:tc>
        <w:tc>
          <w:tcPr>
            <w:tcW w:w="0" w:type="auto"/>
          </w:tcPr>
          <w:p w14:paraId="783BAEBD" w14:textId="77777777" w:rsidR="00247ECE" w:rsidRPr="001D2A1D" w:rsidRDefault="001D2A1D">
            <w:pPr>
              <w:pStyle w:val="Compact"/>
              <w:rPr>
                <w:lang w:val="en-GB"/>
              </w:rPr>
            </w:pPr>
            <w:r w:rsidRPr="001D2A1D">
              <w:rPr>
                <w:lang w:val="en-GB"/>
              </w:rPr>
              <w:t>13 (12.3%)</w:t>
            </w:r>
          </w:p>
        </w:tc>
      </w:tr>
      <w:tr w:rsidR="00247ECE" w:rsidRPr="001D2A1D" w14:paraId="783BAEC3" w14:textId="77777777">
        <w:tc>
          <w:tcPr>
            <w:tcW w:w="0" w:type="auto"/>
          </w:tcPr>
          <w:p w14:paraId="783BAEBF" w14:textId="77777777" w:rsidR="00247ECE" w:rsidRPr="001D2A1D" w:rsidRDefault="00247ECE">
            <w:pPr>
              <w:pStyle w:val="Compact"/>
              <w:rPr>
                <w:lang w:val="en-GB"/>
              </w:rPr>
            </w:pPr>
          </w:p>
        </w:tc>
        <w:tc>
          <w:tcPr>
            <w:tcW w:w="0" w:type="auto"/>
          </w:tcPr>
          <w:p w14:paraId="783BAEC0" w14:textId="77777777" w:rsidR="00247ECE" w:rsidRPr="001D2A1D" w:rsidRDefault="00247ECE">
            <w:pPr>
              <w:pStyle w:val="Compact"/>
              <w:rPr>
                <w:lang w:val="en-GB"/>
              </w:rPr>
            </w:pPr>
          </w:p>
        </w:tc>
        <w:tc>
          <w:tcPr>
            <w:tcW w:w="0" w:type="auto"/>
          </w:tcPr>
          <w:p w14:paraId="783BAEC1" w14:textId="77777777" w:rsidR="00247ECE" w:rsidRPr="001D2A1D" w:rsidRDefault="00247ECE">
            <w:pPr>
              <w:pStyle w:val="Compact"/>
              <w:rPr>
                <w:lang w:val="en-GB"/>
              </w:rPr>
            </w:pPr>
          </w:p>
        </w:tc>
        <w:tc>
          <w:tcPr>
            <w:tcW w:w="0" w:type="auto"/>
          </w:tcPr>
          <w:p w14:paraId="783BAEC2" w14:textId="77777777" w:rsidR="00247ECE" w:rsidRPr="001D2A1D" w:rsidRDefault="00247ECE">
            <w:pPr>
              <w:pStyle w:val="Compact"/>
              <w:rPr>
                <w:lang w:val="en-GB"/>
              </w:rPr>
            </w:pPr>
          </w:p>
        </w:tc>
      </w:tr>
      <w:tr w:rsidR="00247ECE" w:rsidRPr="001D2A1D" w14:paraId="783BAEC8" w14:textId="77777777">
        <w:tc>
          <w:tcPr>
            <w:tcW w:w="0" w:type="auto"/>
          </w:tcPr>
          <w:p w14:paraId="783BAEC4" w14:textId="77777777" w:rsidR="00247ECE" w:rsidRPr="001D2A1D" w:rsidRDefault="001D2A1D">
            <w:pPr>
              <w:pStyle w:val="Compact"/>
              <w:rPr>
                <w:lang w:val="en-GB"/>
              </w:rPr>
            </w:pPr>
            <w:proofErr w:type="spellStart"/>
            <w:r w:rsidRPr="001D2A1D">
              <w:rPr>
                <w:lang w:val="en-GB"/>
              </w:rPr>
              <w:t>Anastrozol</w:t>
            </w:r>
            <w:proofErr w:type="spellEnd"/>
          </w:p>
        </w:tc>
        <w:tc>
          <w:tcPr>
            <w:tcW w:w="0" w:type="auto"/>
          </w:tcPr>
          <w:p w14:paraId="783BAEC5" w14:textId="77777777" w:rsidR="00247ECE" w:rsidRPr="001D2A1D" w:rsidRDefault="001D2A1D">
            <w:pPr>
              <w:pStyle w:val="Compact"/>
              <w:rPr>
                <w:lang w:val="en-GB"/>
              </w:rPr>
            </w:pPr>
            <w:r w:rsidRPr="001D2A1D">
              <w:rPr>
                <w:lang w:val="en-GB"/>
              </w:rPr>
              <w:t>3 (7 %)</w:t>
            </w:r>
          </w:p>
        </w:tc>
        <w:tc>
          <w:tcPr>
            <w:tcW w:w="0" w:type="auto"/>
          </w:tcPr>
          <w:p w14:paraId="783BAEC6" w14:textId="77777777" w:rsidR="00247ECE" w:rsidRPr="001D2A1D" w:rsidRDefault="001D2A1D">
            <w:pPr>
              <w:pStyle w:val="Compact"/>
              <w:rPr>
                <w:lang w:val="en-GB"/>
              </w:rPr>
            </w:pPr>
            <w:r w:rsidRPr="001D2A1D">
              <w:rPr>
                <w:lang w:val="en-GB"/>
              </w:rPr>
              <w:t>NA</w:t>
            </w:r>
          </w:p>
        </w:tc>
        <w:tc>
          <w:tcPr>
            <w:tcW w:w="0" w:type="auto"/>
          </w:tcPr>
          <w:p w14:paraId="783BAEC7" w14:textId="77777777" w:rsidR="00247ECE" w:rsidRPr="001D2A1D" w:rsidRDefault="001D2A1D">
            <w:pPr>
              <w:pStyle w:val="Compact"/>
              <w:rPr>
                <w:lang w:val="en-GB"/>
              </w:rPr>
            </w:pPr>
            <w:r w:rsidRPr="001D2A1D">
              <w:rPr>
                <w:lang w:val="en-GB"/>
              </w:rPr>
              <w:t>NA</w:t>
            </w:r>
          </w:p>
        </w:tc>
      </w:tr>
      <w:tr w:rsidR="00247ECE" w:rsidRPr="001D2A1D" w14:paraId="783BAECD" w14:textId="77777777">
        <w:tc>
          <w:tcPr>
            <w:tcW w:w="0" w:type="auto"/>
          </w:tcPr>
          <w:p w14:paraId="783BAEC9" w14:textId="77777777" w:rsidR="00247ECE" w:rsidRPr="001D2A1D" w:rsidRDefault="001D2A1D">
            <w:pPr>
              <w:pStyle w:val="Compact"/>
              <w:rPr>
                <w:lang w:val="en-GB"/>
              </w:rPr>
            </w:pPr>
            <w:r w:rsidRPr="001D2A1D">
              <w:rPr>
                <w:lang w:val="en-GB"/>
              </w:rPr>
              <w:t>Exemestane</w:t>
            </w:r>
          </w:p>
        </w:tc>
        <w:tc>
          <w:tcPr>
            <w:tcW w:w="0" w:type="auto"/>
          </w:tcPr>
          <w:p w14:paraId="783BAECA" w14:textId="77777777" w:rsidR="00247ECE" w:rsidRPr="001D2A1D" w:rsidRDefault="001D2A1D">
            <w:pPr>
              <w:pStyle w:val="Compact"/>
              <w:rPr>
                <w:lang w:val="en-GB"/>
              </w:rPr>
            </w:pPr>
            <w:r w:rsidRPr="001D2A1D">
              <w:rPr>
                <w:lang w:val="en-GB"/>
              </w:rPr>
              <w:t>4 (9 %)</w:t>
            </w:r>
          </w:p>
        </w:tc>
        <w:tc>
          <w:tcPr>
            <w:tcW w:w="0" w:type="auto"/>
          </w:tcPr>
          <w:p w14:paraId="783BAECB" w14:textId="77777777" w:rsidR="00247ECE" w:rsidRPr="001D2A1D" w:rsidRDefault="001D2A1D">
            <w:pPr>
              <w:pStyle w:val="Compact"/>
              <w:rPr>
                <w:lang w:val="en-GB"/>
              </w:rPr>
            </w:pPr>
            <w:r w:rsidRPr="001D2A1D">
              <w:rPr>
                <w:lang w:val="en-GB"/>
              </w:rPr>
              <w:t>1 (0 %)</w:t>
            </w:r>
          </w:p>
        </w:tc>
        <w:tc>
          <w:tcPr>
            <w:tcW w:w="0" w:type="auto"/>
          </w:tcPr>
          <w:p w14:paraId="783BAECC" w14:textId="77777777" w:rsidR="00247ECE" w:rsidRPr="001D2A1D" w:rsidRDefault="001D2A1D">
            <w:pPr>
              <w:pStyle w:val="Compact"/>
              <w:rPr>
                <w:lang w:val="en-GB"/>
              </w:rPr>
            </w:pPr>
            <w:r w:rsidRPr="001D2A1D">
              <w:rPr>
                <w:lang w:val="en-GB"/>
              </w:rPr>
              <w:t>NA</w:t>
            </w:r>
          </w:p>
        </w:tc>
      </w:tr>
      <w:tr w:rsidR="00247ECE" w:rsidRPr="001D2A1D" w14:paraId="783BAED2" w14:textId="77777777">
        <w:tc>
          <w:tcPr>
            <w:tcW w:w="0" w:type="auto"/>
          </w:tcPr>
          <w:p w14:paraId="783BAECE" w14:textId="77777777" w:rsidR="00247ECE" w:rsidRPr="001D2A1D" w:rsidRDefault="001D2A1D">
            <w:pPr>
              <w:pStyle w:val="Compact"/>
              <w:rPr>
                <w:lang w:val="en-GB"/>
              </w:rPr>
            </w:pPr>
            <w:proofErr w:type="spellStart"/>
            <w:r w:rsidRPr="001D2A1D">
              <w:rPr>
                <w:lang w:val="en-GB"/>
              </w:rPr>
              <w:t>Fulvestrant</w:t>
            </w:r>
            <w:proofErr w:type="spellEnd"/>
          </w:p>
        </w:tc>
        <w:tc>
          <w:tcPr>
            <w:tcW w:w="0" w:type="auto"/>
          </w:tcPr>
          <w:p w14:paraId="783BAECF" w14:textId="77777777" w:rsidR="00247ECE" w:rsidRPr="001D2A1D" w:rsidRDefault="001D2A1D">
            <w:pPr>
              <w:pStyle w:val="Compact"/>
              <w:rPr>
                <w:lang w:val="en-GB"/>
              </w:rPr>
            </w:pPr>
            <w:r w:rsidRPr="001D2A1D">
              <w:rPr>
                <w:lang w:val="en-GB"/>
              </w:rPr>
              <w:t>5 (12 %)</w:t>
            </w:r>
          </w:p>
        </w:tc>
        <w:tc>
          <w:tcPr>
            <w:tcW w:w="0" w:type="auto"/>
          </w:tcPr>
          <w:p w14:paraId="783BAED0" w14:textId="77777777" w:rsidR="00247ECE" w:rsidRPr="001D2A1D" w:rsidRDefault="001D2A1D">
            <w:pPr>
              <w:pStyle w:val="Compact"/>
              <w:rPr>
                <w:lang w:val="en-GB"/>
              </w:rPr>
            </w:pPr>
            <w:r w:rsidRPr="001D2A1D">
              <w:rPr>
                <w:lang w:val="en-GB"/>
              </w:rPr>
              <w:t>180 (73 %)</w:t>
            </w:r>
          </w:p>
        </w:tc>
        <w:tc>
          <w:tcPr>
            <w:tcW w:w="0" w:type="auto"/>
          </w:tcPr>
          <w:p w14:paraId="783BAED1" w14:textId="77777777" w:rsidR="00247ECE" w:rsidRPr="001D2A1D" w:rsidRDefault="001D2A1D">
            <w:pPr>
              <w:pStyle w:val="Compact"/>
              <w:rPr>
                <w:lang w:val="en-GB"/>
              </w:rPr>
            </w:pPr>
            <w:r w:rsidRPr="001D2A1D">
              <w:rPr>
                <w:lang w:val="en-GB"/>
              </w:rPr>
              <w:t>10 (9 %)</w:t>
            </w:r>
          </w:p>
        </w:tc>
      </w:tr>
      <w:tr w:rsidR="00247ECE" w:rsidRPr="001D2A1D" w14:paraId="783BAED7" w14:textId="77777777">
        <w:tc>
          <w:tcPr>
            <w:tcW w:w="0" w:type="auto"/>
          </w:tcPr>
          <w:p w14:paraId="783BAED3" w14:textId="77777777" w:rsidR="00247ECE" w:rsidRPr="001D2A1D" w:rsidRDefault="001D2A1D">
            <w:pPr>
              <w:pStyle w:val="Compact"/>
              <w:rPr>
                <w:lang w:val="en-GB"/>
              </w:rPr>
            </w:pPr>
            <w:proofErr w:type="spellStart"/>
            <w:r w:rsidRPr="001D2A1D">
              <w:rPr>
                <w:lang w:val="en-GB"/>
              </w:rPr>
              <w:t>Letrozol</w:t>
            </w:r>
            <w:proofErr w:type="spellEnd"/>
          </w:p>
        </w:tc>
        <w:tc>
          <w:tcPr>
            <w:tcW w:w="0" w:type="auto"/>
          </w:tcPr>
          <w:p w14:paraId="783BAED4" w14:textId="77777777" w:rsidR="00247ECE" w:rsidRPr="001D2A1D" w:rsidRDefault="001D2A1D">
            <w:pPr>
              <w:pStyle w:val="Compact"/>
              <w:rPr>
                <w:lang w:val="en-GB"/>
              </w:rPr>
            </w:pPr>
            <w:r w:rsidRPr="001D2A1D">
              <w:rPr>
                <w:lang w:val="en-GB"/>
              </w:rPr>
              <w:t>31 (72 %)</w:t>
            </w:r>
          </w:p>
        </w:tc>
        <w:tc>
          <w:tcPr>
            <w:tcW w:w="0" w:type="auto"/>
          </w:tcPr>
          <w:p w14:paraId="783BAED5" w14:textId="77777777" w:rsidR="00247ECE" w:rsidRPr="001D2A1D" w:rsidRDefault="001D2A1D">
            <w:pPr>
              <w:pStyle w:val="Compact"/>
              <w:rPr>
                <w:lang w:val="en-GB"/>
              </w:rPr>
            </w:pPr>
            <w:r w:rsidRPr="001D2A1D">
              <w:rPr>
                <w:lang w:val="en-GB"/>
              </w:rPr>
              <w:t>66 (27 %)</w:t>
            </w:r>
          </w:p>
        </w:tc>
        <w:tc>
          <w:tcPr>
            <w:tcW w:w="0" w:type="auto"/>
          </w:tcPr>
          <w:p w14:paraId="783BAED6" w14:textId="77777777" w:rsidR="00247ECE" w:rsidRPr="001D2A1D" w:rsidRDefault="001D2A1D">
            <w:pPr>
              <w:pStyle w:val="Compact"/>
              <w:rPr>
                <w:lang w:val="en-GB"/>
              </w:rPr>
            </w:pPr>
            <w:r w:rsidRPr="001D2A1D">
              <w:rPr>
                <w:lang w:val="en-GB"/>
              </w:rPr>
              <w:t>96 (91 %)</w:t>
            </w:r>
          </w:p>
        </w:tc>
      </w:tr>
    </w:tbl>
    <w:p w14:paraId="783BAED8" w14:textId="77777777" w:rsidR="00247ECE" w:rsidRPr="001D2A1D" w:rsidRDefault="001D2A1D">
      <w:pPr>
        <w:pStyle w:val="Ttulo2"/>
        <w:rPr>
          <w:lang w:val="en-GB"/>
        </w:rPr>
      </w:pPr>
      <w:bookmarkStart w:id="5" w:name="statistical-analysis"/>
      <w:bookmarkEnd w:id="4"/>
      <w:bookmarkEnd w:id="3"/>
      <w:r w:rsidRPr="001D2A1D">
        <w:rPr>
          <w:lang w:val="en-GB"/>
        </w:rPr>
        <w:t>Statistical Analysis</w:t>
      </w:r>
    </w:p>
    <w:p w14:paraId="783BAED9" w14:textId="77777777" w:rsidR="00247ECE" w:rsidRPr="001D2A1D" w:rsidRDefault="001D2A1D">
      <w:pPr>
        <w:pStyle w:val="FirstParagraph"/>
        <w:rPr>
          <w:lang w:val="en-GB"/>
        </w:rPr>
      </w:pPr>
      <w:r w:rsidRPr="001D2A1D">
        <w:rPr>
          <w:lang w:val="en-GB"/>
        </w:rPr>
        <w:t xml:space="preserve">R was used for statistical analysis. Demographic, clinical characteristics and side effects were analysed using descriptive statistics (count, </w:t>
      </w:r>
      <w:proofErr w:type="gramStart"/>
      <w:r w:rsidRPr="001D2A1D">
        <w:rPr>
          <w:lang w:val="en-GB"/>
        </w:rPr>
        <w:t>percentages</w:t>
      </w:r>
      <w:proofErr w:type="gramEnd"/>
      <w:r w:rsidRPr="001D2A1D">
        <w:rPr>
          <w:lang w:val="en-GB"/>
        </w:rPr>
        <w:t xml:space="preserve"> and median/range). Kaplan–Meier test was used to determine the median PFS and OS in the entire population and subgroups. Log-rank test was used for comparisons of PFS and OS among different subgroups. Cox Regression was used to assess feature importance and impact. All statistical tests were two-sided, and the significance level was 0.05. The evaluation of the proportional hazards assumptions was done by Schoenfeld residues analysis. We applied propensity scores weights for achieving a more robust comparison between the two groups of CDK46i. We used the existence of visceral metastases, treatment line, age at treatment start and stage. We used the </w:t>
      </w:r>
      <w:proofErr w:type="spellStart"/>
      <w:r w:rsidRPr="001D2A1D">
        <w:rPr>
          <w:lang w:val="en-GB"/>
        </w:rPr>
        <w:t>WeightIt</w:t>
      </w:r>
      <w:proofErr w:type="spellEnd"/>
      <w:r w:rsidRPr="001D2A1D">
        <w:rPr>
          <w:lang w:val="en-GB"/>
        </w:rPr>
        <w:t xml:space="preserve"> package for R. We applied the weights to the Kaplan-Meier curves and to the Cox Regression. We applied the </w:t>
      </w:r>
      <w:proofErr w:type="spellStart"/>
      <w:r w:rsidRPr="001D2A1D">
        <w:rPr>
          <w:lang w:val="en-GB"/>
        </w:rPr>
        <w:t>weigths</w:t>
      </w:r>
      <w:proofErr w:type="spellEnd"/>
      <w:r w:rsidRPr="001D2A1D">
        <w:rPr>
          <w:lang w:val="en-GB"/>
        </w:rPr>
        <w:t xml:space="preserve"> to get the ATE which is </w:t>
      </w:r>
      <m:oMath>
        <m:r>
          <w:rPr>
            <w:rFonts w:ascii="Cambria Math" w:hAnsi="Cambria Math"/>
            <w:lang w:val="en-GB"/>
          </w:rPr>
          <m:t>E</m:t>
        </m:r>
        <m:d>
          <m:dPr>
            <m:begChr m:val="["/>
            <m:endChr m:val="]"/>
            <m:ctrlPr>
              <w:rPr>
                <w:rFonts w:ascii="Cambria Math" w:hAnsi="Cambria Math"/>
                <w:lang w:val="en-GB"/>
              </w:rPr>
            </m:ctrlPr>
          </m:dPr>
          <m:e>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1</m:t>
                </m:r>
              </m:e>
            </m:d>
            <m:r>
              <m:rPr>
                <m:sty m:val="p"/>
              </m:rPr>
              <w:rPr>
                <w:rFonts w:ascii="Cambria Math" w:hAnsi="Cambria Math"/>
                <w:lang w:val="en-GB"/>
              </w:rPr>
              <m:t>-</m:t>
            </m:r>
            <m:sSub>
              <m:sSubPr>
                <m:ctrlPr>
                  <w:rPr>
                    <w:rFonts w:ascii="Cambria Math" w:hAnsi="Cambria Math"/>
                    <w:lang w:val="en-GB"/>
                  </w:rPr>
                </m:ctrlPr>
              </m:sSubPr>
              <m:e>
                <m:r>
                  <w:rPr>
                    <w:rFonts w:ascii="Cambria Math" w:hAnsi="Cambria Math"/>
                    <w:lang w:val="en-GB"/>
                  </w:rPr>
                  <m:t>Y</m:t>
                </m:r>
              </m:e>
              <m:sub>
                <m:r>
                  <w:rPr>
                    <w:rFonts w:ascii="Cambria Math" w:hAnsi="Cambria Math"/>
                    <w:lang w:val="en-GB"/>
                  </w:rPr>
                  <m:t>i</m:t>
                </m:r>
              </m:sub>
            </m:sSub>
            <m:d>
              <m:dPr>
                <m:ctrlPr>
                  <w:rPr>
                    <w:rFonts w:ascii="Cambria Math" w:hAnsi="Cambria Math"/>
                    <w:lang w:val="en-GB"/>
                  </w:rPr>
                </m:ctrlPr>
              </m:dPr>
              <m:e>
                <m:r>
                  <w:rPr>
                    <w:rFonts w:ascii="Cambria Math" w:hAnsi="Cambria Math"/>
                    <w:lang w:val="en-GB"/>
                  </w:rPr>
                  <m:t>0</m:t>
                </m:r>
              </m:e>
            </m:d>
          </m:e>
        </m:d>
      </m:oMath>
      <w:r w:rsidRPr="001D2A1D">
        <w:rPr>
          <w:lang w:val="en-GB"/>
        </w:rPr>
        <w:t xml:space="preserve">, the </w:t>
      </w:r>
      <w:r w:rsidRPr="001D2A1D">
        <w:rPr>
          <w:lang w:val="en-GB"/>
        </w:rPr>
        <w:lastRenderedPageBreak/>
        <w:t>average effect of moving an entire population from untreated to treated, or from one drug to the other. We used weigths instead of matching since it is more suited for calculating ATE and the need to preserve the sample size, since it is already small from the start. The formula for calculating the weights was through propensity score weighting with GLM. Multiple comparasion was done with the Benjamini-Hochberg (BH) method.</w:t>
      </w:r>
    </w:p>
    <w:p w14:paraId="783BAEDA" w14:textId="77777777" w:rsidR="00247ECE" w:rsidRPr="001D2A1D" w:rsidRDefault="001D2A1D">
      <w:pPr>
        <w:pStyle w:val="Ttulo1"/>
        <w:rPr>
          <w:lang w:val="en-GB"/>
        </w:rPr>
      </w:pPr>
      <w:bookmarkStart w:id="6" w:name="results"/>
      <w:bookmarkEnd w:id="5"/>
      <w:bookmarkEnd w:id="1"/>
      <w:r w:rsidRPr="001D2A1D">
        <w:rPr>
          <w:lang w:val="en-GB"/>
        </w:rPr>
        <w:t>Results</w:t>
      </w:r>
    </w:p>
    <w:p w14:paraId="783BAEDB" w14:textId="77777777" w:rsidR="00247ECE" w:rsidRPr="001D2A1D" w:rsidRDefault="001D2A1D">
      <w:pPr>
        <w:pStyle w:val="FirstParagraph"/>
        <w:rPr>
          <w:lang w:val="en-GB"/>
        </w:rPr>
      </w:pPr>
      <w:r w:rsidRPr="001D2A1D">
        <w:rPr>
          <w:lang w:val="en-GB"/>
        </w:rPr>
        <w:t xml:space="preserve">Median OS in the entire population treated with CDK4/6 inhibitors was 46 months (95%CI 39.4–55.6). Median PFS was 20.3 months (95%CI 18.3–24.2). The median OS in the entire population after removing </w:t>
      </w:r>
      <w:proofErr w:type="spellStart"/>
      <w:r w:rsidRPr="001D2A1D">
        <w:rPr>
          <w:lang w:val="en-GB"/>
        </w:rPr>
        <w:t>abemaciclib</w:t>
      </w:r>
      <w:proofErr w:type="spellEnd"/>
      <w:r w:rsidRPr="001D2A1D">
        <w:rPr>
          <w:lang w:val="en-GB"/>
        </w:rPr>
        <w:t xml:space="preserve"> changed very little. Following this, we compared Palbociclib and </w:t>
      </w:r>
      <w:proofErr w:type="spellStart"/>
      <w:r w:rsidRPr="001D2A1D">
        <w:rPr>
          <w:lang w:val="en-GB"/>
        </w:rPr>
        <w:t>riboclib</w:t>
      </w:r>
      <w:proofErr w:type="spellEnd"/>
      <w:r w:rsidRPr="001D2A1D">
        <w:rPr>
          <w:lang w:val="en-GB"/>
        </w:rPr>
        <w:t xml:space="preserve"> as first line treatment. We found that regarding OS, there is no significant difference among the two, but </w:t>
      </w:r>
      <w:proofErr w:type="spellStart"/>
      <w:r w:rsidRPr="001D2A1D">
        <w:rPr>
          <w:lang w:val="en-GB"/>
        </w:rPr>
        <w:t>ribociclib</w:t>
      </w:r>
      <w:proofErr w:type="spellEnd"/>
      <w:r w:rsidRPr="001D2A1D">
        <w:rPr>
          <w:lang w:val="en-GB"/>
        </w:rPr>
        <w:t xml:space="preserve"> is significantly better in terms of PFS (p-value </w:t>
      </w:r>
      <m:oMath>
        <m:r>
          <m:rPr>
            <m:sty m:val="p"/>
          </m:rPr>
          <w:rPr>
            <w:rFonts w:ascii="Cambria Math" w:hAnsi="Cambria Math"/>
            <w:lang w:val="en-GB"/>
          </w:rPr>
          <m:t>≤</m:t>
        </m:r>
      </m:oMath>
      <w:r w:rsidRPr="001D2A1D">
        <w:rPr>
          <w:lang w:val="en-GB"/>
        </w:rPr>
        <w:t xml:space="preserve"> 0.001) (figure </w:t>
      </w:r>
      <w:hyperlink w:anchor="fig:interest">
        <w:r w:rsidRPr="001D2A1D">
          <w:rPr>
            <w:rStyle w:val="Hiperligao"/>
            <w:lang w:val="en-GB"/>
          </w:rPr>
          <w:t>1</w:t>
        </w:r>
      </w:hyperlink>
      <w:r w:rsidRPr="001D2A1D">
        <w:rPr>
          <w:lang w:val="en-GB"/>
        </w:rPr>
        <w:t>).</w:t>
      </w:r>
    </w:p>
    <w:p w14:paraId="783BAEDC" w14:textId="77777777" w:rsidR="00247ECE" w:rsidRPr="001D2A1D" w:rsidRDefault="001D2A1D">
      <w:pPr>
        <w:pStyle w:val="CaptionedFigure"/>
        <w:rPr>
          <w:lang w:val="en-GB"/>
        </w:rPr>
      </w:pPr>
      <w:r w:rsidRPr="001D2A1D">
        <w:rPr>
          <w:noProof/>
          <w:lang w:val="en-GB"/>
        </w:rPr>
        <w:drawing>
          <wp:inline distT="0" distB="0" distL="0" distR="0" wp14:anchorId="783BAF0A" wp14:editId="783BAF0B">
            <wp:extent cx="5334000" cy="266700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figures/interest_curve_both.jpeg"/>
                    <pic:cNvPicPr>
                      <a:picLocks noChangeAspect="1" noChangeArrowheads="1"/>
                    </pic:cNvPicPr>
                  </pic:nvPicPr>
                  <pic:blipFill>
                    <a:blip r:embed="rId7"/>
                    <a:stretch>
                      <a:fillRect/>
                    </a:stretch>
                  </pic:blipFill>
                  <pic:spPr bwMode="auto">
                    <a:xfrm>
                      <a:off x="0" y="0"/>
                      <a:ext cx="5334000" cy="2667000"/>
                    </a:xfrm>
                    <a:prstGeom prst="rect">
                      <a:avLst/>
                    </a:prstGeom>
                    <a:noFill/>
                    <a:ln w="9525">
                      <a:noFill/>
                      <a:headEnd/>
                      <a:tailEnd/>
                    </a:ln>
                  </pic:spPr>
                </pic:pic>
              </a:graphicData>
            </a:graphic>
          </wp:inline>
        </w:drawing>
      </w:r>
    </w:p>
    <w:p w14:paraId="783BAEDD" w14:textId="77777777" w:rsidR="00247ECE" w:rsidRPr="001D2A1D" w:rsidRDefault="001D2A1D">
      <w:pPr>
        <w:pStyle w:val="ImageCaption"/>
        <w:rPr>
          <w:lang w:val="en-GB"/>
        </w:rPr>
      </w:pPr>
      <w:r w:rsidRPr="001D2A1D">
        <w:rPr>
          <w:lang w:val="en-GB"/>
        </w:rPr>
        <w:t xml:space="preserve">Survival curves for Palbociclib and </w:t>
      </w:r>
      <w:proofErr w:type="spellStart"/>
      <w:r w:rsidRPr="001D2A1D">
        <w:rPr>
          <w:lang w:val="en-GB"/>
        </w:rPr>
        <w:t>Ribociclib</w:t>
      </w:r>
      <w:proofErr w:type="spellEnd"/>
      <w:r w:rsidRPr="001D2A1D">
        <w:rPr>
          <w:lang w:val="en-GB"/>
        </w:rPr>
        <w:t xml:space="preserve"> (1st line) - Progression Free Survival and Overall Survival</w:t>
      </w:r>
    </w:p>
    <w:p w14:paraId="783BAEDE" w14:textId="77777777" w:rsidR="00247ECE" w:rsidRPr="001D2A1D" w:rsidRDefault="001D2A1D">
      <w:pPr>
        <w:pStyle w:val="Corpodetexto"/>
        <w:rPr>
          <w:lang w:val="en-GB"/>
        </w:rPr>
      </w:pPr>
      <w:r w:rsidRPr="001D2A1D">
        <w:rPr>
          <w:lang w:val="en-GB"/>
        </w:rPr>
        <w:t xml:space="preserve">We then compared both with a cox regression, checking that the trend seen in figure </w:t>
      </w:r>
      <w:hyperlink w:anchor="fig:interest">
        <w:r w:rsidRPr="001D2A1D">
          <w:rPr>
            <w:rStyle w:val="Hiperligao"/>
            <w:lang w:val="en-GB"/>
          </w:rPr>
          <w:t>1</w:t>
        </w:r>
      </w:hyperlink>
      <w:r w:rsidRPr="001D2A1D">
        <w:rPr>
          <w:lang w:val="en-GB"/>
        </w:rPr>
        <w:t xml:space="preserve"> continues where OS shows no significant difference between </w:t>
      </w:r>
      <w:proofErr w:type="spellStart"/>
      <w:r w:rsidRPr="001D2A1D">
        <w:rPr>
          <w:lang w:val="en-GB"/>
        </w:rPr>
        <w:t>palbociclib</w:t>
      </w:r>
      <w:proofErr w:type="spellEnd"/>
      <w:r w:rsidRPr="001D2A1D">
        <w:rPr>
          <w:lang w:val="en-GB"/>
        </w:rPr>
        <w:t xml:space="preserve"> and </w:t>
      </w:r>
      <w:proofErr w:type="spellStart"/>
      <w:r w:rsidRPr="001D2A1D">
        <w:rPr>
          <w:lang w:val="en-GB"/>
        </w:rPr>
        <w:t>ribociclib</w:t>
      </w:r>
      <w:proofErr w:type="spellEnd"/>
      <w:r w:rsidRPr="001D2A1D">
        <w:rPr>
          <w:lang w:val="en-GB"/>
        </w:rPr>
        <w:t xml:space="preserve"> but a significantly better PFS for </w:t>
      </w:r>
      <w:proofErr w:type="spellStart"/>
      <w:r w:rsidRPr="001D2A1D">
        <w:rPr>
          <w:lang w:val="en-GB"/>
        </w:rPr>
        <w:t>ribociclib</w:t>
      </w:r>
      <w:proofErr w:type="spellEnd"/>
      <w:r w:rsidRPr="001D2A1D">
        <w:rPr>
          <w:lang w:val="en-GB"/>
        </w:rPr>
        <w:t xml:space="preserve"> (figure </w:t>
      </w:r>
      <w:hyperlink w:anchor="tab:cox">
        <w:r w:rsidRPr="001D2A1D">
          <w:rPr>
            <w:rStyle w:val="Hiperligao"/>
            <w:lang w:val="en-GB"/>
          </w:rPr>
          <w:t>[</w:t>
        </w:r>
        <w:proofErr w:type="spellStart"/>
        <w:r w:rsidRPr="001D2A1D">
          <w:rPr>
            <w:rStyle w:val="Hiperligao"/>
            <w:lang w:val="en-GB"/>
          </w:rPr>
          <w:t>tab:cox</w:t>
        </w:r>
        <w:proofErr w:type="spellEnd"/>
        <w:r w:rsidRPr="001D2A1D">
          <w:rPr>
            <w:rStyle w:val="Hiperligao"/>
            <w:lang w:val="en-GB"/>
          </w:rPr>
          <w:t>]</w:t>
        </w:r>
      </w:hyperlink>
      <w:r w:rsidRPr="001D2A1D">
        <w:rPr>
          <w:lang w:val="en-GB"/>
        </w:rPr>
        <w:t xml:space="preserve">). When adjusted to stage, visceral metastases, age and ECOG, </w:t>
      </w:r>
      <w:proofErr w:type="spellStart"/>
      <w:r w:rsidRPr="001D2A1D">
        <w:rPr>
          <w:lang w:val="en-GB"/>
        </w:rPr>
        <w:t>ribociclib</w:t>
      </w:r>
      <w:proofErr w:type="spellEnd"/>
      <w:r w:rsidRPr="001D2A1D">
        <w:rPr>
          <w:lang w:val="en-GB"/>
        </w:rPr>
        <w:t xml:space="preserve"> is associated to an HR of 0.44, implying that </w:t>
      </w:r>
      <w:proofErr w:type="spellStart"/>
      <w:r w:rsidRPr="001D2A1D">
        <w:rPr>
          <w:lang w:val="en-GB"/>
        </w:rPr>
        <w:t>ribociclib</w:t>
      </w:r>
      <w:proofErr w:type="spellEnd"/>
      <w:r w:rsidRPr="001D2A1D">
        <w:rPr>
          <w:lang w:val="en-GB"/>
        </w:rPr>
        <w:t xml:space="preserve"> as a first line treatment reduces the risk of the disease progression by </w:t>
      </w:r>
      <m:oMath>
        <m:r>
          <w:rPr>
            <w:rFonts w:ascii="Cambria Math" w:hAnsi="Cambria Math"/>
            <w:lang w:val="en-GB"/>
          </w:rPr>
          <m:t> </m:t>
        </m:r>
      </m:oMath>
      <w:r w:rsidRPr="001D2A1D">
        <w:rPr>
          <w:lang w:val="en-GB"/>
        </w:rPr>
        <w:t>60% compared to palbociclib as first line treatment. The proportional hazards assumption was confirmed with p values all over 0.10.</w:t>
      </w:r>
    </w:p>
    <w:p w14:paraId="783BAEDF" w14:textId="77777777" w:rsidR="00247ECE" w:rsidRPr="001D2A1D" w:rsidRDefault="001D2A1D">
      <w:pPr>
        <w:pStyle w:val="Corpodetexto"/>
        <w:rPr>
          <w:lang w:val="en-GB"/>
        </w:rPr>
      </w:pPr>
      <w:r w:rsidRPr="001D2A1D">
        <w:rPr>
          <w:noProof/>
          <w:lang w:val="en-GB"/>
        </w:rPr>
        <w:lastRenderedPageBreak/>
        <w:drawing>
          <wp:inline distT="0" distB="0" distL="0" distR="0" wp14:anchorId="783BAF0C" wp14:editId="783BAF0D">
            <wp:extent cx="5334000" cy="7370784"/>
            <wp:effectExtent l="0" t="0" r="0" b="0"/>
            <wp:docPr id="31" name="Picture" descr="image"/>
            <wp:cNvGraphicFramePr/>
            <a:graphic xmlns:a="http://schemas.openxmlformats.org/drawingml/2006/main">
              <a:graphicData uri="http://schemas.openxmlformats.org/drawingml/2006/picture">
                <pic:pic xmlns:pic="http://schemas.openxmlformats.org/drawingml/2006/picture">
                  <pic:nvPicPr>
                    <pic:cNvPr id="32" name="Picture" descr="figures/cox_both.png"/>
                    <pic:cNvPicPr>
                      <a:picLocks noChangeAspect="1" noChangeArrowheads="1"/>
                    </pic:cNvPicPr>
                  </pic:nvPicPr>
                  <pic:blipFill>
                    <a:blip r:embed="rId8"/>
                    <a:stretch>
                      <a:fillRect/>
                    </a:stretch>
                  </pic:blipFill>
                  <pic:spPr bwMode="auto">
                    <a:xfrm>
                      <a:off x="0" y="0"/>
                      <a:ext cx="5334000" cy="7370784"/>
                    </a:xfrm>
                    <a:prstGeom prst="rect">
                      <a:avLst/>
                    </a:prstGeom>
                    <a:noFill/>
                    <a:ln w="9525">
                      <a:noFill/>
                      <a:headEnd/>
                      <a:tailEnd/>
                    </a:ln>
                  </pic:spPr>
                </pic:pic>
              </a:graphicData>
            </a:graphic>
          </wp:inline>
        </w:drawing>
      </w:r>
    </w:p>
    <w:p w14:paraId="783BAEE0" w14:textId="77777777" w:rsidR="00247ECE" w:rsidRPr="001D2A1D" w:rsidRDefault="001D2A1D">
      <w:pPr>
        <w:pStyle w:val="Corpodetexto"/>
        <w:rPr>
          <w:lang w:val="en-GB"/>
        </w:rPr>
      </w:pPr>
      <w:r w:rsidRPr="001D2A1D">
        <w:rPr>
          <w:lang w:val="en-GB"/>
        </w:rPr>
        <w:t xml:space="preserve">When comparing endocrine therapy with CDK4/6 inhibitors as first line treatment, we see that only </w:t>
      </w:r>
      <w:proofErr w:type="spellStart"/>
      <w:r w:rsidRPr="001D2A1D">
        <w:rPr>
          <w:lang w:val="en-GB"/>
        </w:rPr>
        <w:t>Ribociclib</w:t>
      </w:r>
      <w:proofErr w:type="spellEnd"/>
      <w:r w:rsidRPr="001D2A1D">
        <w:rPr>
          <w:lang w:val="en-GB"/>
        </w:rPr>
        <w:t xml:space="preserve"> is significantly better in terms of PFS and OS (p-value </w:t>
      </w:r>
      <m:oMath>
        <m:r>
          <m:rPr>
            <m:sty m:val="p"/>
          </m:rPr>
          <w:rPr>
            <w:rFonts w:ascii="Cambria Math" w:hAnsi="Cambria Math"/>
            <w:lang w:val="en-GB"/>
          </w:rPr>
          <m:t>≤</m:t>
        </m:r>
      </m:oMath>
      <w:r w:rsidRPr="001D2A1D">
        <w:rPr>
          <w:lang w:val="en-GB"/>
        </w:rPr>
        <w:t xml:space="preserve"> 0.001). When comparing palbociclib as first line, we see that there is no significant difference both in terms of PFS and OS (p=0.08 and 0.6) (figure </w:t>
      </w:r>
      <w:hyperlink w:anchor="fig:grouped">
        <w:r w:rsidRPr="001D2A1D">
          <w:rPr>
            <w:rStyle w:val="Hiperligao"/>
            <w:lang w:val="en-GB"/>
          </w:rPr>
          <w:t>2</w:t>
        </w:r>
      </w:hyperlink>
      <w:r w:rsidRPr="001D2A1D">
        <w:rPr>
          <w:lang w:val="en-GB"/>
        </w:rPr>
        <w:t>).</w:t>
      </w:r>
    </w:p>
    <w:p w14:paraId="783BAEE1" w14:textId="77777777" w:rsidR="00247ECE" w:rsidRPr="001D2A1D" w:rsidRDefault="001D2A1D">
      <w:pPr>
        <w:pStyle w:val="CaptionedFigure"/>
        <w:rPr>
          <w:lang w:val="en-GB"/>
        </w:rPr>
      </w:pPr>
      <w:r w:rsidRPr="001D2A1D">
        <w:rPr>
          <w:noProof/>
          <w:lang w:val="en-GB"/>
        </w:rPr>
        <w:lastRenderedPageBreak/>
        <w:drawing>
          <wp:inline distT="0" distB="0" distL="0" distR="0" wp14:anchorId="783BAF0E" wp14:editId="783BAF0F">
            <wp:extent cx="5334000" cy="2667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35" name="Picture" descr="figures/grouped_curve_both.jpeg"/>
                    <pic:cNvPicPr>
                      <a:picLocks noChangeAspect="1" noChangeArrowheads="1"/>
                    </pic:cNvPicPr>
                  </pic:nvPicPr>
                  <pic:blipFill>
                    <a:blip r:embed="rId9"/>
                    <a:stretch>
                      <a:fillRect/>
                    </a:stretch>
                  </pic:blipFill>
                  <pic:spPr bwMode="auto">
                    <a:xfrm>
                      <a:off x="0" y="0"/>
                      <a:ext cx="5334000" cy="2667000"/>
                    </a:xfrm>
                    <a:prstGeom prst="rect">
                      <a:avLst/>
                    </a:prstGeom>
                    <a:noFill/>
                    <a:ln w="9525">
                      <a:noFill/>
                      <a:headEnd/>
                      <a:tailEnd/>
                    </a:ln>
                  </pic:spPr>
                </pic:pic>
              </a:graphicData>
            </a:graphic>
          </wp:inline>
        </w:drawing>
      </w:r>
    </w:p>
    <w:p w14:paraId="783BAEE2" w14:textId="77777777" w:rsidR="00247ECE" w:rsidRPr="001D2A1D" w:rsidRDefault="001D2A1D">
      <w:pPr>
        <w:pStyle w:val="ImageCaption"/>
        <w:rPr>
          <w:lang w:val="en-GB"/>
        </w:rPr>
      </w:pPr>
      <w:r w:rsidRPr="001D2A1D">
        <w:rPr>
          <w:lang w:val="en-GB"/>
        </w:rPr>
        <w:t xml:space="preserve">Survival curves (OS and PFS) comparing endocrine therapy (ET) to CDK4/6 inhibitors as 1st line. p values shown as pairwise vs HT. </w:t>
      </w:r>
    </w:p>
    <w:p w14:paraId="783BAEE3" w14:textId="77777777" w:rsidR="00247ECE" w:rsidRPr="001D2A1D" w:rsidRDefault="001D2A1D">
      <w:pPr>
        <w:pStyle w:val="Corpodetexto"/>
        <w:rPr>
          <w:lang w:val="en-GB"/>
        </w:rPr>
      </w:pPr>
      <w:r w:rsidRPr="001D2A1D">
        <w:rPr>
          <w:lang w:val="en-GB"/>
        </w:rPr>
        <w:t xml:space="preserve">When comparing </w:t>
      </w:r>
      <w:proofErr w:type="spellStart"/>
      <w:r w:rsidRPr="001D2A1D">
        <w:rPr>
          <w:lang w:val="en-GB"/>
        </w:rPr>
        <w:t>palbociclib</w:t>
      </w:r>
      <w:proofErr w:type="spellEnd"/>
      <w:r w:rsidRPr="001D2A1D">
        <w:rPr>
          <w:lang w:val="en-GB"/>
        </w:rPr>
        <w:t xml:space="preserve"> and </w:t>
      </w:r>
      <w:proofErr w:type="spellStart"/>
      <w:r w:rsidRPr="001D2A1D">
        <w:rPr>
          <w:lang w:val="en-GB"/>
        </w:rPr>
        <w:t>ribociclib</w:t>
      </w:r>
      <w:proofErr w:type="spellEnd"/>
      <w:r w:rsidRPr="001D2A1D">
        <w:rPr>
          <w:lang w:val="en-GB"/>
        </w:rPr>
        <w:t xml:space="preserve"> adjusted for ATE weights, we found a different scenario from previous assessments. There is a significant difference between the two in terms of OS and PFS (figure </w:t>
      </w:r>
      <w:hyperlink w:anchor="fig:propensity">
        <w:r w:rsidRPr="001D2A1D">
          <w:rPr>
            <w:rStyle w:val="Hiperligao"/>
            <w:lang w:val="en-GB"/>
          </w:rPr>
          <w:t>3</w:t>
        </w:r>
      </w:hyperlink>
      <w:r w:rsidRPr="001D2A1D">
        <w:rPr>
          <w:lang w:val="en-GB"/>
        </w:rPr>
        <w:t xml:space="preserve">). We calculated the weights </w:t>
      </w:r>
      <w:proofErr w:type="gramStart"/>
      <w:r w:rsidRPr="001D2A1D">
        <w:rPr>
          <w:lang w:val="en-GB"/>
        </w:rPr>
        <w:t>taken into account</w:t>
      </w:r>
      <w:proofErr w:type="gramEnd"/>
      <w:r w:rsidRPr="001D2A1D">
        <w:rPr>
          <w:lang w:val="en-GB"/>
        </w:rPr>
        <w:t xml:space="preserve"> stage, age at treatment start, treatment line and ECOG.</w:t>
      </w:r>
    </w:p>
    <w:p w14:paraId="783BAEE4" w14:textId="77777777" w:rsidR="00247ECE" w:rsidRPr="001D2A1D" w:rsidRDefault="001D2A1D">
      <w:pPr>
        <w:pStyle w:val="CaptionedFigure"/>
        <w:rPr>
          <w:lang w:val="en-GB"/>
        </w:rPr>
      </w:pPr>
      <w:r w:rsidRPr="001D2A1D">
        <w:rPr>
          <w:noProof/>
          <w:lang w:val="en-GB"/>
        </w:rPr>
        <w:drawing>
          <wp:inline distT="0" distB="0" distL="0" distR="0" wp14:anchorId="783BAF10" wp14:editId="783BAF11">
            <wp:extent cx="5334000" cy="2667000"/>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38" name="Picture" descr="figures/propensity_score_both.jpe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14:paraId="783BAEE5" w14:textId="77777777" w:rsidR="00247ECE" w:rsidRPr="001D2A1D" w:rsidRDefault="001D2A1D">
      <w:pPr>
        <w:pStyle w:val="ImageCaption"/>
        <w:rPr>
          <w:lang w:val="en-GB"/>
        </w:rPr>
      </w:pPr>
      <w:r w:rsidRPr="001D2A1D">
        <w:rPr>
          <w:lang w:val="en-GB"/>
        </w:rPr>
        <w:t xml:space="preserve">Comparison of </w:t>
      </w:r>
      <w:proofErr w:type="spellStart"/>
      <w:r w:rsidRPr="001D2A1D">
        <w:rPr>
          <w:lang w:val="en-GB"/>
        </w:rPr>
        <w:t>palbociclib</w:t>
      </w:r>
      <w:proofErr w:type="spellEnd"/>
      <w:r w:rsidRPr="001D2A1D">
        <w:rPr>
          <w:lang w:val="en-GB"/>
        </w:rPr>
        <w:t xml:space="preserve"> and </w:t>
      </w:r>
      <w:proofErr w:type="spellStart"/>
      <w:r w:rsidRPr="001D2A1D">
        <w:rPr>
          <w:lang w:val="en-GB"/>
        </w:rPr>
        <w:t>ribociclib</w:t>
      </w:r>
      <w:proofErr w:type="spellEnd"/>
      <w:r w:rsidRPr="001D2A1D">
        <w:rPr>
          <w:lang w:val="en-GB"/>
        </w:rPr>
        <w:t xml:space="preserve"> survival curves adjusted for propensity </w:t>
      </w:r>
      <w:proofErr w:type="gramStart"/>
      <w:r w:rsidRPr="001D2A1D">
        <w:rPr>
          <w:lang w:val="en-GB"/>
        </w:rPr>
        <w:t>scores</w:t>
      </w:r>
      <w:proofErr w:type="gramEnd"/>
      <w:r w:rsidRPr="001D2A1D">
        <w:rPr>
          <w:lang w:val="en-GB"/>
        </w:rPr>
        <w:t xml:space="preserve"> </w:t>
      </w:r>
    </w:p>
    <w:p w14:paraId="783BAEE6" w14:textId="77777777" w:rsidR="00247ECE" w:rsidRPr="001D2A1D" w:rsidRDefault="001D2A1D">
      <w:pPr>
        <w:pStyle w:val="Corpodetexto"/>
        <w:rPr>
          <w:lang w:val="en-GB"/>
        </w:rPr>
      </w:pPr>
      <w:r w:rsidRPr="001D2A1D">
        <w:rPr>
          <w:lang w:val="en-GB"/>
        </w:rPr>
        <w:t xml:space="preserve">The Cox regression adjusted for </w:t>
      </w:r>
      <w:proofErr w:type="spellStart"/>
      <w:r w:rsidRPr="001D2A1D">
        <w:rPr>
          <w:lang w:val="en-GB"/>
        </w:rPr>
        <w:t>weigths</w:t>
      </w:r>
      <w:proofErr w:type="spellEnd"/>
      <w:r w:rsidRPr="001D2A1D">
        <w:rPr>
          <w:lang w:val="en-GB"/>
        </w:rPr>
        <w:t xml:space="preserve"> shows that </w:t>
      </w:r>
      <w:proofErr w:type="spellStart"/>
      <w:r w:rsidRPr="001D2A1D">
        <w:rPr>
          <w:lang w:val="en-GB"/>
        </w:rPr>
        <w:t>ribociclib</w:t>
      </w:r>
      <w:proofErr w:type="spellEnd"/>
      <w:r w:rsidRPr="001D2A1D">
        <w:rPr>
          <w:lang w:val="en-GB"/>
        </w:rPr>
        <w:t xml:space="preserve"> is associated to an HR of 0.47 [0-26-0.87], implying that </w:t>
      </w:r>
      <w:proofErr w:type="spellStart"/>
      <w:r w:rsidRPr="001D2A1D">
        <w:rPr>
          <w:lang w:val="en-GB"/>
        </w:rPr>
        <w:t>ribociclib</w:t>
      </w:r>
      <w:proofErr w:type="spellEnd"/>
      <w:r w:rsidRPr="001D2A1D">
        <w:rPr>
          <w:lang w:val="en-GB"/>
        </w:rPr>
        <w:t xml:space="preserve"> reduces the risk of the death by </w:t>
      </w:r>
      <m:oMath>
        <m:r>
          <m:rPr>
            <m:sty m:val="p"/>
          </m:rPr>
          <w:rPr>
            <w:rFonts w:ascii="Cambria Math" w:hAnsi="Cambria Math"/>
            <w:lang w:val="en-GB"/>
          </w:rPr>
          <m:t>∼</m:t>
        </m:r>
      </m:oMath>
      <w:r w:rsidRPr="001D2A1D">
        <w:rPr>
          <w:lang w:val="en-GB"/>
        </w:rPr>
        <w:t xml:space="preserve">50% compared to palbociclib. The HR for PFS is 0.44 [0.26-0.62], implying that ribociclib reduces the risk of the disease progression by </w:t>
      </w:r>
      <m:oMath>
        <m:r>
          <m:rPr>
            <m:sty m:val="p"/>
          </m:rPr>
          <w:rPr>
            <w:rFonts w:ascii="Cambria Math" w:hAnsi="Cambria Math"/>
            <w:lang w:val="en-GB"/>
          </w:rPr>
          <m:t>∼</m:t>
        </m:r>
      </m:oMath>
      <w:r w:rsidRPr="001D2A1D">
        <w:rPr>
          <w:lang w:val="en-GB"/>
        </w:rPr>
        <w:t xml:space="preserve">60% compared to palbociclib, which also indicates the adjustment caused little to no effect on the results (figure </w:t>
      </w:r>
      <w:hyperlink w:anchor="tab:cox">
        <w:r w:rsidRPr="001D2A1D">
          <w:rPr>
            <w:rStyle w:val="Hiperligao"/>
            <w:lang w:val="en-GB"/>
          </w:rPr>
          <w:t>[</w:t>
        </w:r>
        <w:proofErr w:type="spellStart"/>
        <w:proofErr w:type="gramStart"/>
        <w:r w:rsidRPr="001D2A1D">
          <w:rPr>
            <w:rStyle w:val="Hiperligao"/>
            <w:lang w:val="en-GB"/>
          </w:rPr>
          <w:t>tab:cox</w:t>
        </w:r>
        <w:proofErr w:type="spellEnd"/>
        <w:proofErr w:type="gramEnd"/>
        <w:r w:rsidRPr="001D2A1D">
          <w:rPr>
            <w:rStyle w:val="Hiperligao"/>
            <w:lang w:val="en-GB"/>
          </w:rPr>
          <w:t>]</w:t>
        </w:r>
      </w:hyperlink>
      <w:r w:rsidRPr="001D2A1D">
        <w:rPr>
          <w:lang w:val="en-GB"/>
        </w:rPr>
        <w:t>). Proportional hazards assumptions confirmed as well.</w:t>
      </w:r>
    </w:p>
    <w:p w14:paraId="783BAEE7" w14:textId="77777777" w:rsidR="00247ECE" w:rsidRPr="001D2A1D" w:rsidRDefault="001D2A1D">
      <w:pPr>
        <w:pStyle w:val="Ttulo1"/>
        <w:rPr>
          <w:lang w:val="en-GB"/>
        </w:rPr>
      </w:pPr>
      <w:bookmarkStart w:id="7" w:name="discussion"/>
      <w:bookmarkEnd w:id="6"/>
      <w:r w:rsidRPr="001D2A1D">
        <w:rPr>
          <w:lang w:val="en-GB"/>
        </w:rPr>
        <w:lastRenderedPageBreak/>
        <w:t>Discussion</w:t>
      </w:r>
    </w:p>
    <w:p w14:paraId="783BAEE8" w14:textId="77777777" w:rsidR="00247ECE" w:rsidRPr="001D2A1D" w:rsidRDefault="001D2A1D">
      <w:pPr>
        <w:pStyle w:val="FirstParagraph"/>
        <w:rPr>
          <w:lang w:val="en-GB"/>
        </w:rPr>
      </w:pPr>
      <w:r w:rsidRPr="001D2A1D">
        <w:rPr>
          <w:lang w:val="en-GB"/>
        </w:rPr>
        <w:t xml:space="preserve">The aim of this study was to evaluate the real-world use of </w:t>
      </w:r>
      <w:proofErr w:type="spellStart"/>
      <w:r w:rsidRPr="001D2A1D">
        <w:rPr>
          <w:lang w:val="en-GB"/>
        </w:rPr>
        <w:t>palbociclib</w:t>
      </w:r>
      <w:proofErr w:type="spellEnd"/>
      <w:r w:rsidRPr="001D2A1D">
        <w:rPr>
          <w:lang w:val="en-GB"/>
        </w:rPr>
        <w:t xml:space="preserve"> and </w:t>
      </w:r>
      <w:proofErr w:type="spellStart"/>
      <w:r w:rsidRPr="001D2A1D">
        <w:rPr>
          <w:lang w:val="en-GB"/>
        </w:rPr>
        <w:t>ribociclib</w:t>
      </w:r>
      <w:proofErr w:type="spellEnd"/>
      <w:r w:rsidRPr="001D2A1D">
        <w:rPr>
          <w:lang w:val="en-GB"/>
        </w:rPr>
        <w:t xml:space="preserve"> in combination with ET for HR+/HER2</w:t>
      </w:r>
      <m:oMath>
        <m:r>
          <m:rPr>
            <m:sty m:val="p"/>
          </m:rPr>
          <w:rPr>
            <w:rFonts w:ascii="Cambria Math" w:hAnsi="Cambria Math"/>
            <w:lang w:val="en-GB"/>
          </w:rPr>
          <m:t>-</m:t>
        </m:r>
      </m:oMath>
      <w:r w:rsidRPr="001D2A1D">
        <w:rPr>
          <w:lang w:val="en-GB"/>
        </w:rPr>
        <w:t xml:space="preserve"> and comparing this drug class with traditional endocrine therapy. Few real-world evidence studies of palbociclib and ribociclib used in daily clinical practice have been published identifying clinical benefit, patient profile and sequencing of treatment, with even less evidence of use of palbociclib in Portugal.</w:t>
      </w:r>
    </w:p>
    <w:p w14:paraId="783BAEE9" w14:textId="77777777" w:rsidR="00247ECE" w:rsidRPr="001D2A1D" w:rsidRDefault="001D2A1D">
      <w:pPr>
        <w:pStyle w:val="Corpodetexto"/>
        <w:rPr>
          <w:lang w:val="en-GB"/>
        </w:rPr>
      </w:pPr>
      <w:r w:rsidRPr="001D2A1D">
        <w:rPr>
          <w:lang w:val="en-GB"/>
        </w:rPr>
        <w:t>When comparing with clinical trials, regarding patient profile, in our study, 51% had visceral metastasis and 35% had bone only metastases comparing with 49% and 38% in PALOMA-2, and 60% and 25% in PALOMA-3, respectively (</w:t>
      </w:r>
      <w:proofErr w:type="spellStart"/>
      <w:r w:rsidRPr="001D2A1D">
        <w:rPr>
          <w:lang w:val="en-GB"/>
        </w:rPr>
        <w:t>Rugo</w:t>
      </w:r>
      <w:proofErr w:type="spellEnd"/>
      <w:r w:rsidRPr="001D2A1D">
        <w:rPr>
          <w:lang w:val="en-GB"/>
        </w:rPr>
        <w:t xml:space="preserve"> et al. 2018; </w:t>
      </w:r>
      <w:proofErr w:type="spellStart"/>
      <w:r w:rsidRPr="001D2A1D">
        <w:rPr>
          <w:lang w:val="en-GB"/>
        </w:rPr>
        <w:t>Cristofanilli</w:t>
      </w:r>
      <w:proofErr w:type="spellEnd"/>
      <w:r w:rsidRPr="001D2A1D">
        <w:rPr>
          <w:lang w:val="en-GB"/>
        </w:rPr>
        <w:t xml:space="preserve"> et al. 2016). As for </w:t>
      </w:r>
      <w:proofErr w:type="spellStart"/>
      <w:r w:rsidRPr="001D2A1D">
        <w:rPr>
          <w:lang w:val="en-GB"/>
        </w:rPr>
        <w:t>ribociclib</w:t>
      </w:r>
      <w:proofErr w:type="spellEnd"/>
      <w:r w:rsidRPr="001D2A1D">
        <w:rPr>
          <w:lang w:val="en-GB"/>
        </w:rPr>
        <w:t>, MONALEESA-7 (Tripathy et al. 2018) has 24% and MONALEESA-2 has 40% (</w:t>
      </w:r>
      <w:proofErr w:type="spellStart"/>
      <w:r w:rsidRPr="001D2A1D">
        <w:rPr>
          <w:lang w:val="en-GB"/>
        </w:rPr>
        <w:t>Hortobagyi</w:t>
      </w:r>
      <w:proofErr w:type="spellEnd"/>
      <w:r w:rsidRPr="001D2A1D">
        <w:rPr>
          <w:lang w:val="en-GB"/>
        </w:rPr>
        <w:t xml:space="preserve"> et al. 2018) and our study has 30%.</w:t>
      </w:r>
    </w:p>
    <w:p w14:paraId="783BAEEA" w14:textId="47B9D74A" w:rsidR="00247ECE" w:rsidRPr="001D2A1D" w:rsidRDefault="005A0B89">
      <w:pPr>
        <w:pStyle w:val="Corpodetexto"/>
        <w:rPr>
          <w:lang w:val="en-GB"/>
        </w:rPr>
      </w:pPr>
      <w:r w:rsidRPr="001D2A1D">
        <w:rPr>
          <w:lang w:val="en-GB"/>
        </w:rPr>
        <w:t>Regarding the clinical outcomes,</w:t>
      </w:r>
      <w:r w:rsidR="001D2A1D" w:rsidRPr="001D2A1D">
        <w:rPr>
          <w:lang w:val="en-GB"/>
        </w:rPr>
        <w:t xml:space="preserve"> the range of median PFS for </w:t>
      </w:r>
      <w:r w:rsidR="00D56491" w:rsidRPr="001D2A1D">
        <w:rPr>
          <w:lang w:val="en-GB"/>
        </w:rPr>
        <w:t>first line</w:t>
      </w:r>
      <w:r w:rsidR="001D2A1D" w:rsidRPr="001D2A1D">
        <w:rPr>
          <w:lang w:val="en-GB"/>
        </w:rPr>
        <w:t xml:space="preserve"> </w:t>
      </w:r>
      <w:proofErr w:type="spellStart"/>
      <w:r w:rsidR="001D2A1D" w:rsidRPr="001D2A1D">
        <w:rPr>
          <w:lang w:val="en-GB"/>
        </w:rPr>
        <w:t>palbociclib</w:t>
      </w:r>
      <w:proofErr w:type="spellEnd"/>
      <w:r w:rsidR="001D2A1D" w:rsidRPr="001D2A1D">
        <w:rPr>
          <w:lang w:val="en-GB"/>
        </w:rPr>
        <w:t xml:space="preserve"> was 15.5–25.5 months, which is shorter than 27.6 months observed in a post hoc analysis of the PALOMA-2 clinical trial with extended follow-up (</w:t>
      </w:r>
      <w:proofErr w:type="spellStart"/>
      <w:r w:rsidR="001D2A1D" w:rsidRPr="001D2A1D">
        <w:rPr>
          <w:lang w:val="en-GB"/>
        </w:rPr>
        <w:t>Rugo</w:t>
      </w:r>
      <w:proofErr w:type="spellEnd"/>
      <w:r w:rsidR="001D2A1D" w:rsidRPr="001D2A1D">
        <w:rPr>
          <w:lang w:val="en-GB"/>
        </w:rPr>
        <w:t xml:space="preserve"> et al. 2018), but in line with RWE studies (13.3–20.2 months) (</w:t>
      </w:r>
      <w:proofErr w:type="spellStart"/>
      <w:r w:rsidR="001D2A1D" w:rsidRPr="001D2A1D">
        <w:rPr>
          <w:lang w:val="en-GB"/>
        </w:rPr>
        <w:t>Harbeck</w:t>
      </w:r>
      <w:proofErr w:type="spellEnd"/>
      <w:r w:rsidR="001D2A1D" w:rsidRPr="001D2A1D">
        <w:rPr>
          <w:lang w:val="en-GB"/>
        </w:rPr>
        <w:t xml:space="preserve"> et al. 2021). </w:t>
      </w:r>
      <w:r w:rsidR="00570C0D" w:rsidRPr="001D2A1D">
        <w:rPr>
          <w:lang w:val="en-GB"/>
        </w:rPr>
        <w:t xml:space="preserve">Regarding </w:t>
      </w:r>
      <w:proofErr w:type="spellStart"/>
      <w:r w:rsidR="00570C0D" w:rsidRPr="001D2A1D">
        <w:rPr>
          <w:lang w:val="en-GB"/>
        </w:rPr>
        <w:t>ribociclib</w:t>
      </w:r>
      <w:proofErr w:type="spellEnd"/>
      <w:r w:rsidR="00570C0D" w:rsidRPr="001D2A1D">
        <w:rPr>
          <w:lang w:val="en-GB"/>
        </w:rPr>
        <w:t xml:space="preserve">, the median survival time was not </w:t>
      </w:r>
      <w:r w:rsidR="00951AFE" w:rsidRPr="001D2A1D">
        <w:rPr>
          <w:lang w:val="en-GB"/>
        </w:rPr>
        <w:t>reached</w:t>
      </w:r>
      <w:r w:rsidR="00570C0D" w:rsidRPr="001D2A1D">
        <w:rPr>
          <w:lang w:val="en-GB"/>
        </w:rPr>
        <w:t xml:space="preserve"> for both OS and PFS.</w:t>
      </w:r>
      <w:r w:rsidR="001D2A1D" w:rsidRPr="001D2A1D">
        <w:rPr>
          <w:lang w:val="en-GB"/>
        </w:rPr>
        <w:t xml:space="preserve"> </w:t>
      </w:r>
      <w:r w:rsidR="009C7AEF" w:rsidRPr="001D2A1D">
        <w:rPr>
          <w:lang w:val="en-GB"/>
        </w:rPr>
        <w:t>It is possible to</w:t>
      </w:r>
      <w:r w:rsidR="001D2A1D" w:rsidRPr="001D2A1D">
        <w:rPr>
          <w:lang w:val="en-GB"/>
        </w:rPr>
        <w:t xml:space="preserve"> say that the median PFS</w:t>
      </w:r>
      <w:r w:rsidR="00840C05" w:rsidRPr="001D2A1D">
        <w:rPr>
          <w:lang w:val="en-GB"/>
        </w:rPr>
        <w:t xml:space="preserve"> for </w:t>
      </w:r>
      <w:proofErr w:type="spellStart"/>
      <w:r w:rsidR="00840C05" w:rsidRPr="001D2A1D">
        <w:rPr>
          <w:lang w:val="en-GB"/>
        </w:rPr>
        <w:t>ribociclib</w:t>
      </w:r>
      <w:proofErr w:type="spellEnd"/>
      <w:r w:rsidR="001D2A1D" w:rsidRPr="001D2A1D">
        <w:rPr>
          <w:lang w:val="en-GB"/>
        </w:rPr>
        <w:t xml:space="preserve"> is longer than 50 months. This is longer that the median progression-free survival of 23.8 months (95% CI 19.2–not reached) reported in the MONALEESA-7 trial (Tripathy et al. 2018) and longer than 25.3 months (95% CI 23.0–30.3) in the MONALEESA-2 trial (</w:t>
      </w:r>
      <w:proofErr w:type="spellStart"/>
      <w:r w:rsidR="001D2A1D" w:rsidRPr="001D2A1D">
        <w:rPr>
          <w:lang w:val="en-GB"/>
        </w:rPr>
        <w:t>Hortobagyi</w:t>
      </w:r>
      <w:proofErr w:type="spellEnd"/>
      <w:r w:rsidR="001D2A1D" w:rsidRPr="001D2A1D">
        <w:rPr>
          <w:lang w:val="en-GB"/>
        </w:rPr>
        <w:t xml:space="preserve"> et al. 2018). However, the </w:t>
      </w:r>
      <w:r w:rsidR="0094276A" w:rsidRPr="001D2A1D">
        <w:rPr>
          <w:lang w:val="en-GB"/>
        </w:rPr>
        <w:t>ET</w:t>
      </w:r>
      <w:r w:rsidR="001D2A1D" w:rsidRPr="001D2A1D">
        <w:rPr>
          <w:lang w:val="en-GB"/>
        </w:rPr>
        <w:t xml:space="preserve"> group has a median PFS of 13.6 months, which is in tune with the reported values in the literature.</w:t>
      </w:r>
    </w:p>
    <w:p w14:paraId="4AC30F35" w14:textId="31240FAF" w:rsidR="00A1017C" w:rsidRPr="001D2A1D" w:rsidRDefault="001D2A1D" w:rsidP="00A1017C">
      <w:pPr>
        <w:pStyle w:val="Corpodetexto"/>
        <w:rPr>
          <w:lang w:val="en-GB"/>
        </w:rPr>
      </w:pPr>
      <w:r w:rsidRPr="001D2A1D">
        <w:rPr>
          <w:lang w:val="en-GB"/>
        </w:rPr>
        <w:t xml:space="preserve">Regarding the comparison between </w:t>
      </w:r>
      <w:r w:rsidR="00EE5FEB" w:rsidRPr="001D2A1D">
        <w:rPr>
          <w:lang w:val="en-GB"/>
        </w:rPr>
        <w:t>ET</w:t>
      </w:r>
      <w:r w:rsidRPr="001D2A1D">
        <w:rPr>
          <w:lang w:val="en-GB"/>
        </w:rPr>
        <w:t xml:space="preserve"> and CDK4/6i first line, we found out that neither OS and PFS have significant changes when compared </w:t>
      </w:r>
      <w:r w:rsidR="00E87617" w:rsidRPr="001D2A1D">
        <w:rPr>
          <w:lang w:val="en-GB"/>
        </w:rPr>
        <w:t>ET</w:t>
      </w:r>
      <w:r w:rsidRPr="001D2A1D">
        <w:rPr>
          <w:lang w:val="en-GB"/>
        </w:rPr>
        <w:t xml:space="preserve"> and Palbociclib 1st line. This is an unexpected result, since we would expect that the addition of </w:t>
      </w:r>
      <w:proofErr w:type="spellStart"/>
      <w:r w:rsidRPr="001D2A1D">
        <w:rPr>
          <w:lang w:val="en-GB"/>
        </w:rPr>
        <w:t>palbociclib</w:t>
      </w:r>
      <w:proofErr w:type="spellEnd"/>
      <w:r w:rsidRPr="001D2A1D">
        <w:rPr>
          <w:lang w:val="en-GB"/>
        </w:rPr>
        <w:t xml:space="preserve"> would increase at least the PFS significantly. However, the difference is significant for </w:t>
      </w:r>
      <w:proofErr w:type="spellStart"/>
      <w:r w:rsidRPr="001D2A1D">
        <w:rPr>
          <w:lang w:val="en-GB"/>
        </w:rPr>
        <w:t>Ribociclib</w:t>
      </w:r>
      <w:proofErr w:type="spellEnd"/>
      <w:r w:rsidRPr="001D2A1D">
        <w:rPr>
          <w:lang w:val="en-GB"/>
        </w:rPr>
        <w:t>. We also made a cox regression, adjusted for drug (inside HT) which was not significant with p values over 0.2.</w:t>
      </w:r>
      <w:r w:rsidR="003867D3" w:rsidRPr="001D2A1D">
        <w:rPr>
          <w:lang w:val="en-GB"/>
        </w:rPr>
        <w:t xml:space="preserve"> This is a</w:t>
      </w:r>
      <w:r w:rsidR="008E656A" w:rsidRPr="001D2A1D">
        <w:rPr>
          <w:lang w:val="en-GB"/>
        </w:rPr>
        <w:t>n</w:t>
      </w:r>
      <w:r w:rsidR="003867D3" w:rsidRPr="001D2A1D">
        <w:rPr>
          <w:lang w:val="en-GB"/>
        </w:rPr>
        <w:t xml:space="preserve"> interesting </w:t>
      </w:r>
      <w:r w:rsidR="002200AB" w:rsidRPr="001D2A1D">
        <w:rPr>
          <w:lang w:val="en-GB"/>
        </w:rPr>
        <w:t>result,</w:t>
      </w:r>
      <w:r w:rsidR="003867D3" w:rsidRPr="001D2A1D">
        <w:rPr>
          <w:lang w:val="en-GB"/>
        </w:rPr>
        <w:t xml:space="preserve"> but we must </w:t>
      </w:r>
      <w:proofErr w:type="gramStart"/>
      <w:r w:rsidR="003867D3" w:rsidRPr="001D2A1D">
        <w:rPr>
          <w:lang w:val="en-GB"/>
        </w:rPr>
        <w:t>take into account</w:t>
      </w:r>
      <w:proofErr w:type="gramEnd"/>
      <w:r w:rsidR="003867D3" w:rsidRPr="001D2A1D">
        <w:rPr>
          <w:lang w:val="en-GB"/>
        </w:rPr>
        <w:t xml:space="preserve"> the differences in patients</w:t>
      </w:r>
      <w:r w:rsidR="001861DF" w:rsidRPr="001D2A1D">
        <w:rPr>
          <w:lang w:val="en-GB"/>
        </w:rPr>
        <w:t xml:space="preserve">. We should not only </w:t>
      </w:r>
      <w:proofErr w:type="gramStart"/>
      <w:r w:rsidR="001861DF" w:rsidRPr="001D2A1D">
        <w:rPr>
          <w:lang w:val="en-GB"/>
        </w:rPr>
        <w:t>take into account</w:t>
      </w:r>
      <w:proofErr w:type="gramEnd"/>
      <w:r w:rsidR="001861DF" w:rsidRPr="001D2A1D">
        <w:rPr>
          <w:lang w:val="en-GB"/>
        </w:rPr>
        <w:t xml:space="preserve"> differences </w:t>
      </w:r>
      <w:r w:rsidR="00E97298" w:rsidRPr="001D2A1D">
        <w:rPr>
          <w:lang w:val="en-GB"/>
        </w:rPr>
        <w:t xml:space="preserve">with measured covariates but also </w:t>
      </w:r>
      <w:r w:rsidR="00895603" w:rsidRPr="001D2A1D">
        <w:rPr>
          <w:lang w:val="en-GB"/>
        </w:rPr>
        <w:t>possibly</w:t>
      </w:r>
      <w:r w:rsidR="00E97298" w:rsidRPr="001D2A1D">
        <w:rPr>
          <w:lang w:val="en-GB"/>
        </w:rPr>
        <w:t xml:space="preserve"> unmeasured ones</w:t>
      </w:r>
      <w:r w:rsidR="00A1017C" w:rsidRPr="001D2A1D">
        <w:rPr>
          <w:lang w:val="en-GB"/>
        </w:rPr>
        <w:t>, like the fact the patients prescribed Palbociclib could already be patients with resistance to ET.</w:t>
      </w:r>
      <w:r w:rsidR="00735D0B" w:rsidRPr="001D2A1D">
        <w:rPr>
          <w:lang w:val="en-GB"/>
        </w:rPr>
        <w:t xml:space="preserve"> </w:t>
      </w:r>
    </w:p>
    <w:p w14:paraId="783BAEEC" w14:textId="42D6D147" w:rsidR="00247ECE" w:rsidRPr="001D2A1D" w:rsidRDefault="001D2A1D">
      <w:pPr>
        <w:pStyle w:val="Corpodetexto"/>
        <w:rPr>
          <w:lang w:val="en-GB"/>
        </w:rPr>
      </w:pPr>
      <w:r w:rsidRPr="001D2A1D">
        <w:rPr>
          <w:lang w:val="en-GB"/>
        </w:rPr>
        <w:t xml:space="preserve">When comparing with propensity scores weighting, we found out that </w:t>
      </w:r>
      <w:proofErr w:type="spellStart"/>
      <w:r w:rsidRPr="001D2A1D">
        <w:rPr>
          <w:lang w:val="en-GB"/>
        </w:rPr>
        <w:t>ribociclib</w:t>
      </w:r>
      <w:proofErr w:type="spellEnd"/>
      <w:r w:rsidRPr="001D2A1D">
        <w:rPr>
          <w:lang w:val="en-GB"/>
        </w:rPr>
        <w:t xml:space="preserve"> is significantly better than </w:t>
      </w:r>
      <w:proofErr w:type="spellStart"/>
      <w:r w:rsidRPr="001D2A1D">
        <w:rPr>
          <w:lang w:val="en-GB"/>
        </w:rPr>
        <w:t>palbociclib</w:t>
      </w:r>
      <w:proofErr w:type="spellEnd"/>
      <w:r w:rsidRPr="001D2A1D">
        <w:rPr>
          <w:lang w:val="en-GB"/>
        </w:rPr>
        <w:t xml:space="preserve"> both in terms of OS and PFS. Our findings suggest that </w:t>
      </w:r>
      <w:proofErr w:type="spellStart"/>
      <w:r w:rsidRPr="001D2A1D">
        <w:rPr>
          <w:lang w:val="en-GB"/>
        </w:rPr>
        <w:t>ribociclib</w:t>
      </w:r>
      <w:proofErr w:type="spellEnd"/>
      <w:r w:rsidRPr="001D2A1D">
        <w:rPr>
          <w:lang w:val="en-GB"/>
        </w:rPr>
        <w:t xml:space="preserve"> could be the optimal approach for treating HR+, HE- </w:t>
      </w:r>
      <w:proofErr w:type="spellStart"/>
      <w:r w:rsidRPr="001D2A1D">
        <w:rPr>
          <w:lang w:val="en-GB"/>
        </w:rPr>
        <w:t>metastic</w:t>
      </w:r>
      <w:proofErr w:type="spellEnd"/>
      <w:r w:rsidRPr="001D2A1D">
        <w:rPr>
          <w:lang w:val="en-GB"/>
        </w:rPr>
        <w:t xml:space="preserve"> breast cancer, providing a median OS of over 40 months and median PFS of around 42 months.</w:t>
      </w:r>
      <w:r w:rsidR="00735D0B" w:rsidRPr="001D2A1D">
        <w:rPr>
          <w:lang w:val="en-GB"/>
        </w:rPr>
        <w:t xml:space="preserve"> When adjusted to stage, visceral metastases, age and ECOG, </w:t>
      </w:r>
      <w:proofErr w:type="spellStart"/>
      <w:r w:rsidR="00735D0B" w:rsidRPr="001D2A1D">
        <w:rPr>
          <w:lang w:val="en-GB"/>
        </w:rPr>
        <w:t>ribociclib</w:t>
      </w:r>
      <w:proofErr w:type="spellEnd"/>
      <w:r w:rsidR="00735D0B" w:rsidRPr="001D2A1D">
        <w:rPr>
          <w:lang w:val="en-GB"/>
        </w:rPr>
        <w:t xml:space="preserve"> is associated to an HR of 0.41</w:t>
      </w:r>
      <w:r w:rsidR="00150C79" w:rsidRPr="001D2A1D">
        <w:rPr>
          <w:lang w:val="en-GB"/>
        </w:rPr>
        <w:t xml:space="preserve"> for PFS and 0.47 for OS.</w:t>
      </w:r>
    </w:p>
    <w:p w14:paraId="783BAEED" w14:textId="77777777" w:rsidR="00247ECE" w:rsidRPr="001D2A1D" w:rsidRDefault="001D2A1D">
      <w:pPr>
        <w:pStyle w:val="Ttulo1"/>
        <w:rPr>
          <w:lang w:val="en-GB"/>
        </w:rPr>
      </w:pPr>
      <w:bookmarkStart w:id="8" w:name="conclusions"/>
      <w:bookmarkEnd w:id="7"/>
      <w:r w:rsidRPr="001D2A1D">
        <w:rPr>
          <w:lang w:val="en-GB"/>
        </w:rPr>
        <w:lastRenderedPageBreak/>
        <w:t>Conclusions</w:t>
      </w:r>
    </w:p>
    <w:p w14:paraId="783BAEEE" w14:textId="29BD0B1B" w:rsidR="00247ECE" w:rsidRPr="001D2A1D" w:rsidRDefault="001D2A1D">
      <w:pPr>
        <w:pStyle w:val="FirstParagraph"/>
        <w:rPr>
          <w:lang w:val="en-GB"/>
        </w:rPr>
      </w:pPr>
      <w:r w:rsidRPr="001D2A1D">
        <w:rPr>
          <w:lang w:val="en-GB"/>
        </w:rPr>
        <w:t xml:space="preserve">For conclusions and next steps, we feel </w:t>
      </w:r>
      <w:r w:rsidR="0029559E" w:rsidRPr="001D2A1D">
        <w:rPr>
          <w:lang w:val="en-GB"/>
        </w:rPr>
        <w:t>that we</w:t>
      </w:r>
      <w:r w:rsidRPr="001D2A1D">
        <w:rPr>
          <w:lang w:val="en-GB"/>
        </w:rPr>
        <w:t xml:space="preserve"> have demonstrated that </w:t>
      </w:r>
      <w:proofErr w:type="spellStart"/>
      <w:r w:rsidRPr="001D2A1D">
        <w:rPr>
          <w:lang w:val="en-GB"/>
        </w:rPr>
        <w:t>ribociclib</w:t>
      </w:r>
      <w:proofErr w:type="spellEnd"/>
      <w:r w:rsidRPr="001D2A1D">
        <w:rPr>
          <w:lang w:val="en-GB"/>
        </w:rPr>
        <w:t xml:space="preserve"> is a good alternative to </w:t>
      </w:r>
      <w:proofErr w:type="spellStart"/>
      <w:r w:rsidRPr="001D2A1D">
        <w:rPr>
          <w:lang w:val="en-GB"/>
        </w:rPr>
        <w:t>palbociclib</w:t>
      </w:r>
      <w:proofErr w:type="spellEnd"/>
      <w:r w:rsidRPr="001D2A1D">
        <w:rPr>
          <w:lang w:val="en-GB"/>
        </w:rPr>
        <w:t xml:space="preserve">. We still </w:t>
      </w:r>
      <w:proofErr w:type="spellStart"/>
      <w:r w:rsidRPr="001D2A1D">
        <w:rPr>
          <w:lang w:val="en-GB"/>
        </w:rPr>
        <w:t>dot</w:t>
      </w:r>
      <w:proofErr w:type="spellEnd"/>
      <w:r w:rsidRPr="001D2A1D">
        <w:rPr>
          <w:lang w:val="en-GB"/>
        </w:rPr>
        <w:t xml:space="preserve"> not have sufficient evidence to state that </w:t>
      </w:r>
      <w:proofErr w:type="spellStart"/>
      <w:r w:rsidRPr="001D2A1D">
        <w:rPr>
          <w:lang w:val="en-GB"/>
        </w:rPr>
        <w:t>palbociclib</w:t>
      </w:r>
      <w:proofErr w:type="spellEnd"/>
      <w:r w:rsidRPr="001D2A1D">
        <w:rPr>
          <w:lang w:val="en-GB"/>
        </w:rPr>
        <w:t xml:space="preserve"> is </w:t>
      </w:r>
      <w:proofErr w:type="gramStart"/>
      <w:r w:rsidRPr="001D2A1D">
        <w:rPr>
          <w:lang w:val="en-GB"/>
        </w:rPr>
        <w:t>actually better</w:t>
      </w:r>
      <w:proofErr w:type="gramEnd"/>
      <w:r w:rsidRPr="001D2A1D">
        <w:rPr>
          <w:lang w:val="en-GB"/>
        </w:rPr>
        <w:t xml:space="preserve"> than </w:t>
      </w:r>
      <w:r w:rsidR="00BA4B77" w:rsidRPr="001D2A1D">
        <w:rPr>
          <w:lang w:val="en-GB"/>
        </w:rPr>
        <w:t>endocrine therapy</w:t>
      </w:r>
      <w:r w:rsidRPr="001D2A1D">
        <w:rPr>
          <w:lang w:val="en-GB"/>
        </w:rPr>
        <w:t xml:space="preserve"> regarding </w:t>
      </w:r>
      <w:r w:rsidR="00BA0CB3" w:rsidRPr="001D2A1D">
        <w:rPr>
          <w:lang w:val="en-GB"/>
        </w:rPr>
        <w:t>OS</w:t>
      </w:r>
      <w:r w:rsidRPr="001D2A1D">
        <w:rPr>
          <w:lang w:val="en-GB"/>
        </w:rPr>
        <w:t>. However, it is sufficient to state that CDK4/6i have impact on PFS</w:t>
      </w:r>
      <w:r w:rsidR="0002359D" w:rsidRPr="001D2A1D">
        <w:rPr>
          <w:lang w:val="en-GB"/>
        </w:rPr>
        <w:t xml:space="preserve"> on the studied population</w:t>
      </w:r>
      <w:r w:rsidRPr="001D2A1D">
        <w:rPr>
          <w:lang w:val="en-GB"/>
        </w:rPr>
        <w:t>. Further information about the population could be interesting</w:t>
      </w:r>
      <w:r w:rsidR="003C1C9B" w:rsidRPr="001D2A1D">
        <w:rPr>
          <w:lang w:val="en-GB"/>
        </w:rPr>
        <w:t xml:space="preserve"> to </w:t>
      </w:r>
      <w:r w:rsidR="00045814" w:rsidRPr="001D2A1D">
        <w:rPr>
          <w:lang w:val="en-GB"/>
        </w:rPr>
        <w:t>collect</w:t>
      </w:r>
      <w:r w:rsidRPr="001D2A1D">
        <w:rPr>
          <w:lang w:val="en-GB"/>
        </w:rPr>
        <w:t xml:space="preserve">, as well as </w:t>
      </w:r>
      <w:r w:rsidR="00ED6C78" w:rsidRPr="001D2A1D">
        <w:rPr>
          <w:lang w:val="en-GB"/>
        </w:rPr>
        <w:t>calculate</w:t>
      </w:r>
      <w:r w:rsidRPr="001D2A1D">
        <w:rPr>
          <w:lang w:val="en-GB"/>
        </w:rPr>
        <w:t xml:space="preserve"> </w:t>
      </w:r>
      <w:r w:rsidR="0023053F" w:rsidRPr="001D2A1D">
        <w:rPr>
          <w:lang w:val="en-GB"/>
        </w:rPr>
        <w:t>metrics and outcomes</w:t>
      </w:r>
      <w:r w:rsidRPr="001D2A1D">
        <w:rPr>
          <w:lang w:val="en-GB"/>
        </w:rPr>
        <w:t xml:space="preserve"> about safety, economic </w:t>
      </w:r>
      <w:proofErr w:type="gramStart"/>
      <w:r w:rsidRPr="001D2A1D">
        <w:rPr>
          <w:lang w:val="en-GB"/>
        </w:rPr>
        <w:t>impact</w:t>
      </w:r>
      <w:proofErr w:type="gramEnd"/>
      <w:r w:rsidRPr="001D2A1D">
        <w:rPr>
          <w:lang w:val="en-GB"/>
        </w:rPr>
        <w:t xml:space="preserve"> and quality of life.</w:t>
      </w:r>
      <w:r w:rsidR="00A307C1" w:rsidRPr="001D2A1D">
        <w:rPr>
          <w:lang w:val="en-GB"/>
        </w:rPr>
        <w:t xml:space="preserve"> For this, </w:t>
      </w:r>
      <w:r w:rsidRPr="001D2A1D">
        <w:rPr>
          <w:lang w:val="en-GB"/>
        </w:rPr>
        <w:t xml:space="preserve">characterization of the population in terms of biomarkers could be very useful. We aim to address those issues in sequencing papers. Finally, since </w:t>
      </w:r>
      <w:proofErr w:type="gramStart"/>
      <w:r w:rsidRPr="001D2A1D">
        <w:rPr>
          <w:lang w:val="en-GB"/>
        </w:rPr>
        <w:t>all of</w:t>
      </w:r>
      <w:proofErr w:type="gramEnd"/>
      <w:r w:rsidRPr="001D2A1D">
        <w:rPr>
          <w:lang w:val="en-GB"/>
        </w:rPr>
        <w:t xml:space="preserve"> this data was collected from a single institution, we </w:t>
      </w:r>
      <w:r w:rsidR="00895603" w:rsidRPr="001D2A1D">
        <w:rPr>
          <w:lang w:val="en-GB"/>
        </w:rPr>
        <w:t>cannot</w:t>
      </w:r>
      <w:r w:rsidRPr="001D2A1D">
        <w:rPr>
          <w:lang w:val="en-GB"/>
        </w:rPr>
        <w:t xml:space="preserve"> generalize the results to the entire population. However, we believe that this study can be used as a starting point for further research </w:t>
      </w:r>
      <w:r w:rsidR="006B1FF2" w:rsidRPr="001D2A1D">
        <w:rPr>
          <w:lang w:val="en-GB"/>
        </w:rPr>
        <w:t>with real world data and CDK4/6 inhibitors</w:t>
      </w:r>
      <w:r w:rsidRPr="001D2A1D">
        <w:rPr>
          <w:lang w:val="en-GB"/>
        </w:rPr>
        <w:t xml:space="preserve">. Additionally, this evidence was generated from observational data. Although we adjusted for confounding factors, we cannot exclude the possibility of residual confounding. </w:t>
      </w:r>
      <w:r w:rsidR="00C73330" w:rsidRPr="001D2A1D">
        <w:rPr>
          <w:lang w:val="en-GB"/>
        </w:rPr>
        <w:t>Even though</w:t>
      </w:r>
      <w:r w:rsidRPr="001D2A1D">
        <w:rPr>
          <w:lang w:val="en-GB"/>
        </w:rPr>
        <w:t xml:space="preserve"> the propensity scores </w:t>
      </w:r>
      <w:r w:rsidR="00C73330" w:rsidRPr="001D2A1D">
        <w:rPr>
          <w:lang w:val="en-GB"/>
        </w:rPr>
        <w:t>weighting</w:t>
      </w:r>
      <w:r w:rsidRPr="001D2A1D">
        <w:rPr>
          <w:lang w:val="en-GB"/>
        </w:rPr>
        <w:t xml:space="preserve"> allows for a more robust comparison between the two groups, there is still the possibility of unmeasured confounders.</w:t>
      </w:r>
    </w:p>
    <w:p w14:paraId="783BAEEF" w14:textId="77777777" w:rsidR="00247ECE" w:rsidRPr="001D2A1D" w:rsidRDefault="001D2A1D">
      <w:pPr>
        <w:pStyle w:val="Ttulo1"/>
        <w:rPr>
          <w:lang w:val="en-GB"/>
        </w:rPr>
      </w:pPr>
      <w:bookmarkStart w:id="9" w:name="author-contributions"/>
      <w:bookmarkEnd w:id="8"/>
      <w:r w:rsidRPr="001D2A1D">
        <w:rPr>
          <w:lang w:val="en-GB"/>
        </w:rPr>
        <w:t>Author contributions</w:t>
      </w:r>
    </w:p>
    <w:p w14:paraId="783BAEF1" w14:textId="77777777" w:rsidR="00247ECE" w:rsidRPr="001D2A1D" w:rsidRDefault="001D2A1D">
      <w:pPr>
        <w:pStyle w:val="Ttulo1"/>
        <w:rPr>
          <w:lang w:val="en-GB"/>
        </w:rPr>
      </w:pPr>
      <w:bookmarkStart w:id="10" w:name="institutional-review"/>
      <w:bookmarkEnd w:id="9"/>
      <w:r w:rsidRPr="001D2A1D">
        <w:rPr>
          <w:lang w:val="en-GB"/>
        </w:rPr>
        <w:t>Institutional review</w:t>
      </w:r>
    </w:p>
    <w:p w14:paraId="783BAEF2" w14:textId="77777777" w:rsidR="00247ECE" w:rsidRPr="001D2A1D" w:rsidRDefault="001D2A1D">
      <w:pPr>
        <w:pStyle w:val="FirstParagraph"/>
        <w:rPr>
          <w:lang w:val="en-GB"/>
        </w:rPr>
      </w:pPr>
      <w:r w:rsidRPr="001D2A1D">
        <w:rPr>
          <w:lang w:val="en-GB"/>
        </w:rPr>
        <w:t>This work was approved by the ... Ethics Committee...</w:t>
      </w:r>
    </w:p>
    <w:p w14:paraId="783BAEF3" w14:textId="77777777" w:rsidR="00247ECE" w:rsidRPr="001D2A1D" w:rsidRDefault="001D2A1D">
      <w:pPr>
        <w:pStyle w:val="Ttulo1"/>
        <w:rPr>
          <w:lang w:val="en-GB"/>
        </w:rPr>
      </w:pPr>
      <w:bookmarkStart w:id="11" w:name="data-availability"/>
      <w:bookmarkEnd w:id="10"/>
      <w:r w:rsidRPr="001D2A1D">
        <w:rPr>
          <w:lang w:val="en-GB"/>
        </w:rPr>
        <w:t>Data availability</w:t>
      </w:r>
    </w:p>
    <w:p w14:paraId="783BAEF4" w14:textId="77777777" w:rsidR="00247ECE" w:rsidRPr="001D2A1D" w:rsidRDefault="001D2A1D">
      <w:pPr>
        <w:pStyle w:val="FirstParagraph"/>
        <w:rPr>
          <w:lang w:val="en-GB"/>
        </w:rPr>
      </w:pPr>
      <w:r w:rsidRPr="001D2A1D">
        <w:rPr>
          <w:lang w:val="en-GB"/>
        </w:rPr>
        <w:t>...</w:t>
      </w:r>
    </w:p>
    <w:p w14:paraId="783BAEF5" w14:textId="77777777" w:rsidR="00247ECE" w:rsidRPr="001D2A1D" w:rsidRDefault="001D2A1D">
      <w:pPr>
        <w:pStyle w:val="Ttulo1"/>
        <w:rPr>
          <w:lang w:val="en-GB"/>
        </w:rPr>
      </w:pPr>
      <w:bookmarkStart w:id="12" w:name="funding"/>
      <w:bookmarkEnd w:id="11"/>
      <w:r w:rsidRPr="001D2A1D">
        <w:rPr>
          <w:lang w:val="en-GB"/>
        </w:rPr>
        <w:t>Funding</w:t>
      </w:r>
    </w:p>
    <w:p w14:paraId="783BAEF6" w14:textId="77777777" w:rsidR="00247ECE" w:rsidRPr="001D2A1D" w:rsidRDefault="001D2A1D">
      <w:pPr>
        <w:pStyle w:val="FirstParagraph"/>
        <w:rPr>
          <w:lang w:val="en-GB"/>
        </w:rPr>
      </w:pPr>
      <w:r w:rsidRPr="001D2A1D">
        <w:rPr>
          <w:lang w:val="en-GB"/>
        </w:rPr>
        <w:t xml:space="preserve">This work was supported ... </w:t>
      </w:r>
      <w:proofErr w:type="gramStart"/>
      <w:r w:rsidRPr="001D2A1D">
        <w:rPr>
          <w:lang w:val="en-GB"/>
        </w:rPr>
        <w:t>For the purpose of</w:t>
      </w:r>
      <w:proofErr w:type="gramEnd"/>
      <w:r w:rsidRPr="001D2A1D">
        <w:rPr>
          <w:lang w:val="en-GB"/>
        </w:rPr>
        <w:t xml:space="preserve"> open access, the author has applied a CC BY public copyright licence to any Author Accepted Manuscript version arising from this submission.</w:t>
      </w:r>
    </w:p>
    <w:p w14:paraId="783BAEF7" w14:textId="77777777" w:rsidR="00247ECE" w:rsidRPr="001D2A1D" w:rsidRDefault="001D2A1D">
      <w:pPr>
        <w:pStyle w:val="Ttulo1"/>
        <w:rPr>
          <w:lang w:val="en-GB"/>
        </w:rPr>
      </w:pPr>
      <w:bookmarkStart w:id="13" w:name="acknowledgments"/>
      <w:bookmarkEnd w:id="12"/>
      <w:r w:rsidRPr="001D2A1D">
        <w:rPr>
          <w:lang w:val="en-GB"/>
        </w:rPr>
        <w:t>Acknowledgments</w:t>
      </w:r>
    </w:p>
    <w:p w14:paraId="783BAEF8" w14:textId="77777777" w:rsidR="00247ECE" w:rsidRPr="001D2A1D" w:rsidRDefault="001D2A1D">
      <w:pPr>
        <w:pStyle w:val="FirstParagraph"/>
        <w:rPr>
          <w:lang w:val="en-GB"/>
        </w:rPr>
      </w:pPr>
      <w:r w:rsidRPr="001D2A1D">
        <w:rPr>
          <w:lang w:val="en-GB"/>
        </w:rPr>
        <w:t>...</w:t>
      </w:r>
    </w:p>
    <w:p w14:paraId="783BAEF9" w14:textId="77777777" w:rsidR="00247ECE" w:rsidRPr="001D2A1D" w:rsidRDefault="001D2A1D">
      <w:pPr>
        <w:pStyle w:val="Ttulo1"/>
        <w:rPr>
          <w:lang w:val="en-GB"/>
        </w:rPr>
      </w:pPr>
      <w:bookmarkStart w:id="14" w:name="conflicts-of-interest"/>
      <w:bookmarkEnd w:id="13"/>
      <w:r w:rsidRPr="001D2A1D">
        <w:rPr>
          <w:lang w:val="en-GB"/>
        </w:rPr>
        <w:t>Conflicts of interest</w:t>
      </w:r>
    </w:p>
    <w:p w14:paraId="783BAEFA" w14:textId="77777777" w:rsidR="00247ECE" w:rsidRPr="001D2A1D" w:rsidRDefault="001D2A1D">
      <w:pPr>
        <w:pStyle w:val="FirstParagraph"/>
        <w:rPr>
          <w:lang w:val="en-GB"/>
        </w:rPr>
      </w:pPr>
      <w:r w:rsidRPr="001D2A1D">
        <w:rPr>
          <w:lang w:val="en-GB"/>
        </w:rPr>
        <w:t>The authors declare no conflict of interest.</w:t>
      </w:r>
    </w:p>
    <w:p w14:paraId="783BAEFB" w14:textId="77777777" w:rsidR="00247ECE" w:rsidRPr="001D2A1D" w:rsidRDefault="001D2A1D">
      <w:pPr>
        <w:pStyle w:val="Ttulo1"/>
        <w:rPr>
          <w:lang w:val="en-GB"/>
        </w:rPr>
      </w:pPr>
      <w:bookmarkStart w:id="15" w:name="figure"/>
      <w:bookmarkEnd w:id="14"/>
      <w:r w:rsidRPr="001D2A1D">
        <w:rPr>
          <w:lang w:val="en-GB"/>
        </w:rPr>
        <w:lastRenderedPageBreak/>
        <w:t>Figure</w:t>
      </w:r>
    </w:p>
    <w:p w14:paraId="783BAEFC" w14:textId="77777777" w:rsidR="00247ECE" w:rsidRPr="001D2A1D" w:rsidRDefault="001D2A1D">
      <w:pPr>
        <w:pStyle w:val="Ttulo1"/>
        <w:rPr>
          <w:lang w:val="en-GB"/>
        </w:rPr>
      </w:pPr>
      <w:bookmarkStart w:id="16" w:name="table"/>
      <w:bookmarkEnd w:id="15"/>
      <w:r w:rsidRPr="001D2A1D">
        <w:rPr>
          <w:lang w:val="en-GB"/>
        </w:rPr>
        <w:t>Table</w:t>
      </w:r>
    </w:p>
    <w:p w14:paraId="783BAEFD" w14:textId="77777777" w:rsidR="00247ECE" w:rsidRPr="001D2A1D" w:rsidRDefault="001D2A1D">
      <w:pPr>
        <w:pStyle w:val="Ttulo1"/>
        <w:rPr>
          <w:lang w:val="en-GB"/>
        </w:rPr>
      </w:pPr>
      <w:bookmarkStart w:id="17" w:name="supplementary-material"/>
      <w:bookmarkEnd w:id="16"/>
      <w:r w:rsidRPr="001D2A1D">
        <w:rPr>
          <w:lang w:val="en-GB"/>
        </w:rPr>
        <w:t>Supplementary Material</w:t>
      </w:r>
    </w:p>
    <w:p w14:paraId="783BAEFE" w14:textId="77777777" w:rsidR="00247ECE" w:rsidRPr="001D2A1D" w:rsidRDefault="001D2A1D">
      <w:pPr>
        <w:pStyle w:val="Bibliografia"/>
        <w:rPr>
          <w:lang w:val="en-GB"/>
        </w:rPr>
      </w:pPr>
      <w:bookmarkStart w:id="18" w:name="ref-austinUsePropensityScore2014"/>
      <w:bookmarkStart w:id="19" w:name="refs"/>
      <w:r w:rsidRPr="001D2A1D">
        <w:rPr>
          <w:lang w:val="en-GB"/>
        </w:rPr>
        <w:t xml:space="preserve">Austin, Peter C. 2014. “The Use of Propensity Score Methods with Survival or Time-to-Event Outcomes: Reporting Measures of Effect Similar to Those Used in Randomized Experiments.” </w:t>
      </w:r>
      <w:r w:rsidRPr="001D2A1D">
        <w:rPr>
          <w:i/>
          <w:iCs/>
          <w:lang w:val="en-GB"/>
        </w:rPr>
        <w:t>Statistics in Medicine</w:t>
      </w:r>
      <w:r w:rsidRPr="001D2A1D">
        <w:rPr>
          <w:lang w:val="en-GB"/>
        </w:rPr>
        <w:t xml:space="preserve"> 33 (7): 1242–58. </w:t>
      </w:r>
      <w:hyperlink r:id="rId11">
        <w:r w:rsidRPr="001D2A1D">
          <w:rPr>
            <w:rStyle w:val="Hiperligao"/>
            <w:lang w:val="en-GB"/>
          </w:rPr>
          <w:t>https://doi.org/10.1002/sim.5984</w:t>
        </w:r>
      </w:hyperlink>
      <w:r w:rsidRPr="001D2A1D">
        <w:rPr>
          <w:lang w:val="en-GB"/>
        </w:rPr>
        <w:t>.</w:t>
      </w:r>
    </w:p>
    <w:p w14:paraId="783BAEFF" w14:textId="77777777" w:rsidR="00247ECE" w:rsidRPr="001D2A1D" w:rsidRDefault="001D2A1D">
      <w:pPr>
        <w:pStyle w:val="Bibliografia"/>
        <w:rPr>
          <w:lang w:val="en-GB"/>
        </w:rPr>
      </w:pPr>
      <w:bookmarkStart w:id="20" w:name="X33ba243d1d237823647c54a1079e60d86f63988"/>
      <w:bookmarkEnd w:id="18"/>
      <w:r w:rsidRPr="001D2A1D">
        <w:rPr>
          <w:lang w:val="en-GB"/>
        </w:rPr>
        <w:t xml:space="preserve">Austin, Peter C. 2011. “An Introduction to Propensity Score Methods for Reducing the Effects of Confounding in Observational Studies.” </w:t>
      </w:r>
      <w:r w:rsidRPr="001D2A1D">
        <w:rPr>
          <w:i/>
          <w:iCs/>
          <w:lang w:val="en-GB"/>
        </w:rPr>
        <w:t xml:space="preserve">Multivariate </w:t>
      </w:r>
      <w:proofErr w:type="spellStart"/>
      <w:r w:rsidRPr="001D2A1D">
        <w:rPr>
          <w:i/>
          <w:iCs/>
          <w:lang w:val="en-GB"/>
        </w:rPr>
        <w:t>Behavioral</w:t>
      </w:r>
      <w:proofErr w:type="spellEnd"/>
      <w:r w:rsidRPr="001D2A1D">
        <w:rPr>
          <w:i/>
          <w:iCs/>
          <w:lang w:val="en-GB"/>
        </w:rPr>
        <w:t xml:space="preserve"> Research</w:t>
      </w:r>
      <w:r w:rsidRPr="001D2A1D">
        <w:rPr>
          <w:lang w:val="en-GB"/>
        </w:rPr>
        <w:t xml:space="preserve"> 46 (3): 399–424. </w:t>
      </w:r>
      <w:hyperlink r:id="rId12">
        <w:r w:rsidRPr="001D2A1D">
          <w:rPr>
            <w:rStyle w:val="Hiperligao"/>
            <w:lang w:val="en-GB"/>
          </w:rPr>
          <w:t>https://doi.org/10.1080/00273171.2011.568786</w:t>
        </w:r>
      </w:hyperlink>
      <w:r w:rsidRPr="001D2A1D">
        <w:rPr>
          <w:lang w:val="en-GB"/>
        </w:rPr>
        <w:t>.</w:t>
      </w:r>
    </w:p>
    <w:p w14:paraId="783BAF00" w14:textId="77777777" w:rsidR="00247ECE" w:rsidRPr="001D2A1D" w:rsidRDefault="001D2A1D">
      <w:pPr>
        <w:pStyle w:val="Bibliografia"/>
        <w:rPr>
          <w:lang w:val="en-GB"/>
        </w:rPr>
      </w:pPr>
      <w:bookmarkStart w:id="21" w:name="X548bf0b2dc6aa8ae30a57b526d8d856261282ee"/>
      <w:bookmarkEnd w:id="20"/>
      <w:proofErr w:type="spellStart"/>
      <w:r w:rsidRPr="001D2A1D">
        <w:rPr>
          <w:lang w:val="en-GB"/>
        </w:rPr>
        <w:t>Cristofanilli</w:t>
      </w:r>
      <w:proofErr w:type="spellEnd"/>
      <w:r w:rsidRPr="001D2A1D">
        <w:rPr>
          <w:lang w:val="en-GB"/>
        </w:rPr>
        <w:t xml:space="preserve">, Massimo, Nicholas C. Turner, Igor </w:t>
      </w:r>
      <w:proofErr w:type="spellStart"/>
      <w:r w:rsidRPr="001D2A1D">
        <w:rPr>
          <w:lang w:val="en-GB"/>
        </w:rPr>
        <w:t>Bondarenko</w:t>
      </w:r>
      <w:proofErr w:type="spellEnd"/>
      <w:r w:rsidRPr="001D2A1D">
        <w:rPr>
          <w:lang w:val="en-GB"/>
        </w:rPr>
        <w:t xml:space="preserve">, </w:t>
      </w:r>
      <w:proofErr w:type="spellStart"/>
      <w:r w:rsidRPr="001D2A1D">
        <w:rPr>
          <w:lang w:val="en-GB"/>
        </w:rPr>
        <w:t>Jungsil</w:t>
      </w:r>
      <w:proofErr w:type="spellEnd"/>
      <w:r w:rsidRPr="001D2A1D">
        <w:rPr>
          <w:lang w:val="en-GB"/>
        </w:rPr>
        <w:t xml:space="preserve"> Ro, </w:t>
      </w:r>
      <w:proofErr w:type="spellStart"/>
      <w:r w:rsidRPr="001D2A1D">
        <w:rPr>
          <w:lang w:val="en-GB"/>
        </w:rPr>
        <w:t>Seock</w:t>
      </w:r>
      <w:proofErr w:type="spellEnd"/>
      <w:r w:rsidRPr="001D2A1D">
        <w:rPr>
          <w:lang w:val="en-GB"/>
        </w:rPr>
        <w:t xml:space="preserve">-Ah </w:t>
      </w:r>
      <w:proofErr w:type="spellStart"/>
      <w:r w:rsidRPr="001D2A1D">
        <w:rPr>
          <w:lang w:val="en-GB"/>
        </w:rPr>
        <w:t>Im</w:t>
      </w:r>
      <w:proofErr w:type="spellEnd"/>
      <w:r w:rsidRPr="001D2A1D">
        <w:rPr>
          <w:lang w:val="en-GB"/>
        </w:rPr>
        <w:t>, Norikazu Masuda, Marco Colleoni, et al. 2016. “</w:t>
      </w:r>
      <w:proofErr w:type="spellStart"/>
      <w:r w:rsidRPr="001D2A1D">
        <w:rPr>
          <w:lang w:val="en-GB"/>
        </w:rPr>
        <w:t>Fulvestrant</w:t>
      </w:r>
      <w:proofErr w:type="spellEnd"/>
      <w:r w:rsidRPr="001D2A1D">
        <w:rPr>
          <w:lang w:val="en-GB"/>
        </w:rPr>
        <w:t xml:space="preserve"> Plus Palbociclib Versus </w:t>
      </w:r>
      <w:proofErr w:type="spellStart"/>
      <w:r w:rsidRPr="001D2A1D">
        <w:rPr>
          <w:lang w:val="en-GB"/>
        </w:rPr>
        <w:t>Fulvestrant</w:t>
      </w:r>
      <w:proofErr w:type="spellEnd"/>
      <w:r w:rsidRPr="001D2A1D">
        <w:rPr>
          <w:lang w:val="en-GB"/>
        </w:rPr>
        <w:t xml:space="preserve"> Plus Placebo for Treatment of Hormone-Receptor-Positive, HER2-negative Metastatic Breast Cancer That Progressed on Previous Endocrine Therapy (PALOMA-3): Final Analysis of the Multicentre, Double-Blind, Phase 3 Randomised Controlled Trial.” </w:t>
      </w:r>
      <w:r w:rsidRPr="001D2A1D">
        <w:rPr>
          <w:i/>
          <w:iCs/>
          <w:lang w:val="en-GB"/>
        </w:rPr>
        <w:t>The Lancet. Oncology</w:t>
      </w:r>
      <w:r w:rsidRPr="001D2A1D">
        <w:rPr>
          <w:lang w:val="en-GB"/>
        </w:rPr>
        <w:t xml:space="preserve"> 17 (4): 425–39. </w:t>
      </w:r>
      <w:hyperlink r:id="rId13">
        <w:r w:rsidRPr="001D2A1D">
          <w:rPr>
            <w:rStyle w:val="Hiperligao"/>
            <w:lang w:val="en-GB"/>
          </w:rPr>
          <w:t>https://doi.org/10.1016/S1470-2045(15)00613-0</w:t>
        </w:r>
      </w:hyperlink>
      <w:r w:rsidRPr="001D2A1D">
        <w:rPr>
          <w:lang w:val="en-GB"/>
        </w:rPr>
        <w:t>.</w:t>
      </w:r>
    </w:p>
    <w:p w14:paraId="783BAF01" w14:textId="77777777" w:rsidR="00247ECE" w:rsidRPr="001D2A1D" w:rsidRDefault="001D2A1D">
      <w:pPr>
        <w:pStyle w:val="Bibliografia"/>
        <w:rPr>
          <w:lang w:val="en-GB"/>
        </w:rPr>
      </w:pPr>
      <w:bookmarkStart w:id="22" w:name="X021c0c0e94bba00166742f60e0fe32e1254553f"/>
      <w:bookmarkEnd w:id="21"/>
      <w:r w:rsidRPr="001D2A1D">
        <w:rPr>
          <w:lang w:val="en-GB"/>
        </w:rPr>
        <w:t xml:space="preserve">Finn, Richard S, John P Crown, Istvan Lang, Katalin Boer, Igor M </w:t>
      </w:r>
      <w:proofErr w:type="spellStart"/>
      <w:r w:rsidRPr="001D2A1D">
        <w:rPr>
          <w:lang w:val="en-GB"/>
        </w:rPr>
        <w:t>Bondarenko</w:t>
      </w:r>
      <w:proofErr w:type="spellEnd"/>
      <w:r w:rsidRPr="001D2A1D">
        <w:rPr>
          <w:lang w:val="en-GB"/>
        </w:rPr>
        <w:t xml:space="preserve">, Sergey O </w:t>
      </w:r>
      <w:proofErr w:type="spellStart"/>
      <w:r w:rsidRPr="001D2A1D">
        <w:rPr>
          <w:lang w:val="en-GB"/>
        </w:rPr>
        <w:t>Kulyk</w:t>
      </w:r>
      <w:proofErr w:type="spellEnd"/>
      <w:r w:rsidRPr="001D2A1D">
        <w:rPr>
          <w:lang w:val="en-GB"/>
        </w:rPr>
        <w:t xml:space="preserve">, Johannes </w:t>
      </w:r>
      <w:proofErr w:type="spellStart"/>
      <w:r w:rsidRPr="001D2A1D">
        <w:rPr>
          <w:lang w:val="en-GB"/>
        </w:rPr>
        <w:t>Ettl</w:t>
      </w:r>
      <w:proofErr w:type="spellEnd"/>
      <w:r w:rsidRPr="001D2A1D">
        <w:rPr>
          <w:lang w:val="en-GB"/>
        </w:rPr>
        <w:t xml:space="preserve">, et al. 2015. “The Cyclin-Dependent Kinase 4/6 Inhibitor Palbociclib in Combination with Letrozole Versus Letrozole Alone as First-Line Treatment of Oestrogen Receptor-Positive, HER2-negative, Advanced Breast Cancer (PALOMA-1/TRIO-18): A Randomised Phase 2 Study.” </w:t>
      </w:r>
      <w:r w:rsidRPr="001D2A1D">
        <w:rPr>
          <w:i/>
          <w:iCs/>
          <w:lang w:val="en-GB"/>
        </w:rPr>
        <w:t>The Lancet Oncology</w:t>
      </w:r>
      <w:r w:rsidRPr="001D2A1D">
        <w:rPr>
          <w:lang w:val="en-GB"/>
        </w:rPr>
        <w:t xml:space="preserve"> 16 (1): 25–35. </w:t>
      </w:r>
      <w:hyperlink r:id="rId14">
        <w:r w:rsidRPr="001D2A1D">
          <w:rPr>
            <w:rStyle w:val="Hiperligao"/>
            <w:lang w:val="en-GB"/>
          </w:rPr>
          <w:t>https://doi.org/10.1016/S1470-2045(14)71159-3</w:t>
        </w:r>
      </w:hyperlink>
      <w:r w:rsidRPr="001D2A1D">
        <w:rPr>
          <w:lang w:val="en-GB"/>
        </w:rPr>
        <w:t>.</w:t>
      </w:r>
    </w:p>
    <w:p w14:paraId="783BAF02" w14:textId="77777777" w:rsidR="00247ECE" w:rsidRPr="001D2A1D" w:rsidRDefault="001D2A1D">
      <w:pPr>
        <w:pStyle w:val="Bibliografia"/>
        <w:rPr>
          <w:lang w:val="en-GB"/>
        </w:rPr>
      </w:pPr>
      <w:bookmarkStart w:id="23" w:name="ref-goetzMONARCHAbemaciclibInitial2017"/>
      <w:bookmarkEnd w:id="22"/>
      <w:r w:rsidRPr="001D2A1D">
        <w:rPr>
          <w:lang w:val="en-GB"/>
        </w:rPr>
        <w:t xml:space="preserve">Goetz, Matthew P., Masakazu Toi, Mario </w:t>
      </w:r>
      <w:proofErr w:type="spellStart"/>
      <w:r w:rsidRPr="001D2A1D">
        <w:rPr>
          <w:lang w:val="en-GB"/>
        </w:rPr>
        <w:t>Campone</w:t>
      </w:r>
      <w:proofErr w:type="spellEnd"/>
      <w:r w:rsidRPr="001D2A1D">
        <w:rPr>
          <w:lang w:val="en-GB"/>
        </w:rPr>
        <w:t xml:space="preserve">, </w:t>
      </w:r>
      <w:proofErr w:type="spellStart"/>
      <w:r w:rsidRPr="001D2A1D">
        <w:rPr>
          <w:lang w:val="en-GB"/>
        </w:rPr>
        <w:t>Joohyuk</w:t>
      </w:r>
      <w:proofErr w:type="spellEnd"/>
      <w:r w:rsidRPr="001D2A1D">
        <w:rPr>
          <w:lang w:val="en-GB"/>
        </w:rPr>
        <w:t xml:space="preserve"> Sohn, Shani </w:t>
      </w:r>
      <w:proofErr w:type="spellStart"/>
      <w:r w:rsidRPr="001D2A1D">
        <w:rPr>
          <w:lang w:val="en-GB"/>
        </w:rPr>
        <w:t>Paluch</w:t>
      </w:r>
      <w:proofErr w:type="spellEnd"/>
      <w:r w:rsidRPr="001D2A1D">
        <w:rPr>
          <w:lang w:val="en-GB"/>
        </w:rPr>
        <w:t xml:space="preserve">-Shimon, Jens </w:t>
      </w:r>
      <w:proofErr w:type="spellStart"/>
      <w:r w:rsidRPr="001D2A1D">
        <w:rPr>
          <w:lang w:val="en-GB"/>
        </w:rPr>
        <w:t>Huober</w:t>
      </w:r>
      <w:proofErr w:type="spellEnd"/>
      <w:r w:rsidRPr="001D2A1D">
        <w:rPr>
          <w:lang w:val="en-GB"/>
        </w:rPr>
        <w:t xml:space="preserve">, In </w:t>
      </w:r>
      <w:proofErr w:type="spellStart"/>
      <w:r w:rsidRPr="001D2A1D">
        <w:rPr>
          <w:lang w:val="en-GB"/>
        </w:rPr>
        <w:t>Hae</w:t>
      </w:r>
      <w:proofErr w:type="spellEnd"/>
      <w:r w:rsidRPr="001D2A1D">
        <w:rPr>
          <w:lang w:val="en-GB"/>
        </w:rPr>
        <w:t xml:space="preserve"> Park, et al. 2017. “MONARCH 3: </w:t>
      </w:r>
      <w:proofErr w:type="spellStart"/>
      <w:r w:rsidRPr="001D2A1D">
        <w:rPr>
          <w:lang w:val="en-GB"/>
        </w:rPr>
        <w:t>Abemaciclib</w:t>
      </w:r>
      <w:proofErr w:type="spellEnd"/>
      <w:r w:rsidRPr="001D2A1D">
        <w:rPr>
          <w:lang w:val="en-GB"/>
        </w:rPr>
        <w:t xml:space="preserve"> </w:t>
      </w:r>
      <w:proofErr w:type="gramStart"/>
      <w:r w:rsidRPr="001D2A1D">
        <w:rPr>
          <w:lang w:val="en-GB"/>
        </w:rPr>
        <w:t>As</w:t>
      </w:r>
      <w:proofErr w:type="gramEnd"/>
      <w:r w:rsidRPr="001D2A1D">
        <w:rPr>
          <w:lang w:val="en-GB"/>
        </w:rPr>
        <w:t xml:space="preserve"> Initial Therapy for Advanced Breast Cancer.” </w:t>
      </w:r>
      <w:r w:rsidRPr="001D2A1D">
        <w:rPr>
          <w:i/>
          <w:iCs/>
          <w:lang w:val="en-GB"/>
        </w:rPr>
        <w:t>Journal of Clinical Oncology: Official Journal of the American Society of Clinical Oncology</w:t>
      </w:r>
      <w:r w:rsidRPr="001D2A1D">
        <w:rPr>
          <w:lang w:val="en-GB"/>
        </w:rPr>
        <w:t xml:space="preserve"> 35 (32): 3638–46. </w:t>
      </w:r>
      <w:hyperlink r:id="rId15">
        <w:r w:rsidRPr="001D2A1D">
          <w:rPr>
            <w:rStyle w:val="Hiperligao"/>
            <w:lang w:val="en-GB"/>
          </w:rPr>
          <w:t>https://doi.org/10.1200/JCO.2017.75.6155</w:t>
        </w:r>
      </w:hyperlink>
      <w:r w:rsidRPr="001D2A1D">
        <w:rPr>
          <w:lang w:val="en-GB"/>
        </w:rPr>
        <w:t>.</w:t>
      </w:r>
    </w:p>
    <w:p w14:paraId="783BAF03" w14:textId="77777777" w:rsidR="00247ECE" w:rsidRPr="001D2A1D" w:rsidRDefault="001D2A1D">
      <w:pPr>
        <w:pStyle w:val="Bibliografia"/>
        <w:rPr>
          <w:lang w:val="en-GB"/>
        </w:rPr>
      </w:pPr>
      <w:bookmarkStart w:id="24" w:name="ref-harbeckCDK4InhibitorsHR2021"/>
      <w:bookmarkEnd w:id="23"/>
      <w:proofErr w:type="spellStart"/>
      <w:r w:rsidRPr="001D2A1D">
        <w:rPr>
          <w:lang w:val="en-GB"/>
        </w:rPr>
        <w:t>Harbeck</w:t>
      </w:r>
      <w:proofErr w:type="spellEnd"/>
      <w:r w:rsidRPr="001D2A1D">
        <w:rPr>
          <w:lang w:val="en-GB"/>
        </w:rPr>
        <w:t xml:space="preserve">, Nadia, Meaghan Bartlett, Dean </w:t>
      </w:r>
      <w:proofErr w:type="spellStart"/>
      <w:r w:rsidRPr="001D2A1D">
        <w:rPr>
          <w:lang w:val="en-GB"/>
        </w:rPr>
        <w:t>Spurden</w:t>
      </w:r>
      <w:proofErr w:type="spellEnd"/>
      <w:r w:rsidRPr="001D2A1D">
        <w:rPr>
          <w:lang w:val="en-GB"/>
        </w:rPr>
        <w:t xml:space="preserve">, Becky Hooper, Lin Zhan, Emily </w:t>
      </w:r>
      <w:proofErr w:type="spellStart"/>
      <w:r w:rsidRPr="001D2A1D">
        <w:rPr>
          <w:lang w:val="en-GB"/>
        </w:rPr>
        <w:t>Rosta</w:t>
      </w:r>
      <w:proofErr w:type="spellEnd"/>
      <w:r w:rsidRPr="001D2A1D">
        <w:rPr>
          <w:lang w:val="en-GB"/>
        </w:rPr>
        <w:t xml:space="preserve">, Chris Cameron, </w:t>
      </w:r>
      <w:proofErr w:type="spellStart"/>
      <w:r w:rsidRPr="001D2A1D">
        <w:rPr>
          <w:lang w:val="en-GB"/>
        </w:rPr>
        <w:t>Debanjali</w:t>
      </w:r>
      <w:proofErr w:type="spellEnd"/>
      <w:r w:rsidRPr="001D2A1D">
        <w:rPr>
          <w:lang w:val="en-GB"/>
        </w:rPr>
        <w:t xml:space="preserve"> Mitra, and Anna Zhou. 2021. “CDK4/6 Inhibitors in HR+/HER2- Advanced/Metastatic Breast Cancer: A Systematic Literature Review of Real-World Evidence Studies.” </w:t>
      </w:r>
      <w:r w:rsidRPr="001D2A1D">
        <w:rPr>
          <w:i/>
          <w:iCs/>
          <w:lang w:val="en-GB"/>
        </w:rPr>
        <w:t>Future Oncology</w:t>
      </w:r>
      <w:r w:rsidRPr="001D2A1D">
        <w:rPr>
          <w:lang w:val="en-GB"/>
        </w:rPr>
        <w:t xml:space="preserve"> 17 (16): 2107–22. </w:t>
      </w:r>
      <w:hyperlink r:id="rId16">
        <w:r w:rsidRPr="001D2A1D">
          <w:rPr>
            <w:rStyle w:val="Hiperligao"/>
            <w:lang w:val="en-GB"/>
          </w:rPr>
          <w:t>https://doi.org/10.2217/fon-2020-1264</w:t>
        </w:r>
      </w:hyperlink>
      <w:r w:rsidRPr="001D2A1D">
        <w:rPr>
          <w:lang w:val="en-GB"/>
        </w:rPr>
        <w:t>.</w:t>
      </w:r>
    </w:p>
    <w:p w14:paraId="783BAF04" w14:textId="77777777" w:rsidR="00247ECE" w:rsidRPr="001D2A1D" w:rsidRDefault="001D2A1D">
      <w:pPr>
        <w:pStyle w:val="Bibliografia"/>
        <w:rPr>
          <w:lang w:val="en-GB"/>
        </w:rPr>
      </w:pPr>
      <w:bookmarkStart w:id="25" w:name="X7732b50530ca30926eb24044c25cf2a4200c103"/>
      <w:bookmarkEnd w:id="24"/>
      <w:proofErr w:type="spellStart"/>
      <w:r w:rsidRPr="001D2A1D">
        <w:rPr>
          <w:lang w:val="en-GB"/>
        </w:rPr>
        <w:t>Hortobagyi</w:t>
      </w:r>
      <w:proofErr w:type="spellEnd"/>
      <w:r w:rsidRPr="001D2A1D">
        <w:rPr>
          <w:lang w:val="en-GB"/>
        </w:rPr>
        <w:t xml:space="preserve">, G., S. Stemmer, H. Burris, Y. Yap, G. </w:t>
      </w:r>
      <w:proofErr w:type="spellStart"/>
      <w:r w:rsidRPr="001D2A1D">
        <w:rPr>
          <w:lang w:val="en-GB"/>
        </w:rPr>
        <w:t>Sonke</w:t>
      </w:r>
      <w:proofErr w:type="spellEnd"/>
      <w:r w:rsidRPr="001D2A1D">
        <w:rPr>
          <w:lang w:val="en-GB"/>
        </w:rPr>
        <w:t xml:space="preserve">, S. </w:t>
      </w:r>
      <w:proofErr w:type="spellStart"/>
      <w:r w:rsidRPr="001D2A1D">
        <w:rPr>
          <w:lang w:val="en-GB"/>
        </w:rPr>
        <w:t>Paluch</w:t>
      </w:r>
      <w:proofErr w:type="spellEnd"/>
      <w:r w:rsidRPr="001D2A1D">
        <w:rPr>
          <w:lang w:val="en-GB"/>
        </w:rPr>
        <w:t xml:space="preserve">-Shimon, M. </w:t>
      </w:r>
      <w:proofErr w:type="spellStart"/>
      <w:r w:rsidRPr="001D2A1D">
        <w:rPr>
          <w:lang w:val="en-GB"/>
        </w:rPr>
        <w:t>Campone</w:t>
      </w:r>
      <w:proofErr w:type="spellEnd"/>
      <w:r w:rsidRPr="001D2A1D">
        <w:rPr>
          <w:lang w:val="en-GB"/>
        </w:rPr>
        <w:t xml:space="preserve">, et al. 2018. “Updated Results from MONALEESA-2, a Phase III Trial of </w:t>
      </w:r>
      <w:proofErr w:type="gramStart"/>
      <w:r w:rsidRPr="001D2A1D">
        <w:rPr>
          <w:lang w:val="en-GB"/>
        </w:rPr>
        <w:t>First-Line</w:t>
      </w:r>
      <w:proofErr w:type="gramEnd"/>
      <w:r w:rsidRPr="001D2A1D">
        <w:rPr>
          <w:lang w:val="en-GB"/>
        </w:rPr>
        <w:t xml:space="preserve"> </w:t>
      </w:r>
      <w:proofErr w:type="spellStart"/>
      <w:r w:rsidRPr="001D2A1D">
        <w:rPr>
          <w:lang w:val="en-GB"/>
        </w:rPr>
        <w:t>Ribociclib</w:t>
      </w:r>
      <w:proofErr w:type="spellEnd"/>
      <w:r w:rsidRPr="001D2A1D">
        <w:rPr>
          <w:lang w:val="en-GB"/>
        </w:rPr>
        <w:t xml:space="preserve"> Plus Letrozole Versus Placebo Plus Letrozole in Hormone Receptor-Positive, HER2-negative Advanced Breast Cancer.” </w:t>
      </w:r>
      <w:r w:rsidRPr="001D2A1D">
        <w:rPr>
          <w:i/>
          <w:iCs/>
          <w:lang w:val="en-GB"/>
        </w:rPr>
        <w:t xml:space="preserve">Annals of </w:t>
      </w:r>
      <w:proofErr w:type="gramStart"/>
      <w:r w:rsidRPr="001D2A1D">
        <w:rPr>
          <w:i/>
          <w:iCs/>
          <w:lang w:val="en-GB"/>
        </w:rPr>
        <w:t>Oncology :</w:t>
      </w:r>
      <w:proofErr w:type="gramEnd"/>
      <w:r w:rsidRPr="001D2A1D">
        <w:rPr>
          <w:i/>
          <w:iCs/>
          <w:lang w:val="en-GB"/>
        </w:rPr>
        <w:t xml:space="preserve"> Official Journal </w:t>
      </w:r>
      <w:r w:rsidRPr="001D2A1D">
        <w:rPr>
          <w:i/>
          <w:iCs/>
          <w:lang w:val="en-GB"/>
        </w:rPr>
        <w:lastRenderedPageBreak/>
        <w:t>of the European Society for Medical Oncology</w:t>
      </w:r>
      <w:r w:rsidRPr="001D2A1D">
        <w:rPr>
          <w:lang w:val="en-GB"/>
        </w:rPr>
        <w:t xml:space="preserve">. </w:t>
      </w:r>
      <w:hyperlink r:id="rId17">
        <w:r w:rsidRPr="001D2A1D">
          <w:rPr>
            <w:rStyle w:val="Hiperligao"/>
            <w:lang w:val="en-GB"/>
          </w:rPr>
          <w:t>https://doi.org/10.1093/annonc/mdy155</w:t>
        </w:r>
      </w:hyperlink>
      <w:r w:rsidRPr="001D2A1D">
        <w:rPr>
          <w:lang w:val="en-GB"/>
        </w:rPr>
        <w:t>.</w:t>
      </w:r>
    </w:p>
    <w:p w14:paraId="783BAF05" w14:textId="77777777" w:rsidR="00247ECE" w:rsidRPr="001D2A1D" w:rsidRDefault="001D2A1D">
      <w:pPr>
        <w:pStyle w:val="Bibliografia"/>
        <w:rPr>
          <w:lang w:val="en-GB"/>
        </w:rPr>
      </w:pPr>
      <w:bookmarkStart w:id="26" w:name="ref-rugoImpactPalbociclibLetrozole2018"/>
      <w:bookmarkEnd w:id="25"/>
      <w:proofErr w:type="spellStart"/>
      <w:r w:rsidRPr="001D2A1D">
        <w:rPr>
          <w:lang w:val="en-GB"/>
        </w:rPr>
        <w:t>Rugo</w:t>
      </w:r>
      <w:proofErr w:type="spellEnd"/>
      <w:r w:rsidRPr="001D2A1D">
        <w:rPr>
          <w:lang w:val="en-GB"/>
        </w:rPr>
        <w:t xml:space="preserve">, H. S., V. </w:t>
      </w:r>
      <w:proofErr w:type="spellStart"/>
      <w:r w:rsidRPr="001D2A1D">
        <w:rPr>
          <w:lang w:val="en-GB"/>
        </w:rPr>
        <w:t>Diéras</w:t>
      </w:r>
      <w:proofErr w:type="spellEnd"/>
      <w:r w:rsidRPr="001D2A1D">
        <w:rPr>
          <w:lang w:val="en-GB"/>
        </w:rPr>
        <w:t xml:space="preserve">, K. A. </w:t>
      </w:r>
      <w:proofErr w:type="spellStart"/>
      <w:r w:rsidRPr="001D2A1D">
        <w:rPr>
          <w:lang w:val="en-GB"/>
        </w:rPr>
        <w:t>Gelmon</w:t>
      </w:r>
      <w:proofErr w:type="spellEnd"/>
      <w:r w:rsidRPr="001D2A1D">
        <w:rPr>
          <w:lang w:val="en-GB"/>
        </w:rPr>
        <w:t xml:space="preserve">, R. S. Finn, D. J. </w:t>
      </w:r>
      <w:proofErr w:type="spellStart"/>
      <w:r w:rsidRPr="001D2A1D">
        <w:rPr>
          <w:lang w:val="en-GB"/>
        </w:rPr>
        <w:t>Slamon</w:t>
      </w:r>
      <w:proofErr w:type="spellEnd"/>
      <w:r w:rsidRPr="001D2A1D">
        <w:rPr>
          <w:lang w:val="en-GB"/>
        </w:rPr>
        <w:t xml:space="preserve">, M. Martin, P. Neven, et al. 2018. “Impact of Palbociclib Plus Letrozole on Patient-Reported Health-Related Quality of Life: Results from the PALOMA-2 Trial.” </w:t>
      </w:r>
      <w:r w:rsidRPr="001D2A1D">
        <w:rPr>
          <w:i/>
          <w:iCs/>
          <w:lang w:val="en-GB"/>
        </w:rPr>
        <w:t>Annals of Oncology: Official Journal of the European Society for Medical Oncology</w:t>
      </w:r>
      <w:r w:rsidRPr="001D2A1D">
        <w:rPr>
          <w:lang w:val="en-GB"/>
        </w:rPr>
        <w:t xml:space="preserve"> 29 (4): 888–94. </w:t>
      </w:r>
      <w:hyperlink r:id="rId18">
        <w:r w:rsidRPr="001D2A1D">
          <w:rPr>
            <w:rStyle w:val="Hiperligao"/>
            <w:lang w:val="en-GB"/>
          </w:rPr>
          <w:t>https://doi.org/10.1093/annonc/mdy012</w:t>
        </w:r>
      </w:hyperlink>
      <w:r w:rsidRPr="001D2A1D">
        <w:rPr>
          <w:lang w:val="en-GB"/>
        </w:rPr>
        <w:t>.</w:t>
      </w:r>
    </w:p>
    <w:p w14:paraId="783BAF06" w14:textId="77777777" w:rsidR="00247ECE" w:rsidRPr="001D2A1D" w:rsidRDefault="001D2A1D">
      <w:pPr>
        <w:pStyle w:val="Bibliografia"/>
        <w:rPr>
          <w:lang w:val="en-GB"/>
        </w:rPr>
      </w:pPr>
      <w:bookmarkStart w:id="27" w:name="ref-slamonPhaseIIIRandomized2018"/>
      <w:bookmarkEnd w:id="26"/>
      <w:proofErr w:type="spellStart"/>
      <w:r w:rsidRPr="001D2A1D">
        <w:rPr>
          <w:lang w:val="en-GB"/>
        </w:rPr>
        <w:t>Slamon</w:t>
      </w:r>
      <w:proofErr w:type="spellEnd"/>
      <w:r w:rsidRPr="001D2A1D">
        <w:rPr>
          <w:lang w:val="en-GB"/>
        </w:rPr>
        <w:t xml:space="preserve">, Dennis J., Patrick Neven, Stephen Chia, Peter A. Fasching, </w:t>
      </w:r>
      <w:proofErr w:type="spellStart"/>
      <w:r w:rsidRPr="001D2A1D">
        <w:rPr>
          <w:lang w:val="en-GB"/>
        </w:rPr>
        <w:t>Michelino</w:t>
      </w:r>
      <w:proofErr w:type="spellEnd"/>
      <w:r w:rsidRPr="001D2A1D">
        <w:rPr>
          <w:lang w:val="en-GB"/>
        </w:rPr>
        <w:t xml:space="preserve"> De </w:t>
      </w:r>
      <w:proofErr w:type="spellStart"/>
      <w:r w:rsidRPr="001D2A1D">
        <w:rPr>
          <w:lang w:val="en-GB"/>
        </w:rPr>
        <w:t>Laurentiis</w:t>
      </w:r>
      <w:proofErr w:type="spellEnd"/>
      <w:r w:rsidRPr="001D2A1D">
        <w:rPr>
          <w:lang w:val="en-GB"/>
        </w:rPr>
        <w:t xml:space="preserve">, </w:t>
      </w:r>
      <w:proofErr w:type="spellStart"/>
      <w:r w:rsidRPr="001D2A1D">
        <w:rPr>
          <w:lang w:val="en-GB"/>
        </w:rPr>
        <w:t>Seock</w:t>
      </w:r>
      <w:proofErr w:type="spellEnd"/>
      <w:r w:rsidRPr="001D2A1D">
        <w:rPr>
          <w:lang w:val="en-GB"/>
        </w:rPr>
        <w:t xml:space="preserve">-Ah </w:t>
      </w:r>
      <w:proofErr w:type="spellStart"/>
      <w:r w:rsidRPr="001D2A1D">
        <w:rPr>
          <w:lang w:val="en-GB"/>
        </w:rPr>
        <w:t>Im</w:t>
      </w:r>
      <w:proofErr w:type="spellEnd"/>
      <w:r w:rsidRPr="001D2A1D">
        <w:rPr>
          <w:lang w:val="en-GB"/>
        </w:rPr>
        <w:t xml:space="preserve">, Katarina </w:t>
      </w:r>
      <w:proofErr w:type="spellStart"/>
      <w:r w:rsidRPr="001D2A1D">
        <w:rPr>
          <w:lang w:val="en-GB"/>
        </w:rPr>
        <w:t>Petrakova</w:t>
      </w:r>
      <w:proofErr w:type="spellEnd"/>
      <w:r w:rsidRPr="001D2A1D">
        <w:rPr>
          <w:lang w:val="en-GB"/>
        </w:rPr>
        <w:t xml:space="preserve">, et al. 2018. “Phase III Randomized Study of </w:t>
      </w:r>
      <w:proofErr w:type="spellStart"/>
      <w:r w:rsidRPr="001D2A1D">
        <w:rPr>
          <w:lang w:val="en-GB"/>
        </w:rPr>
        <w:t>Ribociclib</w:t>
      </w:r>
      <w:proofErr w:type="spellEnd"/>
      <w:r w:rsidRPr="001D2A1D">
        <w:rPr>
          <w:lang w:val="en-GB"/>
        </w:rPr>
        <w:t xml:space="preserve"> and </w:t>
      </w:r>
      <w:proofErr w:type="spellStart"/>
      <w:r w:rsidRPr="001D2A1D">
        <w:rPr>
          <w:lang w:val="en-GB"/>
        </w:rPr>
        <w:t>Fulvestrant</w:t>
      </w:r>
      <w:proofErr w:type="spellEnd"/>
      <w:r w:rsidRPr="001D2A1D">
        <w:rPr>
          <w:lang w:val="en-GB"/>
        </w:rPr>
        <w:t xml:space="preserve"> in Hormone Receptor-Positive, Human Epidermal Growth Factor Receptor 2-Negative Advanced Breast Cancer: MONALEESA-3.” </w:t>
      </w:r>
      <w:r w:rsidRPr="001D2A1D">
        <w:rPr>
          <w:i/>
          <w:iCs/>
          <w:lang w:val="en-GB"/>
        </w:rPr>
        <w:t>Journal of Clinical Oncology: Official Journal of the American Society of Clinical Oncology</w:t>
      </w:r>
      <w:r w:rsidRPr="001D2A1D">
        <w:rPr>
          <w:lang w:val="en-GB"/>
        </w:rPr>
        <w:t xml:space="preserve"> 36 (24): 2465–72. </w:t>
      </w:r>
      <w:hyperlink r:id="rId19">
        <w:r w:rsidRPr="001D2A1D">
          <w:rPr>
            <w:rStyle w:val="Hiperligao"/>
            <w:lang w:val="en-GB"/>
          </w:rPr>
          <w:t>https://doi.org/10.1200/JCO.2018.78.9909</w:t>
        </w:r>
      </w:hyperlink>
      <w:r w:rsidRPr="001D2A1D">
        <w:rPr>
          <w:lang w:val="en-GB"/>
        </w:rPr>
        <w:t>.</w:t>
      </w:r>
    </w:p>
    <w:p w14:paraId="783BAF07" w14:textId="77777777" w:rsidR="00247ECE" w:rsidRPr="00895603" w:rsidRDefault="001D2A1D">
      <w:pPr>
        <w:pStyle w:val="Bibliografia"/>
        <w:rPr>
          <w:lang w:val="pt-PT"/>
        </w:rPr>
      </w:pPr>
      <w:bookmarkStart w:id="28" w:name="X134564b9764a34ab5032ebbde2f0f82b156eee8"/>
      <w:bookmarkEnd w:id="27"/>
      <w:r w:rsidRPr="001D2A1D">
        <w:rPr>
          <w:lang w:val="en-GB"/>
        </w:rPr>
        <w:t xml:space="preserve">Sledge, George W., Masakazu Toi, Patrick Neven, </w:t>
      </w:r>
      <w:proofErr w:type="spellStart"/>
      <w:r w:rsidRPr="001D2A1D">
        <w:rPr>
          <w:lang w:val="en-GB"/>
        </w:rPr>
        <w:t>Joohyuk</w:t>
      </w:r>
      <w:proofErr w:type="spellEnd"/>
      <w:r w:rsidRPr="001D2A1D">
        <w:rPr>
          <w:lang w:val="en-GB"/>
        </w:rPr>
        <w:t xml:space="preserve"> Sohn, Kenichi Inoue, Xavier Pivot, Olga </w:t>
      </w:r>
      <w:proofErr w:type="spellStart"/>
      <w:r w:rsidRPr="001D2A1D">
        <w:rPr>
          <w:lang w:val="en-GB"/>
        </w:rPr>
        <w:t>Burdaeva</w:t>
      </w:r>
      <w:proofErr w:type="spellEnd"/>
      <w:r w:rsidRPr="001D2A1D">
        <w:rPr>
          <w:lang w:val="en-GB"/>
        </w:rPr>
        <w:t xml:space="preserve">, et al. 2017. “MONARCH 2: </w:t>
      </w:r>
      <w:proofErr w:type="spellStart"/>
      <w:r w:rsidRPr="001D2A1D">
        <w:rPr>
          <w:lang w:val="en-GB"/>
        </w:rPr>
        <w:t>Abemaciclib</w:t>
      </w:r>
      <w:proofErr w:type="spellEnd"/>
      <w:r w:rsidRPr="001D2A1D">
        <w:rPr>
          <w:lang w:val="en-GB"/>
        </w:rPr>
        <w:t xml:space="preserve"> in Combination </w:t>
      </w:r>
      <w:proofErr w:type="gramStart"/>
      <w:r w:rsidRPr="001D2A1D">
        <w:rPr>
          <w:lang w:val="en-GB"/>
        </w:rPr>
        <w:t>With</w:t>
      </w:r>
      <w:proofErr w:type="gramEnd"/>
      <w:r w:rsidRPr="001D2A1D">
        <w:rPr>
          <w:lang w:val="en-GB"/>
        </w:rPr>
        <w:t xml:space="preserve"> </w:t>
      </w:r>
      <w:proofErr w:type="spellStart"/>
      <w:r w:rsidRPr="001D2A1D">
        <w:rPr>
          <w:lang w:val="en-GB"/>
        </w:rPr>
        <w:t>Fulvestrant</w:t>
      </w:r>
      <w:proofErr w:type="spellEnd"/>
      <w:r w:rsidRPr="001D2A1D">
        <w:rPr>
          <w:lang w:val="en-GB"/>
        </w:rPr>
        <w:t xml:space="preserve"> in Women With HR+/HER2- Advanced Breast Cancer Who Had Progressed While Receiving Endocrine Therapy.” </w:t>
      </w:r>
      <w:r w:rsidRPr="001D2A1D">
        <w:rPr>
          <w:i/>
          <w:iCs/>
          <w:lang w:val="en-GB"/>
        </w:rPr>
        <w:t>Journal of Clinical Oncology: Official Journal of the American Society of Clinical Oncology</w:t>
      </w:r>
      <w:r w:rsidRPr="001D2A1D">
        <w:rPr>
          <w:lang w:val="en-GB"/>
        </w:rPr>
        <w:t xml:space="preserve"> 35 (25): 2875–84. </w:t>
      </w:r>
      <w:hyperlink r:id="rId20">
        <w:r w:rsidRPr="00895603">
          <w:rPr>
            <w:rStyle w:val="Hiperligao"/>
            <w:lang w:val="pt-PT"/>
          </w:rPr>
          <w:t>https://doi.org/10.1200/JCO.2017.73.7585</w:t>
        </w:r>
      </w:hyperlink>
      <w:r w:rsidRPr="00895603">
        <w:rPr>
          <w:lang w:val="pt-PT"/>
        </w:rPr>
        <w:t>.</w:t>
      </w:r>
    </w:p>
    <w:p w14:paraId="783BAF08" w14:textId="77777777" w:rsidR="00247ECE" w:rsidRPr="001D2A1D" w:rsidRDefault="001D2A1D">
      <w:pPr>
        <w:pStyle w:val="Bibliografia"/>
        <w:rPr>
          <w:lang w:val="en-GB"/>
        </w:rPr>
      </w:pPr>
      <w:bookmarkStart w:id="29" w:name="Xc00747cc28c26a565e07ed16edef99d15dabe29"/>
      <w:bookmarkEnd w:id="28"/>
      <w:proofErr w:type="spellStart"/>
      <w:r w:rsidRPr="00895603">
        <w:rPr>
          <w:lang w:val="pt-PT"/>
        </w:rPr>
        <w:t>Tripathy</w:t>
      </w:r>
      <w:proofErr w:type="spellEnd"/>
      <w:r w:rsidRPr="00895603">
        <w:rPr>
          <w:lang w:val="pt-PT"/>
        </w:rPr>
        <w:t xml:space="preserve">, </w:t>
      </w:r>
      <w:proofErr w:type="spellStart"/>
      <w:r w:rsidRPr="00895603">
        <w:rPr>
          <w:lang w:val="pt-PT"/>
        </w:rPr>
        <w:t>Debu</w:t>
      </w:r>
      <w:proofErr w:type="spellEnd"/>
      <w:r w:rsidRPr="00895603">
        <w:rPr>
          <w:lang w:val="pt-PT"/>
        </w:rPr>
        <w:t xml:space="preserve">, </w:t>
      </w:r>
      <w:proofErr w:type="spellStart"/>
      <w:r w:rsidRPr="00895603">
        <w:rPr>
          <w:lang w:val="pt-PT"/>
        </w:rPr>
        <w:t>Seock</w:t>
      </w:r>
      <w:proofErr w:type="spellEnd"/>
      <w:r w:rsidRPr="00895603">
        <w:rPr>
          <w:lang w:val="pt-PT"/>
        </w:rPr>
        <w:t xml:space="preserve">-Ah </w:t>
      </w:r>
      <w:proofErr w:type="spellStart"/>
      <w:r w:rsidRPr="00895603">
        <w:rPr>
          <w:lang w:val="pt-PT"/>
        </w:rPr>
        <w:t>Im</w:t>
      </w:r>
      <w:proofErr w:type="spellEnd"/>
      <w:r w:rsidRPr="00895603">
        <w:rPr>
          <w:lang w:val="pt-PT"/>
        </w:rPr>
        <w:t xml:space="preserve">, Marco </w:t>
      </w:r>
      <w:proofErr w:type="spellStart"/>
      <w:r w:rsidRPr="00895603">
        <w:rPr>
          <w:lang w:val="pt-PT"/>
        </w:rPr>
        <w:t>Colleoni</w:t>
      </w:r>
      <w:proofErr w:type="spellEnd"/>
      <w:r w:rsidRPr="00895603">
        <w:rPr>
          <w:lang w:val="pt-PT"/>
        </w:rPr>
        <w:t xml:space="preserve">, </w:t>
      </w:r>
      <w:proofErr w:type="spellStart"/>
      <w:r w:rsidRPr="00895603">
        <w:rPr>
          <w:lang w:val="pt-PT"/>
        </w:rPr>
        <w:t>Fabio</w:t>
      </w:r>
      <w:proofErr w:type="spellEnd"/>
      <w:r w:rsidRPr="00895603">
        <w:rPr>
          <w:lang w:val="pt-PT"/>
        </w:rPr>
        <w:t xml:space="preserve"> </w:t>
      </w:r>
      <w:proofErr w:type="spellStart"/>
      <w:r w:rsidRPr="00895603">
        <w:rPr>
          <w:lang w:val="pt-PT"/>
        </w:rPr>
        <w:t>Franke</w:t>
      </w:r>
      <w:proofErr w:type="spellEnd"/>
      <w:r w:rsidRPr="00895603">
        <w:rPr>
          <w:lang w:val="pt-PT"/>
        </w:rPr>
        <w:t xml:space="preserve">, </w:t>
      </w:r>
      <w:proofErr w:type="spellStart"/>
      <w:r w:rsidRPr="00895603">
        <w:rPr>
          <w:lang w:val="pt-PT"/>
        </w:rPr>
        <w:t>Aditya</w:t>
      </w:r>
      <w:proofErr w:type="spellEnd"/>
      <w:r w:rsidRPr="00895603">
        <w:rPr>
          <w:lang w:val="pt-PT"/>
        </w:rPr>
        <w:t xml:space="preserve"> </w:t>
      </w:r>
      <w:proofErr w:type="spellStart"/>
      <w:r w:rsidRPr="00895603">
        <w:rPr>
          <w:lang w:val="pt-PT"/>
        </w:rPr>
        <w:t>Bardia</w:t>
      </w:r>
      <w:proofErr w:type="spellEnd"/>
      <w:r w:rsidRPr="00895603">
        <w:rPr>
          <w:lang w:val="pt-PT"/>
        </w:rPr>
        <w:t xml:space="preserve">, </w:t>
      </w:r>
      <w:proofErr w:type="spellStart"/>
      <w:r w:rsidRPr="00895603">
        <w:rPr>
          <w:lang w:val="pt-PT"/>
        </w:rPr>
        <w:t>Nadia</w:t>
      </w:r>
      <w:proofErr w:type="spellEnd"/>
      <w:r w:rsidRPr="00895603">
        <w:rPr>
          <w:lang w:val="pt-PT"/>
        </w:rPr>
        <w:t xml:space="preserve"> </w:t>
      </w:r>
      <w:proofErr w:type="spellStart"/>
      <w:r w:rsidRPr="00895603">
        <w:rPr>
          <w:lang w:val="pt-PT"/>
        </w:rPr>
        <w:t>Harbeck</w:t>
      </w:r>
      <w:proofErr w:type="spellEnd"/>
      <w:r w:rsidRPr="00895603">
        <w:rPr>
          <w:lang w:val="pt-PT"/>
        </w:rPr>
        <w:t xml:space="preserve">, Sara A. </w:t>
      </w:r>
      <w:proofErr w:type="spellStart"/>
      <w:r w:rsidRPr="00895603">
        <w:rPr>
          <w:lang w:val="pt-PT"/>
        </w:rPr>
        <w:t>Hurvitz</w:t>
      </w:r>
      <w:proofErr w:type="spellEnd"/>
      <w:r w:rsidRPr="00895603">
        <w:rPr>
          <w:lang w:val="pt-PT"/>
        </w:rPr>
        <w:t xml:space="preserve">, </w:t>
      </w:r>
      <w:proofErr w:type="spellStart"/>
      <w:r w:rsidRPr="00895603">
        <w:rPr>
          <w:lang w:val="pt-PT"/>
        </w:rPr>
        <w:t>et</w:t>
      </w:r>
      <w:proofErr w:type="spellEnd"/>
      <w:r w:rsidRPr="00895603">
        <w:rPr>
          <w:lang w:val="pt-PT"/>
        </w:rPr>
        <w:t xml:space="preserve"> al. 2018. </w:t>
      </w:r>
      <w:r w:rsidRPr="001D2A1D">
        <w:rPr>
          <w:lang w:val="en-GB"/>
        </w:rPr>
        <w:t>“</w:t>
      </w:r>
      <w:proofErr w:type="spellStart"/>
      <w:r w:rsidRPr="001D2A1D">
        <w:rPr>
          <w:lang w:val="en-GB"/>
        </w:rPr>
        <w:t>Ribociclib</w:t>
      </w:r>
      <w:proofErr w:type="spellEnd"/>
      <w:r w:rsidRPr="001D2A1D">
        <w:rPr>
          <w:lang w:val="en-GB"/>
        </w:rPr>
        <w:t xml:space="preserve"> Plus Endocrine Therapy for Premenopausal Women with Hormone-Receptor-Positive, Advanced Breast Cancer (MONALEESA-7): A Randomised Phase 3 Trial.” </w:t>
      </w:r>
      <w:r w:rsidRPr="001D2A1D">
        <w:rPr>
          <w:i/>
          <w:iCs/>
          <w:lang w:val="en-GB"/>
        </w:rPr>
        <w:t>The Lancet. Oncology</w:t>
      </w:r>
      <w:r w:rsidRPr="001D2A1D">
        <w:rPr>
          <w:lang w:val="en-GB"/>
        </w:rPr>
        <w:t xml:space="preserve"> 19 (7): 904–15. </w:t>
      </w:r>
      <w:hyperlink r:id="rId21">
        <w:r w:rsidRPr="001D2A1D">
          <w:rPr>
            <w:rStyle w:val="Hiperligao"/>
            <w:lang w:val="en-GB"/>
          </w:rPr>
          <w:t>https://doi.org/10.1016/S1470-2045(18)30292-4</w:t>
        </w:r>
      </w:hyperlink>
      <w:r w:rsidRPr="001D2A1D">
        <w:rPr>
          <w:lang w:val="en-GB"/>
        </w:rPr>
        <w:t>.</w:t>
      </w:r>
    </w:p>
    <w:p w14:paraId="783BAF09" w14:textId="77777777" w:rsidR="00247ECE" w:rsidRPr="001D2A1D" w:rsidRDefault="001D2A1D">
      <w:pPr>
        <w:pStyle w:val="Bibliografia"/>
        <w:rPr>
          <w:lang w:val="en-GB"/>
        </w:rPr>
      </w:pPr>
      <w:bookmarkStart w:id="30" w:name="Xfe17b2a1ee16d0091423cb7c22addcb5c3b78f6"/>
      <w:bookmarkEnd w:id="29"/>
      <w:r w:rsidRPr="001D2A1D">
        <w:rPr>
          <w:lang w:val="en-GB"/>
        </w:rPr>
        <w:t xml:space="preserve">Verma, Sunil, Cynthia Huang Bartlett, Patrick Schnell, Angela M. </w:t>
      </w:r>
      <w:proofErr w:type="spellStart"/>
      <w:r w:rsidRPr="001D2A1D">
        <w:rPr>
          <w:lang w:val="en-GB"/>
        </w:rPr>
        <w:t>DeMichele</w:t>
      </w:r>
      <w:proofErr w:type="spellEnd"/>
      <w:r w:rsidRPr="001D2A1D">
        <w:rPr>
          <w:lang w:val="en-GB"/>
        </w:rPr>
        <w:t xml:space="preserve">, </w:t>
      </w:r>
      <w:proofErr w:type="spellStart"/>
      <w:r w:rsidRPr="001D2A1D">
        <w:rPr>
          <w:lang w:val="en-GB"/>
        </w:rPr>
        <w:t>Sherene</w:t>
      </w:r>
      <w:proofErr w:type="spellEnd"/>
      <w:r w:rsidRPr="001D2A1D">
        <w:rPr>
          <w:lang w:val="en-GB"/>
        </w:rPr>
        <w:t xml:space="preserve"> </w:t>
      </w:r>
      <w:proofErr w:type="spellStart"/>
      <w:r w:rsidRPr="001D2A1D">
        <w:rPr>
          <w:lang w:val="en-GB"/>
        </w:rPr>
        <w:t>Loi</w:t>
      </w:r>
      <w:proofErr w:type="spellEnd"/>
      <w:r w:rsidRPr="001D2A1D">
        <w:rPr>
          <w:lang w:val="en-GB"/>
        </w:rPr>
        <w:t xml:space="preserve">, </w:t>
      </w:r>
      <w:proofErr w:type="spellStart"/>
      <w:r w:rsidRPr="001D2A1D">
        <w:rPr>
          <w:lang w:val="en-GB"/>
        </w:rPr>
        <w:t>Jungsil</w:t>
      </w:r>
      <w:proofErr w:type="spellEnd"/>
      <w:r w:rsidRPr="001D2A1D">
        <w:rPr>
          <w:lang w:val="en-GB"/>
        </w:rPr>
        <w:t xml:space="preserve"> Ro, Marco Colleoni, et al. 2016. “Palbociclib in Combination </w:t>
      </w:r>
      <w:proofErr w:type="gramStart"/>
      <w:r w:rsidRPr="001D2A1D">
        <w:rPr>
          <w:lang w:val="en-GB"/>
        </w:rPr>
        <w:t>With</w:t>
      </w:r>
      <w:proofErr w:type="gramEnd"/>
      <w:r w:rsidRPr="001D2A1D">
        <w:rPr>
          <w:lang w:val="en-GB"/>
        </w:rPr>
        <w:t xml:space="preserve"> </w:t>
      </w:r>
      <w:proofErr w:type="spellStart"/>
      <w:r w:rsidRPr="001D2A1D">
        <w:rPr>
          <w:lang w:val="en-GB"/>
        </w:rPr>
        <w:t>Fulvestrant</w:t>
      </w:r>
      <w:proofErr w:type="spellEnd"/>
      <w:r w:rsidRPr="001D2A1D">
        <w:rPr>
          <w:lang w:val="en-GB"/>
        </w:rPr>
        <w:t xml:space="preserve"> in Women With Hormone Receptor-Positive/HER2-Negative Advanced Metastatic Breast Cancer: Detailed Safety Analysis From a </w:t>
      </w:r>
      <w:proofErr w:type="spellStart"/>
      <w:r w:rsidRPr="001D2A1D">
        <w:rPr>
          <w:lang w:val="en-GB"/>
        </w:rPr>
        <w:t>Multicenter</w:t>
      </w:r>
      <w:proofErr w:type="spellEnd"/>
      <w:r w:rsidRPr="001D2A1D">
        <w:rPr>
          <w:lang w:val="en-GB"/>
        </w:rPr>
        <w:t xml:space="preserve">, Randomized, Placebo-Controlled, Phase III Study (PALOMA-3).” </w:t>
      </w:r>
      <w:r w:rsidRPr="001D2A1D">
        <w:rPr>
          <w:i/>
          <w:iCs/>
          <w:lang w:val="en-GB"/>
        </w:rPr>
        <w:t>The Oncologist</w:t>
      </w:r>
      <w:r w:rsidRPr="001D2A1D">
        <w:rPr>
          <w:lang w:val="en-GB"/>
        </w:rPr>
        <w:t xml:space="preserve"> 21 (10): 1165–75. </w:t>
      </w:r>
      <w:hyperlink r:id="rId22">
        <w:r w:rsidRPr="001D2A1D">
          <w:rPr>
            <w:rStyle w:val="Hiperligao"/>
            <w:lang w:val="en-GB"/>
          </w:rPr>
          <w:t>https://doi.org/10.1634/theoncologist.2016-0097</w:t>
        </w:r>
      </w:hyperlink>
      <w:r w:rsidRPr="001D2A1D">
        <w:rPr>
          <w:lang w:val="en-GB"/>
        </w:rPr>
        <w:t>.</w:t>
      </w:r>
    </w:p>
    <w:bookmarkEnd w:id="30"/>
    <w:bookmarkEnd w:id="19"/>
    <w:bookmarkEnd w:id="17"/>
    <w:sectPr w:rsidR="00247ECE" w:rsidRPr="001D2A1D">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3BAF16" w14:textId="77777777" w:rsidR="001D2A1D" w:rsidRDefault="001D2A1D">
      <w:pPr>
        <w:spacing w:after="0"/>
      </w:pPr>
      <w:r>
        <w:separator/>
      </w:r>
    </w:p>
  </w:endnote>
  <w:endnote w:type="continuationSeparator" w:id="0">
    <w:p w14:paraId="783BAF18" w14:textId="77777777" w:rsidR="001D2A1D" w:rsidRDefault="001D2A1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3BAF12" w14:textId="77777777" w:rsidR="00247ECE" w:rsidRDefault="001D2A1D">
      <w:r>
        <w:separator/>
      </w:r>
    </w:p>
  </w:footnote>
  <w:footnote w:type="continuationSeparator" w:id="0">
    <w:p w14:paraId="783BAF13" w14:textId="77777777" w:rsidR="00247ECE" w:rsidRDefault="001D2A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92A584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DCE633A"/>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39613077">
    <w:abstractNumId w:val="0"/>
  </w:num>
  <w:num w:numId="2" w16cid:durableId="9862758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47ECE"/>
    <w:rsid w:val="0002359D"/>
    <w:rsid w:val="00045814"/>
    <w:rsid w:val="00150C79"/>
    <w:rsid w:val="001861DF"/>
    <w:rsid w:val="001D2A1D"/>
    <w:rsid w:val="002200AB"/>
    <w:rsid w:val="0023053F"/>
    <w:rsid w:val="002438CB"/>
    <w:rsid w:val="00247ECE"/>
    <w:rsid w:val="0029559E"/>
    <w:rsid w:val="003867D3"/>
    <w:rsid w:val="003C1C9B"/>
    <w:rsid w:val="00552EFB"/>
    <w:rsid w:val="00570C0D"/>
    <w:rsid w:val="005A0B89"/>
    <w:rsid w:val="006B1FF2"/>
    <w:rsid w:val="00735D0B"/>
    <w:rsid w:val="00840C05"/>
    <w:rsid w:val="00895603"/>
    <w:rsid w:val="008E656A"/>
    <w:rsid w:val="0094276A"/>
    <w:rsid w:val="00951AFE"/>
    <w:rsid w:val="009B67D6"/>
    <w:rsid w:val="009C7AEF"/>
    <w:rsid w:val="00A1017C"/>
    <w:rsid w:val="00A307C1"/>
    <w:rsid w:val="00BA0CB3"/>
    <w:rsid w:val="00BA4B77"/>
    <w:rsid w:val="00C73330"/>
    <w:rsid w:val="00D56491"/>
    <w:rsid w:val="00E87617"/>
    <w:rsid w:val="00E97298"/>
    <w:rsid w:val="00ED6C78"/>
    <w:rsid w:val="00EE5FE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83BAE2E"/>
  <w15:docId w15:val="{CD8A9CF5-300D-864A-A39D-797C0B105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Corpodetexto"/>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Corpodetexto"/>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Corpodetexto"/>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Corpodetexto"/>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Corpodetexto"/>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Corpodetexto"/>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Corpodetexto"/>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Corpodetexto"/>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Corpodetexto"/>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basedOn w:val="Normal"/>
    <w:link w:val="CorpodetextoCarter"/>
    <w:qFormat/>
    <w:pPr>
      <w:spacing w:before="180" w:after="180"/>
    </w:pPr>
  </w:style>
  <w:style w:type="paragraph" w:customStyle="1" w:styleId="FirstParagraph">
    <w:name w:val="First Paragraph"/>
    <w:basedOn w:val="Corpodetexto"/>
    <w:next w:val="Corpodetexto"/>
    <w:qFormat/>
  </w:style>
  <w:style w:type="paragraph" w:customStyle="1" w:styleId="Compact">
    <w:name w:val="Compact"/>
    <w:basedOn w:val="Corpodetexto"/>
    <w:qFormat/>
    <w:pPr>
      <w:spacing w:before="36" w:after="36"/>
    </w:pPr>
  </w:style>
  <w:style w:type="paragraph" w:styleId="Ttulo">
    <w:name w:val="Title"/>
    <w:basedOn w:val="Normal"/>
    <w:next w:val="Corpodetexto"/>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Corpodetexto"/>
    <w:qFormat/>
    <w:pPr>
      <w:spacing w:before="240"/>
    </w:pPr>
    <w:rPr>
      <w:sz w:val="30"/>
      <w:szCs w:val="30"/>
    </w:rPr>
  </w:style>
  <w:style w:type="paragraph" w:customStyle="1" w:styleId="Author">
    <w:name w:val="Author"/>
    <w:next w:val="Corpodetexto"/>
    <w:qFormat/>
    <w:pPr>
      <w:keepNext/>
      <w:keepLines/>
      <w:jc w:val="center"/>
    </w:pPr>
  </w:style>
  <w:style w:type="paragraph" w:styleId="Data">
    <w:name w:val="Date"/>
    <w:next w:val="Corpodetexto"/>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Corpodetexto"/>
    <w:qFormat/>
    <w:pPr>
      <w:keepNext/>
      <w:keepLines/>
      <w:spacing w:before="100" w:after="300"/>
    </w:pPr>
    <w:rPr>
      <w:sz w:val="20"/>
      <w:szCs w:val="20"/>
    </w:rPr>
  </w:style>
  <w:style w:type="paragraph" w:styleId="Bibliografia">
    <w:name w:val="Bibliography"/>
    <w:basedOn w:val="Normal"/>
    <w:qFormat/>
  </w:style>
  <w:style w:type="paragraph" w:styleId="Textodebloco">
    <w:name w:val="Block Text"/>
    <w:basedOn w:val="Corpodetexto"/>
    <w:next w:val="Corpodetexto"/>
    <w:uiPriority w:val="9"/>
    <w:unhideWhenUsed/>
    <w:qFormat/>
    <w:pPr>
      <w:spacing w:before="100" w:after="100"/>
      <w:ind w:left="480" w:right="480"/>
    </w:pPr>
  </w:style>
  <w:style w:type="paragraph" w:styleId="Textodenotaderodap">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egenda">
    <w:name w:val="caption"/>
    <w:basedOn w:val="Normal"/>
    <w:link w:val="LegendaCarter"/>
    <w:pPr>
      <w:spacing w:after="120"/>
    </w:pPr>
    <w:rPr>
      <w:i/>
    </w:rPr>
  </w:style>
  <w:style w:type="paragraph" w:customStyle="1" w:styleId="TableCaption">
    <w:name w:val="Table Caption"/>
    <w:basedOn w:val="Legenda"/>
    <w:pPr>
      <w:keepNext/>
    </w:pPr>
  </w:style>
  <w:style w:type="paragraph" w:customStyle="1" w:styleId="ImageCaption">
    <w:name w:val="Image Caption"/>
    <w:basedOn w:val="Legenda"/>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egendaCarter">
    <w:name w:val="Legenda Caráter"/>
    <w:basedOn w:val="Tipodeletrapredefinidodopargrafo"/>
    <w:link w:val="Legenda"/>
  </w:style>
  <w:style w:type="character" w:customStyle="1" w:styleId="VerbatimChar">
    <w:name w:val="Verbatim Char"/>
    <w:basedOn w:val="LegendaCarter"/>
    <w:link w:val="SourceCode"/>
    <w:rPr>
      <w:rFonts w:ascii="Consolas" w:hAnsi="Consolas"/>
      <w:sz w:val="22"/>
    </w:rPr>
  </w:style>
  <w:style w:type="character" w:customStyle="1" w:styleId="SectionNumber">
    <w:name w:val="Section Number"/>
    <w:basedOn w:val="LegendaCarter"/>
  </w:style>
  <w:style w:type="character" w:styleId="Refdenotaderodap">
    <w:name w:val="footnote reference"/>
    <w:basedOn w:val="LegendaCarter"/>
    <w:rPr>
      <w:vertAlign w:val="superscript"/>
    </w:rPr>
  </w:style>
  <w:style w:type="character" w:styleId="Hiperligao">
    <w:name w:val="Hyperlink"/>
    <w:basedOn w:val="LegendaCarter"/>
    <w:rPr>
      <w:color w:val="4F81BD" w:themeColor="accent1"/>
    </w:rPr>
  </w:style>
  <w:style w:type="paragraph" w:styleId="Cabealhodondice">
    <w:name w:val="TOC Heading"/>
    <w:basedOn w:val="Ttulo1"/>
    <w:next w:val="Corpodetexto"/>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CorpodetextoCarter">
    <w:name w:val="Corpo de texto Caráter"/>
    <w:basedOn w:val="Tipodeletrapredefinidodopargrafo"/>
    <w:link w:val="Corpodetexto"/>
    <w:rsid w:val="00A101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doi.org/10.1016/S1470-2045(15)00613-0" TargetMode="External"/><Relationship Id="rId18" Type="http://schemas.openxmlformats.org/officeDocument/2006/relationships/hyperlink" Target="https://doi.org/10.1093/annonc/mdy012" TargetMode="External"/><Relationship Id="rId3" Type="http://schemas.openxmlformats.org/officeDocument/2006/relationships/settings" Target="settings.xml"/><Relationship Id="rId21" Type="http://schemas.openxmlformats.org/officeDocument/2006/relationships/hyperlink" Target="https://doi.org/10.1016/S1470-2045(18)30292-4" TargetMode="External"/><Relationship Id="rId7" Type="http://schemas.openxmlformats.org/officeDocument/2006/relationships/image" Target="media/image1.jpg"/><Relationship Id="rId12" Type="http://schemas.openxmlformats.org/officeDocument/2006/relationships/hyperlink" Target="https://doi.org/10.1080/00273171.2011.568786" TargetMode="External"/><Relationship Id="rId17" Type="http://schemas.openxmlformats.org/officeDocument/2006/relationships/hyperlink" Target="https://doi.org/10.1093/annonc/mdy155" TargetMode="External"/><Relationship Id="rId2" Type="http://schemas.openxmlformats.org/officeDocument/2006/relationships/styles" Target="styles.xml"/><Relationship Id="rId16" Type="http://schemas.openxmlformats.org/officeDocument/2006/relationships/hyperlink" Target="https://doi.org/10.2217/fon-2020-1264" TargetMode="External"/><Relationship Id="rId20" Type="http://schemas.openxmlformats.org/officeDocument/2006/relationships/hyperlink" Target="https://doi.org/10.1200/JCO.2017.73.7585"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02/sim.5984"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doi.org/10.1200/JCO.2017.75.6155" TargetMode="External"/><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hyperlink" Target="https://doi.org/10.1200/JCO.2018.78.9909" TargetMode="Externa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doi.org/10.1016/S1470-2045(14)71159-3" TargetMode="External"/><Relationship Id="rId22" Type="http://schemas.openxmlformats.org/officeDocument/2006/relationships/hyperlink" Target="https://doi.org/10.1634/theoncologist.2016-009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11</Pages>
  <Words>3568</Words>
  <Characters>19269</Characters>
  <Application>Microsoft Office Word</Application>
  <DocSecurity>0</DocSecurity>
  <Lines>160</Lines>
  <Paragraphs>45</Paragraphs>
  <ScaleCrop>false</ScaleCrop>
  <Company/>
  <LinksUpToDate>false</LinksUpToDate>
  <CharactersWithSpaces>22792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Comparative Analysis of Palbociclib and Ribociclib: A real world data and Propensity Score-Adjusted Evaluation with endocrine therapy"</dc:title>
  <dc:creator>Author One; Author Two; Author Three; Author Four</dc:creator>
  <cp:keywords/>
  <cp:lastModifiedBy>João Almeida</cp:lastModifiedBy>
  <cp:revision>34</cp:revision>
  <dcterms:created xsi:type="dcterms:W3CDTF">2023-09-22T10:44:00Z</dcterms:created>
  <dcterms:modified xsi:type="dcterms:W3CDTF">2023-09-22T15:22:00Z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main.bib</vt:lpwstr>
  </property>
</Properties>
</file>