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지난달 매출 요약 리포트</w:t>
      </w:r>
    </w:p>
    <w:p>
      <w:pPr>
        <w:jc w:val="right"/>
      </w:pPr>
      <w:r>
        <w:rPr>
          <w:color w:val="808080"/>
          <w:sz w:val="20"/>
        </w:rPr>
        <w:t>작성일: 2026년 07월 08일</w:t>
      </w:r>
    </w:p>
    <w:p/>
    <w:p>
      <w:pPr>
        <w:pStyle w:val="Heading1"/>
      </w:pPr>
      <w:r>
        <w:t>핵심 요약 (3줄)</w:t>
      </w:r>
    </w:p>
    <w:p>
      <w:pPr>
        <w:pStyle w:val="ListNumber"/>
      </w:pPr>
      <w:r>
        <w:rPr>
          <w:sz w:val="24"/>
        </w:rPr>
        <w:t>1. 지난달 총 매출은 전월 대비 12% 증가한 3억 4,500만 원을 기록했습니다.</w:t>
      </w:r>
    </w:p>
    <w:p>
      <w:pPr>
        <w:pStyle w:val="ListNumber"/>
      </w:pPr>
      <w:r>
        <w:rPr>
          <w:sz w:val="24"/>
        </w:rPr>
        <w:t>2. 온라인 채널 매출이 전체의 65%를 차지하며 성장을 견인했습니다.</w:t>
      </w:r>
    </w:p>
    <w:p>
      <w:pPr>
        <w:pStyle w:val="ListNumber"/>
      </w:pPr>
      <w:r>
        <w:rPr>
          <w:sz w:val="24"/>
        </w:rPr>
        <w:t>3. 신규 고객 유입이 늘며 재구매율도 8%p 상승한 42%를 달성했습니다.</w:t>
      </w:r>
    </w:p>
    <w:p/>
    <w:p>
      <w:pPr>
        <w:pStyle w:val="Heading1"/>
      </w:pPr>
      <w:r>
        <w:t>주요 지표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총 매출</w:t>
            </w:r>
          </w:p>
        </w:tc>
        <w:tc>
          <w:tcPr>
            <w:tcW w:type="dxa" w:w="4320"/>
          </w:tcPr>
          <w:p>
            <w:r>
              <w:t>3억 4,500만 원</w:t>
            </w:r>
          </w:p>
        </w:tc>
      </w:tr>
      <w:tr>
        <w:tc>
          <w:tcPr>
            <w:tcW w:type="dxa" w:w="4320"/>
          </w:tcPr>
          <w:p>
            <w:r>
              <w:t>전월 대비 증감률</w:t>
            </w:r>
          </w:p>
        </w:tc>
        <w:tc>
          <w:tcPr>
            <w:tcW w:type="dxa" w:w="4320"/>
          </w:tcPr>
          <w:p>
            <w:r>
              <w:t>+12%</w:t>
            </w:r>
          </w:p>
        </w:tc>
      </w:tr>
      <w:tr>
        <w:tc>
          <w:tcPr>
            <w:tcW w:type="dxa" w:w="4320"/>
          </w:tcPr>
          <w:p>
            <w:r>
              <w:t>재구매율</w:t>
            </w:r>
          </w:p>
        </w:tc>
        <w:tc>
          <w:tcPr>
            <w:tcW w:type="dxa" w:w="4320"/>
          </w:tcPr>
          <w:p>
            <w:r>
              <w:t>42% (+8%p)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