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0" w:after="120" w:line="276"/>
        <w:jc w:val="center"/>
      </w:pPr>
      <w:r>
        <w:rPr>
          <w:rFonts w:ascii="Arial" w:cs="Arial" w:eastAsia="Arial" w:hAnsi="Arial"/>
          <w:b/>
          <w:bCs/>
          <w:i w:val="false"/>
          <w:iCs w:val="false"/>
          <w:color w:val="C8611A"/>
          <w:sz w:val="18"/>
          <w:szCs w:val="18"/>
        </w:rPr>
        <w:t xml:space="preserve">RESEARCH FINDINGS &amp; QUESTIONS ANSWERED</w:t>
      </w:r>
    </w:p>
    <w:p>
      <w:pPr>
        <w:pBdr>
          <w:bottom w:val="single" w:color="C8611A" w:sz="6" w:space="1"/>
        </w:pBdr>
        <w:spacing w:before="80" w:after="80"/>
      </w:pPr>
      <w:r>
        <w:rPr>
          <w:rFonts w:ascii="Arial" w:cs="Arial" w:eastAsia="Arial" w:hAnsi="Arial"/>
          <w:b w:val="false"/>
          <w:bCs w:val="false"/>
          <w:i w:val="false"/>
          <w:iCs w:val="false"/>
          <w:color w:val="000000"/>
          <w:sz w:val="22"/>
          <w:szCs w:val="22"/>
        </w:rPr>
        <w:t xml:space="preserve"/>
      </w:r>
    </w:p>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0" w:after="200" w:line="276"/>
        <w:jc w:val="center"/>
      </w:pPr>
      <w:r>
        <w:rPr>
          <w:rFonts w:ascii="Arial" w:cs="Arial" w:eastAsia="Arial" w:hAnsi="Arial"/>
          <w:b/>
          <w:bCs/>
          <w:i w:val="false"/>
          <w:iCs w:val="false"/>
          <w:color w:val="1F3864"/>
          <w:sz w:val="52"/>
          <w:szCs w:val="52"/>
        </w:rPr>
        <w:t xml:space="preserve">Baltimore City Transit Equity Analysis</w:t>
      </w:r>
    </w:p>
    <w:p>
      <w:pPr>
        <w:spacing w:before="0" w:after="100" w:line="276"/>
        <w:jc w:val="center"/>
      </w:pPr>
      <w:r>
        <w:rPr>
          <w:rFonts w:ascii="Arial" w:cs="Arial" w:eastAsia="Arial" w:hAnsi="Arial"/>
          <w:b w:val="false"/>
          <w:bCs w:val="false"/>
          <w:i w:val="false"/>
          <w:iCs w:val="false"/>
          <w:color w:val="2E75B6"/>
          <w:sz w:val="28"/>
          <w:szCs w:val="28"/>
        </w:rPr>
        <w:t xml:space="preserve">Complete Compendium of Analytical Findings</w:t>
      </w:r>
    </w:p>
    <w:p>
      <w:pPr>
        <w:spacing w:before="0" w:after="100" w:line="276"/>
        <w:jc w:val="left"/>
      </w:pPr>
      <w:r>
        <w:rPr>
          <w:rFonts w:ascii="Arial" w:cs="Arial" w:eastAsia="Arial" w:hAnsi="Arial"/>
          <w:b w:val="false"/>
          <w:bCs w:val="false"/>
          <w:i w:val="false"/>
          <w:iCs w:val="false"/>
          <w:color w:val="000000"/>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Author</w:t>
            </w:r>
          </w:p>
        </w:tc>
        <w:tc>
          <w:tcPr>
            <w:tcW w:type="dxa" w:w="4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Nathaniel K.A. Stephens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Program</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MSc Urban Transportation — Morgan State University</w:t>
            </w:r>
          </w:p>
        </w:tc>
      </w:tr>
      <w:tr>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Date</w:t>
            </w:r>
          </w:p>
        </w:tc>
        <w:tc>
          <w:tcPr>
            <w:tcW w:type="dxa" w:w="4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March 2026</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Study Area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Baltimore City, Maryland</w:t>
            </w:r>
          </w:p>
        </w:tc>
      </w:tr>
      <w:tr>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Data</w:t>
            </w:r>
          </w:p>
        </w:tc>
        <w:tc>
          <w:tcPr>
            <w:tcW w:type="dxa" w:w="4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MTA GTFS 2024 · US Census ACS 2020 5-year · OSM 2024</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CRS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EPSG 2248 — NAD 1983 StatePlane Maryland</w:t>
            </w:r>
          </w:p>
        </w:tc>
      </w:tr>
      <w:tr>
        <w:tc>
          <w:tcPr>
            <w:tcW w:type="dxa" w:w="24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Tracts</w:t>
            </w:r>
          </w:p>
        </w:tc>
        <w:tc>
          <w:tcPr>
            <w:tcW w:type="dxa" w:w="48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199 census tracts · 2,678 transit stops analyzed</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0" w:after="100" w:line="276"/>
        <w:jc w:val="left"/>
      </w:pPr>
      <w:r>
        <w:rPr>
          <w:rFonts w:ascii="Arial" w:cs="Arial" w:eastAsia="Arial" w:hAnsi="Arial"/>
          <w:b w:val="false"/>
          <w:bCs w:val="false"/>
          <w:i w:val="false"/>
          <w:iCs w:val="false"/>
          <w:color w:val="000000"/>
          <w:sz w:val="22"/>
          <w:szCs w:val="22"/>
        </w:rPr>
        <w:t xml:space="preserve"/>
      </w:r>
    </w:p>
    <w:p>
      <w:pPr>
        <w:pBdr>
          <w:bottom w:val="single" w:color="1F3864" w:sz="6" w:space="1"/>
        </w:pBdr>
        <w:spacing w:before="80" w:after="80"/>
      </w:pPr>
      <w:r>
        <w:rPr>
          <w:rFonts w:ascii="Arial" w:cs="Arial" w:eastAsia="Arial" w:hAnsi="Arial"/>
          <w:b w:val="false"/>
          <w:bCs w:val="false"/>
          <w:i w:val="false"/>
          <w:iCs w:val="false"/>
          <w:color w:val="000000"/>
          <w:sz w:val="22"/>
          <w:szCs w:val="22"/>
        </w:rPr>
        <w:t xml:space="preserve"/>
      </w:r>
    </w:p>
    <w:p>
      <w:pPr>
        <w:pageBreakBefore/>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bCs/>
          <w:i w:val="false"/>
          <w:iCs w:val="false"/>
          <w:color w:val="1F3864"/>
          <w:sz w:val="32"/>
          <w:szCs w:val="32"/>
        </w:rPr>
        <w:t xml:space="preserve">1. EXECUTIVE SUMMARY OF FINDINGS</w:t>
      </w:r>
    </w:p>
    <w:p>
      <w:pPr>
        <w:pBdr>
          <w:bottom w:val="single" w:color="1F3864" w:sz="6" w:space="1"/>
        </w:pBdr>
        <w:spacing w:before="80" w:after="80"/>
      </w:pPr>
      <w:r>
        <w:rPr>
          <w:rFonts w:ascii="Arial" w:cs="Arial" w:eastAsia="Arial" w:hAnsi="Arial"/>
          <w:b w:val="false"/>
          <w:bCs w:val="false"/>
          <w:i w:val="false"/>
          <w:iCs w:val="false"/>
          <w:color w:val="000000"/>
          <w:sz w:val="22"/>
          <w:szCs w:val="22"/>
        </w:rPr>
        <w:t xml:space="preserve"/>
      </w:r>
    </w:p>
    <w:p>
      <w:pPr>
        <w:spacing w:before="0" w:after="200" w:line="320"/>
        <w:jc w:val="left"/>
      </w:pPr>
      <w:r>
        <w:rPr>
          <w:rFonts w:ascii="Arial" w:cs="Arial" w:eastAsia="Arial" w:hAnsi="Arial"/>
          <w:b w:val="false"/>
          <w:bCs w:val="false"/>
          <w:i w:val="false"/>
          <w:iCs w:val="false"/>
          <w:color w:val="333333"/>
          <w:sz w:val="22"/>
          <w:szCs w:val="22"/>
        </w:rPr>
        <w:t xml:space="preserve">This document consolidates every research question investigated and every analytical finding produced by the Baltimore City Transit Equity Analysis. The project applied six distinct analytical methods to 199 census tracts, 2,678 transit stops, and the full MTA GTFS network. Two formal FTA Title VI disparate impact findings were confirmed.</w:t>
      </w:r>
    </w:p>
    <w:p>
      <w:pPr>
        <w:spacing w:before="200" w:after="80" w:line="276"/>
        <w:jc w:val="left"/>
      </w:pPr>
      <w:r>
        <w:rPr>
          <w:rFonts w:ascii="Arial" w:cs="Arial" w:eastAsia="Arial" w:hAnsi="Arial"/>
          <w:b/>
          <w:bCs/>
          <w:i w:val="false"/>
          <w:iCs w:val="false"/>
          <w:color w:val="1F3864"/>
          <w:sz w:val="24"/>
          <w:szCs w:val="24"/>
        </w:rPr>
        <w:t xml:space="preserve">FTA Title VI Disparate Impact Results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2400"/>
        <w:gridCol w:w="1200"/>
        <w:gridCol w:w="2760"/>
      </w:tblGrid>
      <w:tr>
        <w:tc>
          <w:tcPr>
            <w:tcW w:type="dxa" w:w="2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28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Test</w:t>
            </w:r>
          </w:p>
        </w:tc>
        <w:tc>
          <w:tcPr>
            <w:tcW w:type="dxa" w:w="24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Metric</w:t>
            </w:r>
          </w:p>
        </w:tc>
        <w:tc>
          <w:tcPr>
            <w:tcW w:type="dxa" w:w="12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Ratio</w:t>
            </w:r>
          </w:p>
        </w:tc>
        <w:tc>
          <w:tcPr>
            <w:tcW w:type="dxa" w:w="276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Result</w:t>
            </w:r>
          </w:p>
        </w:tc>
      </w:tr>
      <w:tr>
        <w:tc>
          <w:tcPr>
            <w:tcW w:type="dxa" w:w="2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1</w:t>
            </w:r>
          </w:p>
        </w:tc>
        <w:tc>
          <w:tcPr>
            <w:tcW w:type="dxa" w:w="28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Spatial Coverage — Hispanic Residents in Transit Deserts</w:t>
            </w:r>
          </w:p>
        </w:tc>
        <w:tc>
          <w:tcPr>
            <w:tcW w:type="dxa" w:w="24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Hispanic gap-zone rate vs citywide rate</w:t>
            </w:r>
          </w:p>
        </w:tc>
        <w:tc>
          <w:tcPr>
            <w:tcW w:type="dxa" w:w="12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1.54x</w:t>
            </w:r>
          </w:p>
        </w:tc>
        <w:tc>
          <w:tcPr>
            <w:tcW w:type="dxa" w:w="27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TITLE VI FINDING — exceeds 1.25x FTA threshold</w:t>
            </w:r>
          </w:p>
        </w:tc>
      </w:tr>
      <w:tr>
        <w:tc>
          <w:tcPr>
            <w:tcW w:type="dxa" w:w="2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2</w:t>
            </w:r>
          </w:p>
        </w:tc>
        <w:tc>
          <w:tcPr>
            <w:tcW w:type="dxa" w:w="28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Commute Time Burden — Minority vs Non-Minority Tracts</w:t>
            </w:r>
          </w:p>
        </w:tc>
        <w:tc>
          <w:tcPr>
            <w:tcW w:type="dxa" w:w="24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Minority avg commute vs non-minority avg commute</w:t>
            </w:r>
          </w:p>
        </w:tc>
        <w:tc>
          <w:tcPr>
            <w:tcW w:type="dxa" w:w="12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1.36x</w:t>
            </w:r>
          </w:p>
        </w:tc>
        <w:tc>
          <w:tcPr>
            <w:tcW w:type="dxa" w:w="27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TITLE VI FINDING — exceeds 1.25x FTA threshold</w:t>
            </w:r>
          </w:p>
        </w:tc>
      </w:tr>
      <w:tr>
        <w:tc>
          <w:tcPr>
            <w:tcW w:type="dxa" w:w="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3</w:t>
            </w:r>
          </w:p>
        </w:tc>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Service Frequency — Minority vs Non-Minority Headway</w:t>
            </w:r>
          </w:p>
        </w:tc>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Minority avg headway vs non-minority avg headway</w:t>
            </w:r>
          </w:p>
        </w:tc>
        <w:tc>
          <w:tcPr>
            <w:tcW w:type="dxa" w:w="1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0.62x</w:t>
            </w:r>
          </w:p>
        </w:tc>
        <w:tc>
          <w:tcPr>
            <w:tcW w:type="dxa" w:w="2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8"/>
                <w:szCs w:val="18"/>
              </w:rPr>
              <w:t xml:space="preserve">No finding — minority neighborhoods served MORE frequently</w:t>
            </w:r>
          </w:p>
        </w:tc>
      </w:tr>
      <w:tr>
        <w:tc>
          <w:tcPr>
            <w:tcW w:type="dxa" w:w="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4</w:t>
            </w:r>
          </w:p>
        </w:tc>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Network Connectivity — Equity Quintile Transfer Access</w:t>
            </w:r>
          </w:p>
        </w:tc>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Q1 vs Q5 avg routes per stop (Welch t-test)</w:t>
            </w:r>
          </w:p>
        </w:tc>
        <w:tc>
          <w:tcPr>
            <w:tcW w:type="dxa" w:w="1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p=0.567</w:t>
            </w:r>
          </w:p>
        </w:tc>
        <w:tc>
          <w:tcPr>
            <w:tcW w:type="dxa" w:w="2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8"/>
                <w:szCs w:val="18"/>
              </w:rPr>
              <w:t xml:space="preserve">No finding — connectivity equitably distributed (NS)</w:t>
            </w:r>
          </w:p>
        </w:tc>
      </w:tr>
    </w:tbl>
    <w:p>
      <w:pPr>
        <w:pageBreakBefore/>
      </w:pPr>
      <w:r>
        <w:rPr>
          <w:rFonts w:ascii="Arial" w:cs="Arial" w:eastAsia="Arial" w:hAnsi="Arial"/>
          <w:b w:val="false"/>
          <w:bCs w:val="false"/>
          <w:i w:val="false"/>
          <w:iCs w:val="false"/>
          <w:color w:val="000000"/>
          <w:sz w:val="22"/>
          <w:szCs w:val="22"/>
        </w:rPr>
        <w:t xml:space="preserve"/>
      </w:r>
    </w:p>
    <w:p>
      <w:pPr>
        <w:spacing w:before="0" w:after="60" w:line="276"/>
        <w:jc w:val="left"/>
      </w:pPr>
      <w:r>
        <w:rPr>
          <w:rFonts w:ascii="Arial" w:cs="Arial" w:eastAsia="Arial" w:hAnsi="Arial"/>
          <w:b/>
          <w:bCs/>
          <w:i w:val="false"/>
          <w:iCs w:val="false"/>
          <w:color w:val="1F3864"/>
          <w:sz w:val="32"/>
          <w:szCs w:val="32"/>
        </w:rPr>
        <w:t xml:space="preserve">2. SPATIAL COVERAGE GAP ANALYSIS</w:t>
      </w:r>
    </w:p>
    <w:p>
      <w:pPr>
        <w:spacing w:before="0" w:after="120" w:line="276"/>
        <w:jc w:val="left"/>
      </w:pPr>
      <w:r>
        <w:rPr>
          <w:rFonts w:ascii="Arial" w:cs="Arial" w:eastAsia="Arial" w:hAnsi="Arial"/>
          <w:b w:val="false"/>
          <w:bCs w:val="false"/>
          <w:i/>
          <w:iCs/>
          <w:color w:val="6B6457"/>
          <w:sz w:val="18"/>
          <w:szCs w:val="18"/>
        </w:rPr>
        <w:t xml:space="preserve">Analysis 08 — Script: 08_gap_analysis.py</w:t>
      </w:r>
    </w:p>
    <w:p>
      <w:pPr>
        <w:pBdr>
          <w:bottom w:val="single" w:color="2E75B6" w:sz="6" w:space="1"/>
        </w:pBdr>
        <w:spacing w:before="80" w:after="80"/>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6"/>
          <w:szCs w:val="26"/>
        </w:rPr>
        <w:t xml:space="preserve">Research Questions</w:t>
      </w:r>
    </w:p>
    <w:p>
      <w:pPr>
        <w:spacing w:before="180" w:after="80" w:line="276"/>
        <w:jc w:val="left"/>
      </w:pPr>
      <w:r>
        <w:rPr>
          <w:rFonts w:ascii="Arial" w:cs="Arial" w:eastAsia="Arial" w:hAnsi="Arial"/>
          <w:b/>
          <w:bCs/>
          <w:i w:val="false"/>
          <w:iCs w:val="false"/>
          <w:color w:val="1F3864"/>
          <w:sz w:val="21"/>
          <w:szCs w:val="21"/>
        </w:rPr>
        <w:t xml:space="preserve">Q1.  What percentage of Baltimore City land area lacks transit access within a 10-minute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81.4 sq mi</w:t>
            </w:r>
          </w:p>
          <w:p>
            <w:pPr>
              <w:jc w:val="center"/>
            </w:pPr>
            <w:r>
              <w:rPr>
                <w:rFonts w:ascii="Arial" w:cs="Arial" w:eastAsia="Arial" w:hAnsi="Arial"/>
                <w:b w:val="false"/>
                <w:bCs w:val="false"/>
                <w:i w:val="false"/>
                <w:iCs w:val="false"/>
                <w:color w:val="6B6457"/>
                <w:sz w:val="16"/>
                <w:szCs w:val="16"/>
              </w:rPr>
              <w:t xml:space="preserve">City land area</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10.04 sq mi</w:t>
            </w:r>
          </w:p>
          <w:p>
            <w:pPr>
              <w:jc w:val="center"/>
            </w:pPr>
            <w:r>
              <w:rPr>
                <w:rFonts w:ascii="Arial" w:cs="Arial" w:eastAsia="Arial" w:hAnsi="Arial"/>
                <w:b w:val="false"/>
                <w:bCs w:val="false"/>
                <w:i w:val="false"/>
                <w:iCs w:val="false"/>
                <w:color w:val="6B6457"/>
                <w:sz w:val="16"/>
                <w:szCs w:val="16"/>
              </w:rPr>
              <w:t xml:space="preserve">Transit desert (gap)</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12.4%</w:t>
            </w:r>
          </w:p>
          <w:p>
            <w:pPr>
              <w:jc w:val="center"/>
            </w:pPr>
            <w:r>
              <w:rPr>
                <w:rFonts w:ascii="Arial" w:cs="Arial" w:eastAsia="Arial" w:hAnsi="Arial"/>
                <w:b w:val="false"/>
                <w:bCs w:val="false"/>
                <w:i w:val="false"/>
                <w:iCs w:val="false"/>
                <w:color w:val="6B6457"/>
                <w:sz w:val="16"/>
                <w:szCs w:val="16"/>
              </w:rPr>
              <w:t xml:space="preserve">Gap as % of city land</w:t>
            </w:r>
          </w:p>
        </w:tc>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87.6%</w:t>
            </w:r>
          </w:p>
          <w:p>
            <w:pPr>
              <w:jc w:val="center"/>
            </w:pPr>
            <w:r>
              <w:rPr>
                <w:rFonts w:ascii="Arial" w:cs="Arial" w:eastAsia="Arial" w:hAnsi="Arial"/>
                <w:b w:val="false"/>
                <w:bCs w:val="false"/>
                <w:i w:val="false"/>
                <w:iCs w:val="false"/>
                <w:color w:val="6B6457"/>
                <w:sz w:val="16"/>
                <w:szCs w:val="16"/>
              </w:rPr>
              <w:t xml:space="preserve">Coverage</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Q2.  Where are transit desert zones concentrated geographically?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27 tracts</w:t>
            </w:r>
          </w:p>
          <w:p>
            <w:pPr>
              <w:jc w:val="center"/>
            </w:pPr>
            <w:r>
              <w:rPr>
                <w:rFonts w:ascii="Arial" w:cs="Arial" w:eastAsia="Arial" w:hAnsi="Arial"/>
                <w:b w:val="false"/>
                <w:bCs w:val="false"/>
                <w:i w:val="false"/>
                <w:iCs w:val="false"/>
                <w:color w:val="6B6457"/>
                <w:sz w:val="16"/>
                <w:szCs w:val="16"/>
              </w:rPr>
              <w:t xml:space="preserve">Gap-affected tracts</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13.6%</w:t>
            </w:r>
          </w:p>
          <w:p>
            <w:pPr>
              <w:jc w:val="center"/>
            </w:pPr>
            <w:r>
              <w:rPr>
                <w:rFonts w:ascii="Arial" w:cs="Arial" w:eastAsia="Arial" w:hAnsi="Arial"/>
                <w:b w:val="false"/>
                <w:bCs w:val="false"/>
                <w:i w:val="false"/>
                <w:iCs w:val="false"/>
                <w:color w:val="6B6457"/>
                <w:sz w:val="16"/>
                <w:szCs w:val="16"/>
              </w:rPr>
              <w:t xml:space="preserve">Of all tracts</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10 min</w:t>
            </w:r>
          </w:p>
          <w:p>
            <w:pPr>
              <w:jc w:val="center"/>
            </w:pPr>
            <w:r>
              <w:rPr>
                <w:rFonts w:ascii="Arial" w:cs="Arial" w:eastAsia="Arial" w:hAnsi="Arial"/>
                <w:b w:val="false"/>
                <w:bCs w:val="false"/>
                <w:i w:val="false"/>
                <w:iCs w:val="false"/>
                <w:color w:val="6B6457"/>
                <w:sz w:val="16"/>
                <w:szCs w:val="16"/>
              </w:rPr>
              <w:t xml:space="preserve">Walk threshold</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3 mph</w:t>
            </w:r>
          </w:p>
          <w:p>
            <w:pPr>
              <w:jc w:val="center"/>
            </w:pPr>
            <w:r>
              <w:rPr>
                <w:rFonts w:ascii="Arial" w:cs="Arial" w:eastAsia="Arial" w:hAnsi="Arial"/>
                <w:b w:val="false"/>
                <w:bCs w:val="false"/>
                <w:i w:val="false"/>
                <w:iCs w:val="false"/>
                <w:color w:val="6B6457"/>
                <w:sz w:val="16"/>
                <w:szCs w:val="16"/>
              </w:rPr>
              <w:t xml:space="preserve">Walk speed used</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Q3.  Are Hispanic residents disproportionately concentrated in transit desert zones? (FTA Title VI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5.4%</w:t>
            </w:r>
          </w:p>
          <w:p>
            <w:pPr>
              <w:jc w:val="center"/>
            </w:pPr>
            <w:r>
              <w:rPr>
                <w:rFonts w:ascii="Arial" w:cs="Arial" w:eastAsia="Arial" w:hAnsi="Arial"/>
                <w:b w:val="false"/>
                <w:bCs w:val="false"/>
                <w:i w:val="false"/>
                <w:iCs w:val="false"/>
                <w:color w:val="6B6457"/>
                <w:sz w:val="16"/>
                <w:szCs w:val="16"/>
              </w:rPr>
              <w:t xml:space="preserve">Hispanic citywide rate in gap zones</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8.3%</w:t>
            </w:r>
          </w:p>
          <w:p>
            <w:pPr>
              <w:jc w:val="center"/>
            </w:pPr>
            <w:r>
              <w:rPr>
                <w:rFonts w:ascii="Arial" w:cs="Arial" w:eastAsia="Arial" w:hAnsi="Arial"/>
                <w:b w:val="false"/>
                <w:bCs w:val="false"/>
                <w:i w:val="false"/>
                <w:iCs w:val="false"/>
                <w:color w:val="6B6457"/>
                <w:sz w:val="16"/>
                <w:szCs w:val="16"/>
              </w:rPr>
              <w:t xml:space="preserve">Hispanic actual rate in gap zones</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1.54x</w:t>
            </w:r>
          </w:p>
          <w:p>
            <w:pPr>
              <w:jc w:val="center"/>
            </w:pPr>
            <w:r>
              <w:rPr>
                <w:rFonts w:ascii="Arial" w:cs="Arial" w:eastAsia="Arial" w:hAnsi="Arial"/>
                <w:b w:val="false"/>
                <w:bCs w:val="false"/>
                <w:i w:val="false"/>
                <w:iCs w:val="false"/>
                <w:color w:val="6B6457"/>
                <w:sz w:val="16"/>
                <w:szCs w:val="16"/>
              </w:rPr>
              <w:t xml:space="preserve">Disparity ratio</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1.25x</w:t>
            </w:r>
          </w:p>
          <w:p>
            <w:pPr>
              <w:jc w:val="center"/>
            </w:pPr>
            <w:r>
              <w:rPr>
                <w:rFonts w:ascii="Arial" w:cs="Arial" w:eastAsia="Arial" w:hAnsi="Arial"/>
                <w:b w:val="false"/>
                <w:bCs w:val="false"/>
                <w:i w:val="false"/>
                <w:iCs w:val="false"/>
                <w:color w:val="6B6457"/>
                <w:sz w:val="16"/>
                <w:szCs w:val="16"/>
              </w:rPr>
              <w:t xml:space="preserve">FTA threshold</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80" w:after="80" w:line="276"/>
        <w:jc w:val="left"/>
      </w:pPr>
      <w:r>
        <w:rPr>
          <w:rFonts w:ascii="Arial" w:cs="Arial" w:eastAsia="Arial" w:hAnsi="Arial"/>
          <w:b/>
          <w:bCs/>
          <w:i w:val="false"/>
          <w:iCs w:val="false"/>
          <w:color w:val="1F3864"/>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3B30" w:sz="6"/>
              <w:left w:val="single" w:color="B93B30" w:sz="6"/>
              <w:bottom w:val="single" w:color="B93B30" w:sz="6"/>
              <w:right w:val="single" w:color="B93B30" w:sz="6"/>
            </w:tcBorders>
            <w:shd w:fill="FCEAEA" w:val="clear"/>
            <w:tcMar>
              <w:top w:type="dxa" w:w="100"/>
              <w:left w:type="dxa" w:w="200"/>
              <w:bottom w:type="dxa" w:w="100"/>
              <w:right w:type="dxa" w:w="200"/>
            </w:tcMar>
          </w:tcPr>
          <w:p>
            <w:r>
              <w:rPr>
                <w:rFonts w:ascii="Arial" w:cs="Arial" w:eastAsia="Arial" w:hAnsi="Arial"/>
                <w:b/>
                <w:bCs/>
                <w:i w:val="false"/>
                <w:iCs w:val="false"/>
                <w:color w:val="B93B30"/>
                <w:sz w:val="20"/>
                <w:szCs w:val="20"/>
              </w:rPr>
              <w:t xml:space="preserve">TITLE VI FINDING #1 — FTA Circular 4702.1B Disparate Impact Triggered</w:t>
            </w:r>
          </w:p>
        </w:tc>
      </w:tr>
    </w:tbl>
    <w:p>
      <w:pPr>
        <w:spacing w:before="0" w:after="10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5300"/>
        <w:gridCol w:w="900"/>
        <w:gridCol w:w="860"/>
      </w:tblGrid>
      <w:tr>
        <w:tc>
          <w:tcPr>
            <w:tcW w:type="dxa" w:w="7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ID</w:t>
            </w:r>
          </w:p>
        </w:tc>
        <w:tc>
          <w:tcPr>
            <w:tcW w:type="dxa" w:w="16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Category</w:t>
            </w:r>
          </w:p>
        </w:tc>
        <w:tc>
          <w:tcPr>
            <w:tcW w:type="dxa" w:w="53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Finding</w:t>
            </w:r>
          </w:p>
        </w:tc>
        <w:tc>
          <w:tcPr>
            <w:tcW w:type="dxa" w:w="9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86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Type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F-08-01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SPATIAL COVERAGE</w:t>
            </w:r>
          </w:p>
        </w:tc>
        <w:tc>
          <w:tcPr>
            <w:tcW w:type="dxa" w:w="53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87.6% of Baltimore land area is served by transit within a 10-minute walk (3 mph). The remaining 12.4% (10.04 sq mi) constitutes transit desert zones with no stops within walking distance.</w:t>
            </w:r>
          </w:p>
        </w:tc>
        <w:tc>
          <w:tcPr>
            <w:tcW w:type="dxa" w:w="9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FINDING</w:t>
            </w:r>
          </w:p>
        </w:tc>
        <w:tc>
          <w:tcPr>
            <w:tcW w:type="dxa" w:w="8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B93B30"/>
                <w:sz w:val="18"/>
                <w:szCs w:val="18"/>
              </w:rPr>
              <w:t xml:space="preserve">TITLE VI</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F-08-02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GEOGRAPHIC CONCENTRATION</w:t>
            </w:r>
          </w:p>
        </w:tc>
        <w:tc>
          <w:tcPr>
            <w:tcW w:type="dxa" w:w="53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of 199 census tracts (13.6%) are classified as gap-affected, meaning they intersect with transit desert zones. These tracts are concentrated in outer neighborhoods and industrial corridors.</w:t>
            </w:r>
          </w:p>
        </w:tc>
        <w:tc>
          <w:tcPr>
            <w:tcW w:type="dxa" w:w="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c>
          <w:tcPr>
            <w:tcW w:type="dxa" w:w="8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3864"/>
                <w:sz w:val="18"/>
                <w:szCs w:val="18"/>
              </w:rPr>
              <w:t xml:space="preserve">Descriptive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F-08-03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HISPANIC OVERREPRESENTATION</w:t>
            </w:r>
          </w:p>
        </w:tc>
        <w:tc>
          <w:tcPr>
            <w:tcW w:type="dxa" w:w="53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Hispanic residents represent 8.3% of the population in transit desert zones compared to 5.4% citywide — a disparity ratio of 1.54x. This exceeds the FTA Title VI threshold of 1.25x.</w:t>
            </w:r>
          </w:p>
        </w:tc>
        <w:tc>
          <w:tcPr>
            <w:tcW w:type="dxa" w:w="9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FINDING</w:t>
            </w:r>
          </w:p>
        </w:tc>
        <w:tc>
          <w:tcPr>
            <w:tcW w:type="dxa" w:w="8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B93B30"/>
                <w:sz w:val="18"/>
                <w:szCs w:val="18"/>
              </w:rPr>
              <w:t xml:space="preserve">TITLE VI</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F-08-04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NON-HISPANIC WHITE BASELINE</w:t>
            </w:r>
          </w:p>
        </w:tc>
        <w:tc>
          <w:tcPr>
            <w:tcW w:type="dxa" w:w="53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Non-Hispanic White residents are represented at 4.1% of gap zone population vs 3.7% citywide (1.11x). Below the 1.25x threshold — no Title VI finding for this group.</w:t>
            </w:r>
          </w:p>
        </w:tc>
        <w:tc>
          <w:tcPr>
            <w:tcW w:type="dxa" w:w="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c>
          <w:tcPr>
            <w:tcW w:type="dxa" w:w="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F-08-05</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BLACK RESIDENTS</w:t>
            </w:r>
          </w:p>
        </w:tc>
        <w:tc>
          <w:tcPr>
            <w:tcW w:type="dxa" w:w="53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Black/African American residents appear in gap zones at 6.2% vs 5.8% citywide (1.07x). Below the 1.25x threshold — no Title VI finding.</w:t>
            </w:r>
          </w:p>
        </w:tc>
        <w:tc>
          <w:tcPr>
            <w:tcW w:type="dxa" w:w="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c>
          <w:tcPr>
            <w:tcW w:type="dxa" w:w="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r>
    </w:tbl>
    <w:p>
      <w:pPr>
        <w:pageBreakBefore/>
      </w:pPr>
      <w:r>
        <w:rPr>
          <w:rFonts w:ascii="Arial" w:cs="Arial" w:eastAsia="Arial" w:hAnsi="Arial"/>
          <w:b w:val="false"/>
          <w:bCs w:val="false"/>
          <w:i w:val="false"/>
          <w:iCs w:val="false"/>
          <w:color w:val="000000"/>
          <w:sz w:val="22"/>
          <w:szCs w:val="22"/>
        </w:rPr>
        <w:t xml:space="preserve"/>
      </w:r>
    </w:p>
    <w:p>
      <w:pPr>
        <w:spacing w:before="0" w:after="60" w:line="276"/>
        <w:jc w:val="left"/>
      </w:pPr>
      <w:r>
        <w:rPr>
          <w:rFonts w:ascii="Arial" w:cs="Arial" w:eastAsia="Arial" w:hAnsi="Arial"/>
          <w:b/>
          <w:bCs/>
          <w:i w:val="false"/>
          <w:iCs w:val="false"/>
          <w:color w:val="1F3864"/>
          <w:sz w:val="32"/>
          <w:szCs w:val="32"/>
        </w:rPr>
        <w:t xml:space="preserve">3. SERVICE FREQUENCY &amp; DESERT DEMOGRAPHICS</w:t>
      </w:r>
    </w:p>
    <w:p>
      <w:pPr>
        <w:spacing w:before="0" w:after="120" w:line="276"/>
        <w:jc w:val="left"/>
      </w:pPr>
      <w:r>
        <w:rPr>
          <w:rFonts w:ascii="Arial" w:cs="Arial" w:eastAsia="Arial" w:hAnsi="Arial"/>
          <w:b w:val="false"/>
          <w:bCs w:val="false"/>
          <w:i/>
          <w:iCs/>
          <w:color w:val="6B6457"/>
          <w:sz w:val="18"/>
          <w:szCs w:val="18"/>
        </w:rPr>
        <w:t xml:space="preserve">Analysis 09 — Script: 09_desert_demographics.py | Analysis 13 — Script: 13_frequency_analysis.py</w:t>
      </w:r>
    </w:p>
    <w:p>
      <w:pPr>
        <w:pBdr>
          <w:bottom w:val="single" w:color="2E75B6" w:sz="6" w:space="1"/>
        </w:pBdr>
        <w:spacing w:before="80" w:after="80"/>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6"/>
          <w:szCs w:val="26"/>
        </w:rPr>
        <w:t xml:space="preserve">Research Questions</w:t>
      </w:r>
    </w:p>
    <w:p>
      <w:pPr>
        <w:spacing w:before="180" w:after="80" w:line="276"/>
        <w:jc w:val="left"/>
      </w:pPr>
      <w:r>
        <w:rPr>
          <w:rFonts w:ascii="Arial" w:cs="Arial" w:eastAsia="Arial" w:hAnsi="Arial"/>
          <w:b/>
          <w:bCs/>
          <w:i w:val="false"/>
          <w:iCs w:val="false"/>
          <w:color w:val="1F3864"/>
          <w:sz w:val="21"/>
          <w:szCs w:val="21"/>
        </w:rPr>
        <w:t xml:space="preserve">Q4.  What is the distribution of service frequency (headway) across Baltimore transit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312</w:t>
            </w:r>
          </w:p>
          <w:p>
            <w:pPr>
              <w:jc w:val="center"/>
            </w:pPr>
            <w:r>
              <w:rPr>
                <w:rFonts w:ascii="Arial" w:cs="Arial" w:eastAsia="Arial" w:hAnsi="Arial"/>
                <w:b w:val="false"/>
                <w:bCs w:val="false"/>
                <w:i w:val="false"/>
                <w:iCs w:val="false"/>
                <w:color w:val="6B6457"/>
                <w:sz w:val="16"/>
                <w:szCs w:val="16"/>
              </w:rPr>
              <w:t xml:space="preserve">High (≤10 min)</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891</w:t>
            </w:r>
          </w:p>
          <w:p>
            <w:pPr>
              <w:jc w:val="center"/>
            </w:pPr>
            <w:r>
              <w:rPr>
                <w:rFonts w:ascii="Arial" w:cs="Arial" w:eastAsia="Arial" w:hAnsi="Arial"/>
                <w:b w:val="false"/>
                <w:bCs w:val="false"/>
                <w:i w:val="false"/>
                <w:iCs w:val="false"/>
                <w:color w:val="6B6457"/>
                <w:sz w:val="16"/>
                <w:szCs w:val="16"/>
              </w:rPr>
              <w:t xml:space="preserve">Moderate (≤20 min)</w:t>
            </w:r>
          </w:p>
        </w:tc>
        <w:tc>
          <w:tcPr>
            <w:tcW w:type="dxa" w:w="2340"/>
            <w:tcBorders>
              <w:top w:val="single" w:color="C8611A" w:sz="4"/>
              <w:left w:val="single" w:color="C8611A" w:sz="4"/>
              <w:bottom w:val="single" w:color="C8611A" w:sz="4"/>
              <w:right w:val="single" w:color="C8611A" w:sz="4"/>
            </w:tcBorders>
            <w:shd w:fill="FEF3EC" w:val="clear"/>
            <w:tcMar>
              <w:top w:type="dxa" w:w="120"/>
              <w:left w:type="dxa" w:w="140"/>
              <w:bottom w:type="dxa" w:w="120"/>
              <w:right w:type="dxa" w:w="140"/>
            </w:tcMar>
          </w:tcPr>
          <w:p>
            <w:pPr>
              <w:jc w:val="center"/>
            </w:pPr>
            <w:r>
              <w:rPr>
                <w:rFonts w:ascii="Arial" w:cs="Arial" w:eastAsia="Arial" w:hAnsi="Arial"/>
                <w:b/>
                <w:bCs/>
                <w:i w:val="false"/>
                <w:iCs w:val="false"/>
                <w:color w:val="C8611A"/>
                <w:sz w:val="26"/>
                <w:szCs w:val="26"/>
              </w:rPr>
              <w:t xml:space="preserve">738</w:t>
            </w:r>
          </w:p>
          <w:p>
            <w:pPr>
              <w:jc w:val="center"/>
            </w:pPr>
            <w:r>
              <w:rPr>
                <w:rFonts w:ascii="Arial" w:cs="Arial" w:eastAsia="Arial" w:hAnsi="Arial"/>
                <w:b w:val="false"/>
                <w:bCs w:val="false"/>
                <w:i w:val="false"/>
                <w:iCs w:val="false"/>
                <w:color w:val="6B6457"/>
                <w:sz w:val="16"/>
                <w:szCs w:val="16"/>
              </w:rPr>
              <w:t xml:space="preserve">Low (≤30 min)</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737</w:t>
            </w:r>
          </w:p>
          <w:p>
            <w:pPr>
              <w:jc w:val="center"/>
            </w:pPr>
            <w:r>
              <w:rPr>
                <w:rFonts w:ascii="Arial" w:cs="Arial" w:eastAsia="Arial" w:hAnsi="Arial"/>
                <w:b w:val="false"/>
                <w:bCs w:val="false"/>
                <w:i w:val="false"/>
                <w:iCs w:val="false"/>
                <w:color w:val="6B6457"/>
                <w:sz w:val="16"/>
                <w:szCs w:val="16"/>
              </w:rPr>
              <w:t xml:space="preserve">Infrequent (&gt;30 min)</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Q5.  How many census tracts qualify as "frequency gap" tracts (avg headway &gt;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18</w:t>
            </w:r>
          </w:p>
          <w:p>
            <w:pPr>
              <w:jc w:val="center"/>
            </w:pPr>
            <w:r>
              <w:rPr>
                <w:rFonts w:ascii="Arial" w:cs="Arial" w:eastAsia="Arial" w:hAnsi="Arial"/>
                <w:b w:val="false"/>
                <w:bCs w:val="false"/>
                <w:i w:val="false"/>
                <w:iCs w:val="false"/>
                <w:color w:val="6B6457"/>
                <w:sz w:val="16"/>
                <w:szCs w:val="16"/>
              </w:rPr>
              <w:t xml:space="preserve">Frequency gap tracts</w:t>
            </w:r>
          </w:p>
        </w:tc>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181</w:t>
            </w:r>
          </w:p>
          <w:p>
            <w:pPr>
              <w:jc w:val="center"/>
            </w:pPr>
            <w:r>
              <w:rPr>
                <w:rFonts w:ascii="Arial" w:cs="Arial" w:eastAsia="Arial" w:hAnsi="Arial"/>
                <w:b w:val="false"/>
                <w:bCs w:val="false"/>
                <w:i w:val="false"/>
                <w:iCs w:val="false"/>
                <w:color w:val="6B6457"/>
                <w:sz w:val="16"/>
                <w:szCs w:val="16"/>
              </w:rPr>
              <w:t xml:space="preserve">Well-served tracts</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&gt; 20 min</w:t>
            </w:r>
          </w:p>
          <w:p>
            <w:pPr>
              <w:jc w:val="center"/>
            </w:pPr>
            <w:r>
              <w:rPr>
                <w:rFonts w:ascii="Arial" w:cs="Arial" w:eastAsia="Arial" w:hAnsi="Arial"/>
                <w:b w:val="false"/>
                <w:bCs w:val="false"/>
                <w:i w:val="false"/>
                <w:iCs w:val="false"/>
                <w:color w:val="6B6457"/>
                <w:sz w:val="16"/>
                <w:szCs w:val="16"/>
              </w:rPr>
              <w:t xml:space="preserve">Gap threshold</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2,678</w:t>
            </w:r>
          </w:p>
          <w:p>
            <w:pPr>
              <w:jc w:val="center"/>
            </w:pPr>
            <w:r>
              <w:rPr>
                <w:rFonts w:ascii="Arial" w:cs="Arial" w:eastAsia="Arial" w:hAnsi="Arial"/>
                <w:b w:val="false"/>
                <w:bCs w:val="false"/>
                <w:i w:val="false"/>
                <w:iCs w:val="false"/>
                <w:color w:val="6B6457"/>
                <w:sz w:val="16"/>
                <w:szCs w:val="16"/>
              </w:rPr>
              <w:t xml:space="preserve">Total stops analyzed</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Q6.  Is there a statistically significant relationship between service frequency and neighborhood equity? (The Frequency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-0.356</w:t>
            </w:r>
          </w:p>
          <w:p>
            <w:pPr>
              <w:jc w:val="center"/>
            </w:pPr>
            <w:r>
              <w:rPr>
                <w:rFonts w:ascii="Arial" w:cs="Arial" w:eastAsia="Arial" w:hAnsi="Arial"/>
                <w:b w:val="false"/>
                <w:bCs w:val="false"/>
                <w:i w:val="false"/>
                <w:iCs w:val="false"/>
                <w:color w:val="6B6457"/>
                <w:sz w:val="16"/>
                <w:szCs w:val="16"/>
              </w:rPr>
              <w:t xml:space="preserve">Pearson r</w:t>
            </w:r>
          </w:p>
        </w:tc>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&lt; 0.001</w:t>
            </w:r>
          </w:p>
          <w:p>
            <w:pPr>
              <w:jc w:val="center"/>
            </w:pPr>
            <w:r>
              <w:rPr>
                <w:rFonts w:ascii="Arial" w:cs="Arial" w:eastAsia="Arial" w:hAnsi="Arial"/>
                <w:b w:val="false"/>
                <w:bCs w:val="false"/>
                <w:i w:val="false"/>
                <w:iCs w:val="false"/>
                <w:color w:val="6B6457"/>
                <w:sz w:val="16"/>
                <w:szCs w:val="16"/>
              </w:rPr>
              <w:t xml:space="preserve">p-value</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Negative</w:t>
            </w:r>
          </w:p>
          <w:p>
            <w:pPr>
              <w:jc w:val="center"/>
            </w:pPr>
            <w:r>
              <w:rPr>
                <w:rFonts w:ascii="Arial" w:cs="Arial" w:eastAsia="Arial" w:hAnsi="Arial"/>
                <w:b w:val="false"/>
                <w:bCs w:val="false"/>
                <w:i w:val="false"/>
                <w:iCs w:val="false"/>
                <w:color w:val="6B6457"/>
                <w:sz w:val="16"/>
                <w:szCs w:val="16"/>
              </w:rPr>
              <w:t xml:space="preserve">Direction</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Vulnerable areas served MORE frequently</w:t>
            </w:r>
          </w:p>
          <w:p>
            <w:pPr>
              <w:jc w:val="center"/>
            </w:pPr>
            <w:r>
              <w:rPr>
                <w:rFonts w:ascii="Arial" w:cs="Arial" w:eastAsia="Arial" w:hAnsi="Arial"/>
                <w:b w:val="false"/>
                <w:bCs w:val="false"/>
                <w:i w:val="false"/>
                <w:iCs w:val="false"/>
                <w:color w:val="6B6457"/>
                <w:sz w:val="16"/>
                <w:szCs w:val="16"/>
              </w:rPr>
              <w:t xml:space="preserve">Interpretation</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80" w:after="80" w:line="276"/>
        <w:jc w:val="left"/>
      </w:pPr>
      <w:r>
        <w:rPr>
          <w:rFonts w:ascii="Arial" w:cs="Arial" w:eastAsia="Arial" w:hAnsi="Arial"/>
          <w:b/>
          <w:bCs/>
          <w:i w:val="false"/>
          <w:iCs w:val="false"/>
          <w:color w:val="1F3864"/>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r>
              <w:rPr>
                <w:rFonts w:ascii="Arial" w:cs="Arial" w:eastAsia="Arial" w:hAnsi="Arial"/>
                <w:b/>
                <w:bCs/>
                <w:i w:val="false"/>
                <w:iCs w:val="false"/>
                <w:color w:val="2E75B6"/>
                <w:sz w:val="20"/>
                <w:szCs w:val="20"/>
              </w:rPr>
              <w:t xml:space="preserve">THE FREQUENCY PARADOX — Counterintuitive but statistically confirmed: r = -0.356, p &lt; 0.001</w:t>
            </w:r>
          </w:p>
        </w:tc>
      </w:tr>
    </w:tbl>
    <w:p>
      <w:pPr>
        <w:spacing w:before="0" w:after="10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160"/>
        <w:gridCol w:w="1060"/>
        <w:gridCol w:w="640"/>
      </w:tblGrid>
      <w:tr>
        <w:tc>
          <w:tcPr>
            <w:tcW w:type="dxa" w:w="7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ID</w:t>
            </w:r>
          </w:p>
        </w:tc>
        <w:tc>
          <w:tcPr>
            <w:tcW w:type="dxa" w:w="18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Category</w:t>
            </w:r>
          </w:p>
        </w:tc>
        <w:tc>
          <w:tcPr>
            <w:tcW w:type="dxa" w:w="516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Finding</w:t>
            </w:r>
          </w:p>
        </w:tc>
        <w:tc>
          <w:tcPr>
            <w:tcW w:type="dxa" w:w="106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64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Type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F-09-01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FREQUENCY PARADOX</w:t>
            </w:r>
          </w:p>
        </w:tc>
        <w:tc>
          <w:tcPr>
            <w:tcW w:type="dxa" w:w="5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MTA provides MORE frequent service to more vulnerable neighborhoods. The Pearson r = -0.356 between Equity Score and average headway is statistically significant (p &lt; 0.001). Higher vulnerability predicts lower headway (better service).</w:t>
            </w:r>
          </w:p>
        </w:tc>
        <w:tc>
          <w:tcPr>
            <w:tcW w:type="dxa" w:w="10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Counterintuitive</w:t>
            </w:r>
          </w:p>
        </w:tc>
        <w:tc>
          <w:tcPr>
            <w:tcW w:type="dxa" w:w="6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F-09-02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Q1 vs Q5 HEADWAY</w:t>
            </w:r>
          </w:p>
        </w:tc>
        <w:tc>
          <w:tcPr>
            <w:tcW w:type="dxa" w:w="5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The wealthiest quintile (Q1) averages 25.3 min headway. The most vulnerable quintile (Q5) averages 17.2 min headway. Q5 residents receive 8.1 minutes better average frequency than Q1.</w:t>
            </w:r>
          </w:p>
        </w:tc>
        <w:tc>
          <w:tcPr>
            <w:tcW w:type="dxa" w:w="10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c>
          <w:tcPr>
            <w:tcW w:type="dxa" w:w="6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F-09-03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TITLE VI FREQUENCY</w:t>
            </w:r>
          </w:p>
        </w:tc>
        <w:tc>
          <w:tcPr>
            <w:tcW w:type="dxa" w:w="5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FTA Title VI frequency disparity ratio = 0.62x (minority avg headway vs non-minority). Minority residents receive more frequent service. The 0.62x ratio is below the 1.25x threshold — no Title VI finding on frequency.</w:t>
            </w:r>
          </w:p>
        </w:tc>
        <w:tc>
          <w:tcPr>
            <w:tcW w:type="dxa" w:w="10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c>
          <w:tcPr>
            <w:tcW w:type="dxa" w:w="6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8611A"/>
                <w:sz w:val="18"/>
                <w:szCs w:val="18"/>
              </w:rPr>
              <w:t xml:space="preserve">F-09-04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8611A"/>
                <w:sz w:val="18"/>
                <w:szCs w:val="18"/>
              </w:rPr>
              <w:t xml:space="preserve">FREQUENCY GAP TRACTS</w:t>
            </w:r>
          </w:p>
        </w:tc>
        <w:tc>
          <w:tcPr>
            <w:tcW w:type="dxa" w:w="5160"/>
            <w:tcBorders>
              <w:top w:val="single" w:color="CCCCCC" w:sz="4"/>
              <w:left w:val="single" w:color="CCCCCC" w:sz="4"/>
              <w:bottom w:val="single" w:color="CCCCCC" w:sz="4"/>
              <w:right w:val="single" w:color="CCCCCC" w:sz="4"/>
            </w:tcBorders>
            <w:shd w:fill="FE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18 of 199 census tracts (9.0%) are classified as frequency gap tracts (avg headway &gt; 20 min). These tracts are geographically distinct from spatial gap zones, indicating the two equity problems do not overlap significantly.</w:t>
            </w:r>
          </w:p>
        </w:tc>
        <w:tc>
          <w:tcPr>
            <w:tcW w:type="dxa" w:w="1060"/>
            <w:tcBorders>
              <w:top w:val="single" w:color="CCCCCC" w:sz="4"/>
              <w:left w:val="single" w:color="CCCCCC" w:sz="4"/>
              <w:bottom w:val="single" w:color="CCCCCC" w:sz="4"/>
              <w:right w:val="single" w:color="CCCCCC" w:sz="4"/>
            </w:tcBorders>
            <w:shd w:fill="FEF3E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8611A"/>
                <w:sz w:val="18"/>
                <w:szCs w:val="18"/>
              </w:rPr>
              <w:t xml:space="preserve">Descriptive</w:t>
            </w:r>
          </w:p>
        </w:tc>
        <w:tc>
          <w:tcPr>
            <w:tcW w:type="dxa" w:w="640"/>
            <w:tcBorders>
              <w:top w:val="single" w:color="CCCCCC" w:sz="4"/>
              <w:left w:val="single" w:color="CCCCCC" w:sz="4"/>
              <w:bottom w:val="single" w:color="CCCCCC" w:sz="4"/>
              <w:right w:val="single" w:color="CCCCCC" w:sz="4"/>
            </w:tcBorders>
            <w:shd w:fill="FE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F-09-05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FREQUENCY CLASSES</w:t>
            </w:r>
          </w:p>
        </w:tc>
        <w:tc>
          <w:tcPr>
            <w:tcW w:type="dxa" w:w="51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Of 2,678 stops: 11.6% are High frequency (≤10 min), 33.3% Moderate (≤20 min), 27.6% Low (≤30 min), 27.5% Infrequent (&gt;30 min). The AM peak analysis window is 07:00–09:00 on weekday service.</w:t>
            </w:r>
          </w:p>
        </w:tc>
        <w:tc>
          <w:tcPr>
            <w:tcW w:type="dxa" w:w="10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3864"/>
                <w:sz w:val="18"/>
                <w:szCs w:val="18"/>
              </w:rPr>
              <w:t xml:space="preserve">Descriptive</w:t>
            </w:r>
          </w:p>
        </w:tc>
        <w:tc>
          <w:tcPr>
            <w:tcW w:type="dxa" w:w="64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bl>
    <w:p>
      <w:pPr>
        <w:pageBreakBefore/>
      </w:pPr>
      <w:r>
        <w:rPr>
          <w:rFonts w:ascii="Arial" w:cs="Arial" w:eastAsia="Arial" w:hAnsi="Arial"/>
          <w:b w:val="false"/>
          <w:bCs w:val="false"/>
          <w:i w:val="false"/>
          <w:iCs w:val="false"/>
          <w:color w:val="000000"/>
          <w:sz w:val="22"/>
          <w:szCs w:val="22"/>
        </w:rPr>
        <w:t xml:space="preserve"/>
      </w:r>
    </w:p>
    <w:p>
      <w:pPr>
        <w:spacing w:before="0" w:after="60" w:line="276"/>
        <w:jc w:val="left"/>
      </w:pPr>
      <w:r>
        <w:rPr>
          <w:rFonts w:ascii="Arial" w:cs="Arial" w:eastAsia="Arial" w:hAnsi="Arial"/>
          <w:b/>
          <w:bCs/>
          <w:i w:val="false"/>
          <w:iCs w:val="false"/>
          <w:color w:val="1F3864"/>
          <w:sz w:val="32"/>
          <w:szCs w:val="32"/>
        </w:rPr>
        <w:t xml:space="preserve">4. COMMUTE BURDEN &amp; TRAVEL TIME EQUITY</w:t>
      </w:r>
    </w:p>
    <w:p>
      <w:pPr>
        <w:spacing w:before="0" w:after="120" w:line="276"/>
        <w:jc w:val="left"/>
      </w:pPr>
      <w:r>
        <w:rPr>
          <w:rFonts w:ascii="Arial" w:cs="Arial" w:eastAsia="Arial" w:hAnsi="Arial"/>
          <w:b w:val="false"/>
          <w:bCs w:val="false"/>
          <w:i/>
          <w:iCs/>
          <w:color w:val="6B6457"/>
          <w:sz w:val="18"/>
          <w:szCs w:val="18"/>
        </w:rPr>
        <w:t xml:space="preserve">Analysis 10 — Script: 10_travel_time_by_equity.py</w:t>
      </w:r>
    </w:p>
    <w:p>
      <w:pPr>
        <w:pBdr>
          <w:bottom w:val="single" w:color="B93B30" w:sz="6" w:space="1"/>
        </w:pBdr>
        <w:spacing w:before="80" w:after="80"/>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6"/>
          <w:szCs w:val="26"/>
        </w:rPr>
        <w:t xml:space="preserve">Research Questions</w:t>
      </w:r>
    </w:p>
    <w:p>
      <w:pPr>
        <w:spacing w:before="180" w:after="80" w:line="276"/>
        <w:jc w:val="left"/>
      </w:pPr>
      <w:r>
        <w:rPr>
          <w:rFonts w:ascii="Arial" w:cs="Arial" w:eastAsia="Arial" w:hAnsi="Arial"/>
          <w:b/>
          <w:bCs/>
          <w:i w:val="false"/>
          <w:iCs w:val="false"/>
          <w:color w:val="1F3864"/>
          <w:sz w:val="21"/>
          <w:szCs w:val="21"/>
        </w:rPr>
        <w:t xml:space="preserve">Q7.  Is there a statistically significant correlation between neighborhood vulnerability and transit commute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+0.6054</w:t>
            </w:r>
          </w:p>
          <w:p>
            <w:pPr>
              <w:jc w:val="center"/>
            </w:pPr>
            <w:r>
              <w:rPr>
                <w:rFonts w:ascii="Arial" w:cs="Arial" w:eastAsia="Arial" w:hAnsi="Arial"/>
                <w:b w:val="false"/>
                <w:bCs w:val="false"/>
                <w:i w:val="false"/>
                <w:iCs w:val="false"/>
                <w:color w:val="6B6457"/>
                <w:sz w:val="16"/>
                <w:szCs w:val="16"/>
              </w:rPr>
              <w:t xml:space="preserve">Pearson r</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0.367</w:t>
            </w:r>
          </w:p>
          <w:p>
            <w:pPr>
              <w:jc w:val="center"/>
            </w:pPr>
            <w:r>
              <w:rPr>
                <w:rFonts w:ascii="Arial" w:cs="Arial" w:eastAsia="Arial" w:hAnsi="Arial"/>
                <w:b w:val="false"/>
                <w:bCs w:val="false"/>
                <w:i w:val="false"/>
                <w:iCs w:val="false"/>
                <w:color w:val="6B6457"/>
                <w:sz w:val="16"/>
                <w:szCs w:val="16"/>
              </w:rPr>
              <w:t xml:space="preserve">R²</w:t>
            </w:r>
          </w:p>
        </w:tc>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&lt; 0.001</w:t>
            </w:r>
          </w:p>
          <w:p>
            <w:pPr>
              <w:jc w:val="center"/>
            </w:pPr>
            <w:r>
              <w:rPr>
                <w:rFonts w:ascii="Arial" w:cs="Arial" w:eastAsia="Arial" w:hAnsi="Arial"/>
                <w:b w:val="false"/>
                <w:bCs w:val="false"/>
                <w:i w:val="false"/>
                <w:iCs w:val="false"/>
                <w:color w:val="6B6457"/>
                <w:sz w:val="16"/>
                <w:szCs w:val="16"/>
              </w:rPr>
              <w:t xml:space="preserve">p-value</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199</w:t>
            </w:r>
          </w:p>
          <w:p>
            <w:pPr>
              <w:jc w:val="center"/>
            </w:pPr>
            <w:r>
              <w:rPr>
                <w:rFonts w:ascii="Arial" w:cs="Arial" w:eastAsia="Arial" w:hAnsi="Arial"/>
                <w:b w:val="false"/>
                <w:bCs w:val="false"/>
                <w:i w:val="false"/>
                <w:iCs w:val="false"/>
                <w:color w:val="6B6457"/>
                <w:sz w:val="16"/>
                <w:szCs w:val="16"/>
              </w:rPr>
              <w:t xml:space="preserve">n (tracts)</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Q8.  How does average transit commute time vary across equity quintiles Q1 through Q5?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19.7 min</w:t>
            </w:r>
          </w:p>
          <w:p>
            <w:pPr>
              <w:jc w:val="center"/>
            </w:pPr>
            <w:r>
              <w:rPr>
                <w:rFonts w:ascii="Arial" w:cs="Arial" w:eastAsia="Arial" w:hAnsi="Arial"/>
                <w:b w:val="false"/>
                <w:bCs w:val="false"/>
                <w:i w:val="false"/>
                <w:iCs w:val="false"/>
                <w:color w:val="6B6457"/>
                <w:sz w:val="16"/>
                <w:szCs w:val="16"/>
              </w:rPr>
              <w:t xml:space="preserve">Q1 Wealthiest</w:t>
            </w:r>
          </w:p>
        </w:tc>
        <w:tc>
          <w:tcPr>
            <w:tcW w:type="dxa" w:w="1872"/>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23.4 min</w:t>
            </w:r>
          </w:p>
          <w:p>
            <w:pPr>
              <w:jc w:val="center"/>
            </w:pPr>
            <w:r>
              <w:rPr>
                <w:rFonts w:ascii="Arial" w:cs="Arial" w:eastAsia="Arial" w:hAnsi="Arial"/>
                <w:b w:val="false"/>
                <w:bCs w:val="false"/>
                <w:i w:val="false"/>
                <w:iCs w:val="false"/>
                <w:color w:val="6B6457"/>
                <w:sz w:val="16"/>
                <w:szCs w:val="16"/>
              </w:rPr>
              <w:t xml:space="preserve">Q2</w:t>
            </w:r>
          </w:p>
        </w:tc>
        <w:tc>
          <w:tcPr>
            <w:tcW w:type="dxa" w:w="1872"/>
            <w:tcBorders>
              <w:top w:val="single" w:color="C8611A" w:sz="4"/>
              <w:left w:val="single" w:color="C8611A" w:sz="4"/>
              <w:bottom w:val="single" w:color="C8611A" w:sz="4"/>
              <w:right w:val="single" w:color="C8611A" w:sz="4"/>
            </w:tcBorders>
            <w:shd w:fill="FEF3EC" w:val="clear"/>
            <w:tcMar>
              <w:top w:type="dxa" w:w="120"/>
              <w:left w:type="dxa" w:w="140"/>
              <w:bottom w:type="dxa" w:w="120"/>
              <w:right w:type="dxa" w:w="140"/>
            </w:tcMar>
          </w:tcPr>
          <w:p>
            <w:pPr>
              <w:jc w:val="center"/>
            </w:pPr>
            <w:r>
              <w:rPr>
                <w:rFonts w:ascii="Arial" w:cs="Arial" w:eastAsia="Arial" w:hAnsi="Arial"/>
                <w:b/>
                <w:bCs/>
                <w:i w:val="false"/>
                <w:iCs w:val="false"/>
                <w:color w:val="C8611A"/>
                <w:sz w:val="26"/>
                <w:szCs w:val="26"/>
              </w:rPr>
              <w:t xml:space="preserve">24.8 min</w:t>
            </w:r>
          </w:p>
          <w:p>
            <w:pPr>
              <w:jc w:val="center"/>
            </w:pPr>
            <w:r>
              <w:rPr>
                <w:rFonts w:ascii="Arial" w:cs="Arial" w:eastAsia="Arial" w:hAnsi="Arial"/>
                <w:b w:val="false"/>
                <w:bCs w:val="false"/>
                <w:i w:val="false"/>
                <w:iCs w:val="false"/>
                <w:color w:val="6B6457"/>
                <w:sz w:val="16"/>
                <w:szCs w:val="16"/>
              </w:rPr>
              <w:t xml:space="preserve">Q3</w:t>
            </w:r>
          </w:p>
        </w:tc>
        <w:tc>
          <w:tcPr>
            <w:tcW w:type="dxa" w:w="1872"/>
            <w:tcBorders>
              <w:top w:val="single" w:color="C8611A" w:sz="4"/>
              <w:left w:val="single" w:color="C8611A" w:sz="4"/>
              <w:bottom w:val="single" w:color="C8611A" w:sz="4"/>
              <w:right w:val="single" w:color="C8611A" w:sz="4"/>
            </w:tcBorders>
            <w:shd w:fill="FEF3EC" w:val="clear"/>
            <w:tcMar>
              <w:top w:type="dxa" w:w="120"/>
              <w:left w:type="dxa" w:w="140"/>
              <w:bottom w:type="dxa" w:w="120"/>
              <w:right w:type="dxa" w:w="140"/>
            </w:tcMar>
          </w:tcPr>
          <w:p>
            <w:pPr>
              <w:jc w:val="center"/>
            </w:pPr>
            <w:r>
              <w:rPr>
                <w:rFonts w:ascii="Arial" w:cs="Arial" w:eastAsia="Arial" w:hAnsi="Arial"/>
                <w:b/>
                <w:bCs/>
                <w:i w:val="false"/>
                <w:iCs w:val="false"/>
                <w:color w:val="C8611A"/>
                <w:sz w:val="26"/>
                <w:szCs w:val="26"/>
              </w:rPr>
              <w:t xml:space="preserve">26.8 min</w:t>
            </w:r>
          </w:p>
          <w:p>
            <w:pPr>
              <w:jc w:val="center"/>
            </w:pPr>
            <w:r>
              <w:rPr>
                <w:rFonts w:ascii="Arial" w:cs="Arial" w:eastAsia="Arial" w:hAnsi="Arial"/>
                <w:b w:val="false"/>
                <w:bCs w:val="false"/>
                <w:i w:val="false"/>
                <w:iCs w:val="false"/>
                <w:color w:val="6B6457"/>
                <w:sz w:val="16"/>
                <w:szCs w:val="16"/>
              </w:rPr>
              <w:t xml:space="preserve">Q4</w:t>
            </w:r>
          </w:p>
        </w:tc>
        <w:tc>
          <w:tcPr>
            <w:tcW w:type="dxa" w:w="1872"/>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30.9 min</w:t>
            </w:r>
          </w:p>
          <w:p>
            <w:pPr>
              <w:jc w:val="center"/>
            </w:pPr>
            <w:r>
              <w:rPr>
                <w:rFonts w:ascii="Arial" w:cs="Arial" w:eastAsia="Arial" w:hAnsi="Arial"/>
                <w:b w:val="false"/>
                <w:bCs w:val="false"/>
                <w:i w:val="false"/>
                <w:iCs w:val="false"/>
                <w:color w:val="6B6457"/>
                <w:sz w:val="16"/>
                <w:szCs w:val="16"/>
              </w:rPr>
              <w:t xml:space="preserve">Q5 Vulnerable</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Q9.  What is the magnitude of the commute time disparity between the most and least vulnerable quintiles?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+11.2 min</w:t>
            </w:r>
          </w:p>
          <w:p>
            <w:pPr>
              <w:jc w:val="center"/>
            </w:pPr>
            <w:r>
              <w:rPr>
                <w:rFonts w:ascii="Arial" w:cs="Arial" w:eastAsia="Arial" w:hAnsi="Arial"/>
                <w:b w:val="false"/>
                <w:bCs w:val="false"/>
                <w:i w:val="false"/>
                <w:iCs w:val="false"/>
                <w:color w:val="6B6457"/>
                <w:sz w:val="16"/>
                <w:szCs w:val="16"/>
              </w:rPr>
              <w:t xml:space="preserve">Absolute gap (Q5 - Q1)</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+57%</w:t>
            </w:r>
          </w:p>
          <w:p>
            <w:pPr>
              <w:jc w:val="center"/>
            </w:pPr>
            <w:r>
              <w:rPr>
                <w:rFonts w:ascii="Arial" w:cs="Arial" w:eastAsia="Arial" w:hAnsi="Arial"/>
                <w:b w:val="false"/>
                <w:bCs w:val="false"/>
                <w:i w:val="false"/>
                <w:iCs w:val="false"/>
                <w:color w:val="6B6457"/>
                <w:sz w:val="16"/>
                <w:szCs w:val="16"/>
              </w:rPr>
              <w:t xml:space="preserve">Relative gap</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0.205 min per equity pt</w:t>
            </w:r>
          </w:p>
          <w:p>
            <w:pPr>
              <w:jc w:val="center"/>
            </w:pPr>
            <w:r>
              <w:rPr>
                <w:rFonts w:ascii="Arial" w:cs="Arial" w:eastAsia="Arial" w:hAnsi="Arial"/>
                <w:b w:val="false"/>
                <w:bCs w:val="false"/>
                <w:i w:val="false"/>
                <w:iCs w:val="false"/>
                <w:color w:val="6B6457"/>
                <w:sz w:val="16"/>
                <w:szCs w:val="16"/>
              </w:rPr>
              <w:t xml:space="preserve">Regression slope</w:t>
            </w:r>
          </w:p>
        </w:tc>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36.7% of variance</w:t>
            </w:r>
          </w:p>
          <w:p>
            <w:pPr>
              <w:jc w:val="center"/>
            </w:pPr>
            <w:r>
              <w:rPr>
                <w:rFonts w:ascii="Arial" w:cs="Arial" w:eastAsia="Arial" w:hAnsi="Arial"/>
                <w:b w:val="false"/>
                <w:bCs w:val="false"/>
                <w:i w:val="false"/>
                <w:iCs w:val="false"/>
                <w:color w:val="6B6457"/>
                <w:sz w:val="16"/>
                <w:szCs w:val="16"/>
              </w:rPr>
              <w:t xml:space="preserve">Equity score explains</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Q10. Do minority residents face disproportionately longer transit commutes? (FTA Title VI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28.4 min</w:t>
            </w:r>
          </w:p>
          <w:p>
            <w:pPr>
              <w:jc w:val="center"/>
            </w:pPr>
            <w:r>
              <w:rPr>
                <w:rFonts w:ascii="Arial" w:cs="Arial" w:eastAsia="Arial" w:hAnsi="Arial"/>
                <w:b w:val="false"/>
                <w:bCs w:val="false"/>
                <w:i w:val="false"/>
                <w:iCs w:val="false"/>
                <w:color w:val="6B6457"/>
                <w:sz w:val="16"/>
                <w:szCs w:val="16"/>
              </w:rPr>
              <w:t xml:space="preserve">Minority avg commute</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20.9 min</w:t>
            </w:r>
          </w:p>
          <w:p>
            <w:pPr>
              <w:jc w:val="center"/>
            </w:pPr>
            <w:r>
              <w:rPr>
                <w:rFonts w:ascii="Arial" w:cs="Arial" w:eastAsia="Arial" w:hAnsi="Arial"/>
                <w:b w:val="false"/>
                <w:bCs w:val="false"/>
                <w:i w:val="false"/>
                <w:iCs w:val="false"/>
                <w:color w:val="6B6457"/>
                <w:sz w:val="16"/>
                <w:szCs w:val="16"/>
              </w:rPr>
              <w:t xml:space="preserve">Non-minority avg commute</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1.36x</w:t>
            </w:r>
          </w:p>
          <w:p>
            <w:pPr>
              <w:jc w:val="center"/>
            </w:pPr>
            <w:r>
              <w:rPr>
                <w:rFonts w:ascii="Arial" w:cs="Arial" w:eastAsia="Arial" w:hAnsi="Arial"/>
                <w:b w:val="false"/>
                <w:bCs w:val="false"/>
                <w:i w:val="false"/>
                <w:iCs w:val="false"/>
                <w:color w:val="6B6457"/>
                <w:sz w:val="16"/>
                <w:szCs w:val="16"/>
              </w:rPr>
              <w:t xml:space="preserve">Disparity ratio</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1.25x</w:t>
            </w:r>
          </w:p>
          <w:p>
            <w:pPr>
              <w:jc w:val="center"/>
            </w:pPr>
            <w:r>
              <w:rPr>
                <w:rFonts w:ascii="Arial" w:cs="Arial" w:eastAsia="Arial" w:hAnsi="Arial"/>
                <w:b w:val="false"/>
                <w:bCs w:val="false"/>
                <w:i w:val="false"/>
                <w:iCs w:val="false"/>
                <w:color w:val="6B6457"/>
                <w:sz w:val="16"/>
                <w:szCs w:val="16"/>
              </w:rPr>
              <w:t xml:space="preserve">FTA threshold</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80" w:after="80" w:line="276"/>
        <w:jc w:val="left"/>
      </w:pPr>
      <w:r>
        <w:rPr>
          <w:rFonts w:ascii="Arial" w:cs="Arial" w:eastAsia="Arial" w:hAnsi="Arial"/>
          <w:b/>
          <w:bCs/>
          <w:i w:val="false"/>
          <w:iCs w:val="false"/>
          <w:color w:val="1F3864"/>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3B30" w:sz="6"/>
              <w:left w:val="single" w:color="B93B30" w:sz="6"/>
              <w:bottom w:val="single" w:color="B93B30" w:sz="6"/>
              <w:right w:val="single" w:color="B93B30" w:sz="6"/>
            </w:tcBorders>
            <w:shd w:fill="FCEAEA" w:val="clear"/>
            <w:tcMar>
              <w:top w:type="dxa" w:w="100"/>
              <w:left w:type="dxa" w:w="200"/>
              <w:bottom w:type="dxa" w:w="100"/>
              <w:right w:type="dxa" w:w="200"/>
            </w:tcMar>
          </w:tcPr>
          <w:p>
            <w:r>
              <w:rPr>
                <w:rFonts w:ascii="Arial" w:cs="Arial" w:eastAsia="Arial" w:hAnsi="Arial"/>
                <w:b/>
                <w:bCs/>
                <w:i w:val="false"/>
                <w:iCs w:val="false"/>
                <w:color w:val="B93B30"/>
                <w:sz w:val="20"/>
                <w:szCs w:val="20"/>
              </w:rPr>
              <w:t xml:space="preserve">TITLE VI FINDING #2 — Minority residents face 1.36x longer transit commutes (FTA threshold 1.25x)</w:t>
            </w:r>
          </w:p>
        </w:tc>
      </w:tr>
    </w:tbl>
    <w:p>
      <w:pPr>
        <w:spacing w:before="0" w:after="10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5560"/>
        <w:gridCol w:w="900"/>
        <w:gridCol w:w="600"/>
      </w:tblGrid>
      <w:tr>
        <w:tc>
          <w:tcPr>
            <w:tcW w:type="dxa" w:w="7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ID</w:t>
            </w:r>
          </w:p>
        </w:tc>
        <w:tc>
          <w:tcPr>
            <w:tcW w:type="dxa" w:w="16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Category</w:t>
            </w:r>
          </w:p>
        </w:tc>
        <w:tc>
          <w:tcPr>
            <w:tcW w:type="dxa" w:w="556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Finding</w:t>
            </w:r>
          </w:p>
        </w:tc>
        <w:tc>
          <w:tcPr>
            <w:tcW w:type="dxa" w:w="9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6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Type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F-10-01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CORRELATION</w:t>
            </w:r>
          </w:p>
        </w:tc>
        <w:tc>
          <w:tcPr>
            <w:tcW w:type="dxa" w:w="55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Strong positive correlation between equity score and average transit commute time: r = +0.6054, p &lt; 0.001. Equity score alone explains 36.7% of variance in commute time (R² = 0.367). This is the strongest statistical relationship found in the analysis.</w:t>
            </w:r>
          </w:p>
        </w:tc>
        <w:tc>
          <w:tcPr>
            <w:tcW w:type="dxa" w:w="9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FINDING</w:t>
            </w:r>
          </w:p>
        </w:tc>
        <w:tc>
          <w:tcPr>
            <w:tcW w:type="dxa" w:w="6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F-10-02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Q1 vs Q5 GAP</w:t>
            </w:r>
          </w:p>
        </w:tc>
        <w:tc>
          <w:tcPr>
            <w:tcW w:type="dxa" w:w="55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The most vulnerable quintile (Q5) averages 30.9 min vs 19.7 min for the wealthiest (Q1) — an absolute gap of +11.2 minutes and a relative gap of 57%. Every quintile step toward greater vulnerability adds approximately 2.8 minutes of average commute time.</w:t>
            </w:r>
          </w:p>
        </w:tc>
        <w:tc>
          <w:tcPr>
            <w:tcW w:type="dxa" w:w="9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FINDING</w:t>
            </w:r>
          </w:p>
        </w:tc>
        <w:tc>
          <w:tcPr>
            <w:tcW w:type="dxa" w:w="6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F-10-03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MINORITY DISPARITY</w:t>
            </w:r>
          </w:p>
        </w:tc>
        <w:tc>
          <w:tcPr>
            <w:tcW w:type="dxa" w:w="55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Minority-majority tracts (≥50% minority population) average 28.4 min commute vs 20.9 min in non-minority tracts. The 1.36x disparity ratio exceeds the FTA Title VI threshold of 1.25x — formal finding triggered.</w:t>
            </w:r>
          </w:p>
        </w:tc>
        <w:tc>
          <w:tcPr>
            <w:tcW w:type="dxa" w:w="9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FINDING</w:t>
            </w:r>
          </w:p>
        </w:tc>
        <w:tc>
          <w:tcPr>
            <w:tcW w:type="dxa" w:w="6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F-10-04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REGRESSION LINE</w:t>
            </w:r>
          </w:p>
        </w:tc>
        <w:tc>
          <w:tcPr>
            <w:tcW w:type="dxa" w:w="55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The OLS regression equation is: Avg_TravelTime = 0.205 × Equity_Score + 17.8. For each one-point increase in the composite equity vulnerability score (0–100), average commute time increases by approximately 12 seconds.</w:t>
            </w:r>
          </w:p>
        </w:tc>
        <w:tc>
          <w:tcPr>
            <w:tcW w:type="dxa" w:w="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w:t>
            </w:r>
          </w:p>
        </w:tc>
        <w:tc>
          <w:tcPr>
            <w:tcW w:type="dxa" w:w="6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F-10-05</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TRANSIT DEPENDENCY</w:t>
            </w:r>
          </w:p>
        </w:tc>
        <w:tc>
          <w:tcPr>
            <w:tcW w:type="dxa" w:w="55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The travel time burden is compounded by transit dependency: Q5 residents use transit for 27.0% of commutes vs 3.1% for Q1 (8.7x). Q5 residents are also 5.3x more likely to have no vehicle available (51.7% vs 9.8% zero-vehicle households).</w:t>
            </w:r>
          </w:p>
        </w:tc>
        <w:tc>
          <w:tcPr>
            <w:tcW w:type="dxa" w:w="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w:t>
            </w:r>
          </w:p>
        </w:tc>
        <w:tc>
          <w:tcPr>
            <w:tcW w:type="dxa" w:w="6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bl>
    <w:p>
      <w:pPr>
        <w:pageBreakBefore/>
      </w:pPr>
      <w:r>
        <w:rPr>
          <w:rFonts w:ascii="Arial" w:cs="Arial" w:eastAsia="Arial" w:hAnsi="Arial"/>
          <w:b w:val="false"/>
          <w:bCs w:val="false"/>
          <w:i w:val="false"/>
          <w:iCs w:val="false"/>
          <w:color w:val="000000"/>
          <w:sz w:val="22"/>
          <w:szCs w:val="22"/>
        </w:rPr>
        <w:t xml:space="preserve"/>
      </w:r>
    </w:p>
    <w:p>
      <w:pPr>
        <w:spacing w:before="0" w:after="60" w:line="276"/>
        <w:jc w:val="left"/>
      </w:pPr>
      <w:r>
        <w:rPr>
          <w:rFonts w:ascii="Arial" w:cs="Arial" w:eastAsia="Arial" w:hAnsi="Arial"/>
          <w:b/>
          <w:bCs/>
          <w:i w:val="false"/>
          <w:iCs w:val="false"/>
          <w:color w:val="1F3864"/>
          <w:sz w:val="32"/>
          <w:szCs w:val="32"/>
        </w:rPr>
        <w:t xml:space="preserve">5. MODAL ACCESS &amp; BUS DEPENDENCY</w:t>
      </w:r>
    </w:p>
    <w:p>
      <w:pPr>
        <w:spacing w:before="0" w:after="120" w:line="276"/>
        <w:jc w:val="left"/>
      </w:pPr>
      <w:r>
        <w:rPr>
          <w:rFonts w:ascii="Arial" w:cs="Arial" w:eastAsia="Arial" w:hAnsi="Arial"/>
          <w:b w:val="false"/>
          <w:bCs w:val="false"/>
          <w:i/>
          <w:iCs/>
          <w:color w:val="6B6457"/>
          <w:sz w:val="18"/>
          <w:szCs w:val="18"/>
        </w:rPr>
        <w:t xml:space="preserve">Analysis 11 — Script: 11_mode_stops_export.py</w:t>
      </w:r>
    </w:p>
    <w:p>
      <w:pPr>
        <w:pBdr>
          <w:bottom w:val="single" w:color="2E75B6" w:sz="6" w:space="1"/>
        </w:pBdr>
        <w:spacing w:before="80" w:after="80"/>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6"/>
          <w:szCs w:val="26"/>
        </w:rPr>
        <w:t xml:space="preserve">Research Questions</w:t>
      </w:r>
    </w:p>
    <w:p>
      <w:pPr>
        <w:spacing w:before="180" w:after="80" w:line="276"/>
        <w:jc w:val="left"/>
      </w:pPr>
      <w:r>
        <w:rPr>
          <w:rFonts w:ascii="Arial" w:cs="Arial" w:eastAsia="Arial" w:hAnsi="Arial"/>
          <w:b/>
          <w:bCs/>
          <w:i w:val="false"/>
          <w:iCs w:val="false"/>
          <w:color w:val="1F3864"/>
          <w:sz w:val="21"/>
          <w:szCs w:val="21"/>
        </w:rPr>
        <w:t xml:space="preserve">Q11. What is the distribution of transit stops by mode across Baltimore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611A" w:sz="4"/>
              <w:left w:val="single" w:color="C8611A" w:sz="4"/>
              <w:bottom w:val="single" w:color="C8611A" w:sz="4"/>
              <w:right w:val="single" w:color="C8611A" w:sz="4"/>
            </w:tcBorders>
            <w:shd w:fill="FEF3EC" w:val="clear"/>
            <w:tcMar>
              <w:top w:type="dxa" w:w="120"/>
              <w:left w:type="dxa" w:w="140"/>
              <w:bottom w:type="dxa" w:w="120"/>
              <w:right w:type="dxa" w:w="140"/>
            </w:tcMar>
          </w:tcPr>
          <w:p>
            <w:pPr>
              <w:jc w:val="center"/>
            </w:pPr>
            <w:r>
              <w:rPr>
                <w:rFonts w:ascii="Arial" w:cs="Arial" w:eastAsia="Arial" w:hAnsi="Arial"/>
                <w:b/>
                <w:bCs/>
                <w:i w:val="false"/>
                <w:iCs w:val="false"/>
                <w:color w:val="C8611A"/>
                <w:sz w:val="26"/>
                <w:szCs w:val="26"/>
              </w:rPr>
              <w:t xml:space="preserve">2,563</w:t>
            </w:r>
          </w:p>
          <w:p>
            <w:pPr>
              <w:jc w:val="center"/>
            </w:pPr>
            <w:r>
              <w:rPr>
                <w:rFonts w:ascii="Arial" w:cs="Arial" w:eastAsia="Arial" w:hAnsi="Arial"/>
                <w:b w:val="false"/>
                <w:bCs w:val="false"/>
                <w:i w:val="false"/>
                <w:iCs w:val="false"/>
                <w:color w:val="6B6457"/>
                <w:sz w:val="16"/>
                <w:szCs w:val="16"/>
              </w:rPr>
              <w:t xml:space="preserve">Local Bus</w:t>
            </w:r>
          </w:p>
        </w:tc>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31</w:t>
            </w:r>
          </w:p>
          <w:p>
            <w:pPr>
              <w:jc w:val="center"/>
            </w:pPr>
            <w:r>
              <w:rPr>
                <w:rFonts w:ascii="Arial" w:cs="Arial" w:eastAsia="Arial" w:hAnsi="Arial"/>
                <w:b w:val="false"/>
                <w:bCs w:val="false"/>
                <w:i w:val="false"/>
                <w:iCs w:val="false"/>
                <w:color w:val="6B6457"/>
                <w:sz w:val="16"/>
                <w:szCs w:val="16"/>
              </w:rPr>
              <w:t xml:space="preserve">Light Rail</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21</w:t>
            </w:r>
          </w:p>
          <w:p>
            <w:pPr>
              <w:jc w:val="center"/>
            </w:pPr>
            <w:r>
              <w:rPr>
                <w:rFonts w:ascii="Arial" w:cs="Arial" w:eastAsia="Arial" w:hAnsi="Arial"/>
                <w:b w:val="false"/>
                <w:bCs w:val="false"/>
                <w:i w:val="false"/>
                <w:iCs w:val="false"/>
                <w:color w:val="6B6457"/>
                <w:sz w:val="16"/>
                <w:szCs w:val="16"/>
              </w:rPr>
              <w:t xml:space="preserve">Metro Rail</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5</w:t>
            </w:r>
          </w:p>
          <w:p>
            <w:pPr>
              <w:jc w:val="center"/>
            </w:pPr>
            <w:r>
              <w:rPr>
                <w:rFonts w:ascii="Arial" w:cs="Arial" w:eastAsia="Arial" w:hAnsi="Arial"/>
                <w:b w:val="false"/>
                <w:bCs w:val="false"/>
                <w:i w:val="false"/>
                <w:iCs w:val="false"/>
                <w:color w:val="6B6457"/>
                <w:sz w:val="16"/>
                <w:szCs w:val="16"/>
              </w:rPr>
              <w:t xml:space="preserve">MARC Rail</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Q12. What share of census tracts have any rail access? How does this vary by equity quintile?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21</w:t>
            </w:r>
          </w:p>
          <w:p>
            <w:pPr>
              <w:jc w:val="center"/>
            </w:pPr>
            <w:r>
              <w:rPr>
                <w:rFonts w:ascii="Arial" w:cs="Arial" w:eastAsia="Arial" w:hAnsi="Arial"/>
                <w:b w:val="false"/>
                <w:bCs w:val="false"/>
                <w:i w:val="false"/>
                <w:iCs w:val="false"/>
                <w:color w:val="6B6457"/>
                <w:sz w:val="16"/>
                <w:szCs w:val="16"/>
              </w:rPr>
              <w:t xml:space="preserve">Tracts with rail</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10.5%</w:t>
            </w:r>
          </w:p>
          <w:p>
            <w:pPr>
              <w:jc w:val="center"/>
            </w:pPr>
            <w:r>
              <w:rPr>
                <w:rFonts w:ascii="Arial" w:cs="Arial" w:eastAsia="Arial" w:hAnsi="Arial"/>
                <w:b w:val="false"/>
                <w:bCs w:val="false"/>
                <w:i w:val="false"/>
                <w:iCs w:val="false"/>
                <w:color w:val="6B6457"/>
                <w:sz w:val="16"/>
                <w:szCs w:val="16"/>
              </w:rPr>
              <w:t xml:space="preserve">Rail tract share</w:t>
            </w:r>
          </w:p>
        </w:tc>
        <w:tc>
          <w:tcPr>
            <w:tcW w:type="dxa" w:w="2340"/>
            <w:tcBorders>
              <w:top w:val="single" w:color="C8611A" w:sz="4"/>
              <w:left w:val="single" w:color="C8611A" w:sz="4"/>
              <w:bottom w:val="single" w:color="C8611A" w:sz="4"/>
              <w:right w:val="single" w:color="C8611A" w:sz="4"/>
            </w:tcBorders>
            <w:shd w:fill="FEF3EC" w:val="clear"/>
            <w:tcMar>
              <w:top w:type="dxa" w:w="120"/>
              <w:left w:type="dxa" w:w="140"/>
              <w:bottom w:type="dxa" w:w="120"/>
              <w:right w:type="dxa" w:w="140"/>
            </w:tcMar>
          </w:tcPr>
          <w:p>
            <w:pPr>
              <w:jc w:val="center"/>
            </w:pPr>
            <w:r>
              <w:rPr>
                <w:rFonts w:ascii="Arial" w:cs="Arial" w:eastAsia="Arial" w:hAnsi="Arial"/>
                <w:b/>
                <w:bCs/>
                <w:i w:val="false"/>
                <w:iCs w:val="false"/>
                <w:color w:val="C8611A"/>
                <w:sz w:val="26"/>
                <w:szCs w:val="26"/>
              </w:rPr>
              <w:t xml:space="preserve">178</w:t>
            </w:r>
          </w:p>
          <w:p>
            <w:pPr>
              <w:jc w:val="center"/>
            </w:pPr>
            <w:r>
              <w:rPr>
                <w:rFonts w:ascii="Arial" w:cs="Arial" w:eastAsia="Arial" w:hAnsi="Arial"/>
                <w:b w:val="false"/>
                <w:bCs w:val="false"/>
                <w:i w:val="false"/>
                <w:iCs w:val="false"/>
                <w:color w:val="6B6457"/>
                <w:sz w:val="16"/>
                <w:szCs w:val="16"/>
              </w:rPr>
              <w:t xml:space="preserve">Bus-only tracts</w:t>
            </w:r>
          </w:p>
        </w:tc>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95.8%</w:t>
            </w:r>
          </w:p>
          <w:p>
            <w:pPr>
              <w:jc w:val="center"/>
            </w:pPr>
            <w:r>
              <w:rPr>
                <w:rFonts w:ascii="Arial" w:cs="Arial" w:eastAsia="Arial" w:hAnsi="Arial"/>
                <w:b w:val="false"/>
                <w:bCs w:val="false"/>
                <w:i w:val="false"/>
                <w:iCs w:val="false"/>
                <w:color w:val="6B6457"/>
                <w:sz w:val="16"/>
                <w:szCs w:val="16"/>
              </w:rPr>
              <w:t xml:space="preserve">Bus dependency (stops)</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80" w:after="80" w:line="276"/>
        <w:jc w:val="left"/>
      </w:pPr>
      <w:r>
        <w:rPr>
          <w:rFonts w:ascii="Arial" w:cs="Arial" w:eastAsia="Arial" w:hAnsi="Arial"/>
          <w:b/>
          <w:bCs/>
          <w:i w:val="false"/>
          <w:iCs w:val="false"/>
          <w:color w:val="1F3864"/>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060"/>
        <w:gridCol w:w="1000"/>
      </w:tblGrid>
      <w:tr>
        <w:tc>
          <w:tcPr>
            <w:tcW w:type="dxa" w:w="7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ID</w:t>
            </w:r>
          </w:p>
        </w:tc>
        <w:tc>
          <w:tcPr>
            <w:tcW w:type="dxa" w:w="16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Category</w:t>
            </w:r>
          </w:p>
        </w:tc>
        <w:tc>
          <w:tcPr>
            <w:tcW w:type="dxa" w:w="606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Finding</w:t>
            </w:r>
          </w:p>
        </w:tc>
        <w:tc>
          <w:tcPr>
            <w:tcW w:type="dxa" w:w="10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Type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8611A"/>
                <w:sz w:val="18"/>
                <w:szCs w:val="18"/>
              </w:rPr>
              <w:t xml:space="preserve">F-11-01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8611A"/>
                <w:sz w:val="18"/>
                <w:szCs w:val="18"/>
              </w:rPr>
              <w:t xml:space="preserve">BUS DEPENDENCY</w:t>
            </w:r>
          </w:p>
        </w:tc>
        <w:tc>
          <w:tcPr>
            <w:tcW w:type="dxa" w:w="6060"/>
            <w:tcBorders>
              <w:top w:val="single" w:color="CCCCCC" w:sz="4"/>
              <w:left w:val="single" w:color="CCCCCC" w:sz="4"/>
              <w:bottom w:val="single" w:color="CCCCCC" w:sz="4"/>
              <w:right w:val="single" w:color="CCCCCC" w:sz="4"/>
            </w:tcBorders>
            <w:shd w:fill="FE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95.8% of all 2,678 transit stops are local bus stops. Metro Rail, Light Rail, and MARC together account for only 4.2% of the transit network. Baltimore is one of the most bus-dependent transit systems among US cities its size.</w:t>
            </w:r>
          </w:p>
        </w:tc>
        <w:tc>
          <w:tcPr>
            <w:tcW w:type="dxa" w:w="1000"/>
            <w:tcBorders>
              <w:top w:val="single" w:color="CCCCCC" w:sz="4"/>
              <w:left w:val="single" w:color="CCCCCC" w:sz="4"/>
              <w:bottom w:val="single" w:color="CCCCCC" w:sz="4"/>
              <w:right w:val="single" w:color="CCCCCC" w:sz="4"/>
            </w:tcBorders>
            <w:shd w:fill="FEF3E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8611A"/>
                <w:sz w:val="18"/>
                <w:szCs w:val="18"/>
              </w:rPr>
              <w:t xml:space="preserve">Structural</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F-11-02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RAIL COVERAGE</w:t>
            </w:r>
          </w:p>
        </w:tc>
        <w:tc>
          <w:tcPr>
            <w:tcW w:type="dxa" w:w="60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Only 21 of 199 census tracts (10.5%) have any rail transit access. 178 tracts (89.5%) are served exclusively by bus, with no access to higher-capacity, higher-frequency rail options.</w:t>
            </w:r>
          </w:p>
        </w:tc>
        <w:tc>
          <w:tcPr>
            <w:tcW w:type="dxa" w:w="1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Structural</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F-11-03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RAIL BY MODE</w:t>
            </w:r>
          </w:p>
        </w:tc>
        <w:tc>
          <w:tcPr>
            <w:tcW w:type="dxa" w:w="60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Of 57 rail stations within city boundaries: Metro Rail = 21 stations, Light Rail = 31 stations, MARC commuter = 5 stations. The Light Rail provides the broadest geographic coverage but operates on a single north-south corridor.</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3864"/>
                <w:sz w:val="18"/>
                <w:szCs w:val="18"/>
              </w:rPr>
              <w:t xml:space="preserve">Descriptive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8611A"/>
                <w:sz w:val="18"/>
                <w:szCs w:val="18"/>
              </w:rPr>
              <w:t xml:space="preserve">F-11-04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8611A"/>
                <w:sz w:val="18"/>
                <w:szCs w:val="18"/>
              </w:rPr>
              <w:t xml:space="preserve">MODAL EQUITY</w:t>
            </w:r>
          </w:p>
        </w:tc>
        <w:tc>
          <w:tcPr>
            <w:tcW w:type="dxa" w:w="6060"/>
            <w:tcBorders>
              <w:top w:val="single" w:color="CCCCCC" w:sz="4"/>
              <w:left w:val="single" w:color="CCCCCC" w:sz="4"/>
              <w:bottom w:val="single" w:color="CCCCCC" w:sz="4"/>
              <w:right w:val="single" w:color="CCCCCC" w:sz="4"/>
            </w:tcBorders>
            <w:shd w:fill="FE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Rail access is not equitably distributed by quintile. Most rail-served tracts are in downtown and north Baltimore corridors. Many Q4-Q5 peripheral tracts have no rail access — compounding the travel time burden identified in Analysis 10.</w:t>
            </w:r>
          </w:p>
        </w:tc>
        <w:tc>
          <w:tcPr>
            <w:tcW w:type="dxa" w:w="1000"/>
            <w:tcBorders>
              <w:top w:val="single" w:color="CCCCCC" w:sz="4"/>
              <w:left w:val="single" w:color="CCCCCC" w:sz="4"/>
              <w:bottom w:val="single" w:color="CCCCCC" w:sz="4"/>
              <w:right w:val="single" w:color="CCCCCC" w:sz="4"/>
            </w:tcBorders>
            <w:shd w:fill="FEF3E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8611A"/>
                <w:sz w:val="18"/>
                <w:szCs w:val="18"/>
              </w:rPr>
              <w:t xml:space="preserve">Context</w:t>
            </w:r>
          </w:p>
        </w:tc>
      </w:tr>
    </w:tbl>
    <w:p>
      <w:pPr>
        <w:pageBreakBefore/>
      </w:pPr>
      <w:r>
        <w:rPr>
          <w:rFonts w:ascii="Arial" w:cs="Arial" w:eastAsia="Arial" w:hAnsi="Arial"/>
          <w:b w:val="false"/>
          <w:bCs w:val="false"/>
          <w:i w:val="false"/>
          <w:iCs w:val="false"/>
          <w:color w:val="000000"/>
          <w:sz w:val="22"/>
          <w:szCs w:val="22"/>
        </w:rPr>
        <w:t xml:space="preserve"/>
      </w:r>
    </w:p>
    <w:p>
      <w:pPr>
        <w:spacing w:before="0" w:after="60" w:line="276"/>
        <w:jc w:val="left"/>
      </w:pPr>
      <w:r>
        <w:rPr>
          <w:rFonts w:ascii="Arial" w:cs="Arial" w:eastAsia="Arial" w:hAnsi="Arial"/>
          <w:b/>
          <w:bCs/>
          <w:i w:val="false"/>
          <w:iCs w:val="false"/>
          <w:color w:val="1F3864"/>
          <w:sz w:val="32"/>
          <w:szCs w:val="32"/>
        </w:rPr>
        <w:t xml:space="preserve">6. NETWORK CONNECTIVITY ANALYSIS</w:t>
      </w:r>
    </w:p>
    <w:p>
      <w:pPr>
        <w:spacing w:before="0" w:after="120" w:line="276"/>
        <w:jc w:val="left"/>
      </w:pPr>
      <w:r>
        <w:rPr>
          <w:rFonts w:ascii="Arial" w:cs="Arial" w:eastAsia="Arial" w:hAnsi="Arial"/>
          <w:b w:val="false"/>
          <w:bCs w:val="false"/>
          <w:i/>
          <w:iCs/>
          <w:color w:val="6B6457"/>
          <w:sz w:val="18"/>
          <w:szCs w:val="18"/>
        </w:rPr>
        <w:t xml:space="preserve">Analysis 12 — Script: 12_connectivity_analysis.py</w:t>
      </w:r>
    </w:p>
    <w:p>
      <w:pPr>
        <w:pBdr>
          <w:bottom w:val="single" w:color="2E75B6" w:sz="6" w:space="1"/>
        </w:pBdr>
        <w:spacing w:before="80" w:after="80"/>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6"/>
          <w:szCs w:val="26"/>
        </w:rPr>
        <w:t xml:space="preserve">Research Questions</w:t>
      </w:r>
    </w:p>
    <w:p>
      <w:pPr>
        <w:spacing w:before="180" w:after="80" w:line="276"/>
        <w:jc w:val="left"/>
      </w:pPr>
      <w:r>
        <w:rPr>
          <w:rFonts w:ascii="Arial" w:cs="Arial" w:eastAsia="Arial" w:hAnsi="Arial"/>
          <w:b/>
          <w:bCs/>
          <w:i w:val="false"/>
          <w:iCs w:val="false"/>
          <w:color w:val="1F3864"/>
          <w:sz w:val="21"/>
          <w:szCs w:val="21"/>
        </w:rPr>
        <w:t xml:space="preserve">Q13. How many transfer points (stops served by 2+ routes) exist in Baltimore, and how are they distributed?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1,107</w:t>
            </w:r>
          </w:p>
          <w:p>
            <w:pPr>
              <w:jc w:val="center"/>
            </w:pPr>
            <w:r>
              <w:rPr>
                <w:rFonts w:ascii="Arial" w:cs="Arial" w:eastAsia="Arial" w:hAnsi="Arial"/>
                <w:b w:val="false"/>
                <w:bCs w:val="false"/>
                <w:i w:val="false"/>
                <w:iCs w:val="false"/>
                <w:color w:val="6B6457"/>
                <w:sz w:val="16"/>
                <w:szCs w:val="16"/>
              </w:rPr>
              <w:t xml:space="preserve">Total transfer points</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41.3%</w:t>
            </w:r>
          </w:p>
          <w:p>
            <w:pPr>
              <w:jc w:val="center"/>
            </w:pPr>
            <w:r>
              <w:rPr>
                <w:rFonts w:ascii="Arial" w:cs="Arial" w:eastAsia="Arial" w:hAnsi="Arial"/>
                <w:b w:val="false"/>
                <w:bCs w:val="false"/>
                <w:i w:val="false"/>
                <w:iCs w:val="false"/>
                <w:color w:val="6B6457"/>
                <w:sz w:val="16"/>
                <w:szCs w:val="16"/>
              </w:rPr>
              <w:t xml:space="preserve">Of all stops</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2</w:t>
            </w:r>
          </w:p>
          <w:p>
            <w:pPr>
              <w:jc w:val="center"/>
            </w:pPr>
            <w:r>
              <w:rPr>
                <w:rFonts w:ascii="Arial" w:cs="Arial" w:eastAsia="Arial" w:hAnsi="Arial"/>
                <w:b w:val="false"/>
                <w:bCs w:val="false"/>
                <w:i w:val="false"/>
                <w:iCs w:val="false"/>
                <w:color w:val="6B6457"/>
                <w:sz w:val="16"/>
                <w:szCs w:val="16"/>
              </w:rPr>
              <w:t xml:space="preserve">Min routes at point</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14+</w:t>
            </w:r>
          </w:p>
          <w:p>
            <w:pPr>
              <w:jc w:val="center"/>
            </w:pPr>
            <w:r>
              <w:rPr>
                <w:rFonts w:ascii="Arial" w:cs="Arial" w:eastAsia="Arial" w:hAnsi="Arial"/>
                <w:b w:val="false"/>
                <w:bCs w:val="false"/>
                <w:i w:val="false"/>
                <w:iCs w:val="false"/>
                <w:color w:val="6B6457"/>
                <w:sz w:val="16"/>
                <w:szCs w:val="16"/>
              </w:rPr>
              <w:t xml:space="preserve">Max routes at point</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Q14. Is network connectivity (routes per stop) distributed equitably across equity quintiles?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1.46</w:t>
            </w:r>
          </w:p>
          <w:p>
            <w:pPr>
              <w:jc w:val="center"/>
            </w:pPr>
            <w:r>
              <w:rPr>
                <w:rFonts w:ascii="Arial" w:cs="Arial" w:eastAsia="Arial" w:hAnsi="Arial"/>
                <w:b w:val="false"/>
                <w:bCs w:val="false"/>
                <w:i w:val="false"/>
                <w:iCs w:val="false"/>
                <w:color w:val="6B6457"/>
                <w:sz w:val="16"/>
                <w:szCs w:val="16"/>
              </w:rPr>
              <w:t xml:space="preserve">Q1 routes/stop</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1.54</w:t>
            </w:r>
          </w:p>
          <w:p>
            <w:pPr>
              <w:jc w:val="center"/>
            </w:pPr>
            <w:r>
              <w:rPr>
                <w:rFonts w:ascii="Arial" w:cs="Arial" w:eastAsia="Arial" w:hAnsi="Arial"/>
                <w:b w:val="false"/>
                <w:bCs w:val="false"/>
                <w:i w:val="false"/>
                <w:iCs w:val="false"/>
                <w:color w:val="6B6457"/>
                <w:sz w:val="16"/>
                <w:szCs w:val="16"/>
              </w:rPr>
              <w:t xml:space="preserve">Q5 routes/stop</w:t>
            </w:r>
          </w:p>
        </w:tc>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0.567</w:t>
            </w:r>
          </w:p>
          <w:p>
            <w:pPr>
              <w:jc w:val="center"/>
            </w:pPr>
            <w:r>
              <w:rPr>
                <w:rFonts w:ascii="Arial" w:cs="Arial" w:eastAsia="Arial" w:hAnsi="Arial"/>
                <w:b w:val="false"/>
                <w:bCs w:val="false"/>
                <w:i w:val="false"/>
                <w:iCs w:val="false"/>
                <w:color w:val="6B6457"/>
                <w:sz w:val="16"/>
                <w:szCs w:val="16"/>
              </w:rPr>
              <w:t xml:space="preserve">Welch t-test p</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NO</w:t>
            </w:r>
          </w:p>
          <w:p>
            <w:pPr>
              <w:jc w:val="center"/>
            </w:pPr>
            <w:r>
              <w:rPr>
                <w:rFonts w:ascii="Arial" w:cs="Arial" w:eastAsia="Arial" w:hAnsi="Arial"/>
                <w:b w:val="false"/>
                <w:bCs w:val="false"/>
                <w:i w:val="false"/>
                <w:iCs w:val="false"/>
                <w:color w:val="6B6457"/>
                <w:sz w:val="16"/>
                <w:szCs w:val="16"/>
              </w:rPr>
              <w:t xml:space="preserve">Significant?</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80" w:after="80" w:line="276"/>
        <w:jc w:val="left"/>
      </w:pPr>
      <w:r>
        <w:rPr>
          <w:rFonts w:ascii="Arial" w:cs="Arial" w:eastAsia="Arial" w:hAnsi="Arial"/>
          <w:b/>
          <w:bCs/>
          <w:i w:val="false"/>
          <w:iCs w:val="false"/>
          <w:color w:val="1F3864"/>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r>
              <w:rPr>
                <w:rFonts w:ascii="Arial" w:cs="Arial" w:eastAsia="Arial" w:hAnsi="Arial"/>
                <w:b/>
                <w:bCs/>
                <w:i w:val="false"/>
                <w:iCs w:val="false"/>
                <w:color w:val="2E75B6"/>
                <w:sz w:val="20"/>
                <w:szCs w:val="20"/>
              </w:rPr>
              <w:t xml:space="preserve">NO DISPARITY — Connectivity is Baltimore transit's most equitably distributed attribute (p = 0.567, not significant)</w:t>
            </w:r>
          </w:p>
        </w:tc>
      </w:tr>
    </w:tbl>
    <w:p>
      <w:pPr>
        <w:spacing w:before="0" w:after="10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660"/>
        <w:gridCol w:w="1100"/>
      </w:tblGrid>
      <w:tr>
        <w:tc>
          <w:tcPr>
            <w:tcW w:type="dxa" w:w="7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ID</w:t>
            </w:r>
          </w:p>
        </w:tc>
        <w:tc>
          <w:tcPr>
            <w:tcW w:type="dxa" w:w="19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Category</w:t>
            </w:r>
          </w:p>
        </w:tc>
        <w:tc>
          <w:tcPr>
            <w:tcW w:type="dxa" w:w="566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Finding</w:t>
            </w:r>
          </w:p>
        </w:tc>
        <w:tc>
          <w:tcPr>
            <w:tcW w:type="dxa" w:w="11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Type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F-12-01</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TRANSFER DENSITY</w:t>
            </w:r>
          </w:p>
        </w:tc>
        <w:tc>
          <w:tcPr>
            <w:tcW w:type="dxa" w:w="5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1,107 of 2,678 stops (41.3%) are transfer points served by two or more routes. This is a relatively high transfer density suggesting good network integration in served areas.</w:t>
            </w:r>
          </w:p>
        </w:tc>
        <w:tc>
          <w:tcPr>
            <w:tcW w:type="dxa" w:w="11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Descriptive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F-12-02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EQUITY TEST (NS)</w:t>
            </w:r>
          </w:p>
        </w:tc>
        <w:tc>
          <w:tcPr>
            <w:tcW w:type="dxa" w:w="5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Connectivity (avg routes per stop) ranges from 1.46 (Q1) to 1.54 (Q5). The Welch t-test comparing Q1 and Q5 yields p = 0.567 — not statistically significant. No connectivity disparity exists across equity quintiles.</w:t>
            </w:r>
          </w:p>
        </w:tc>
        <w:tc>
          <w:tcPr>
            <w:tcW w:type="dxa" w:w="11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F-12-03</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UNIFORM DISTRIBUTION</w:t>
            </w:r>
          </w:p>
        </w:tc>
        <w:tc>
          <w:tcPr>
            <w:tcW w:type="dxa" w:w="5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Routes per stop is the only network metric that shows no equity gradient. This suggests that MTA route design does not systematically disadvantage any equity quintile in terms of transfer opportunities.</w:t>
            </w:r>
          </w:p>
        </w:tc>
        <w:tc>
          <w:tcPr>
            <w:tcW w:type="dxa" w:w="11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F-12-04</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EQUITY PARADOX CONTEXT</w:t>
            </w:r>
          </w:p>
        </w:tc>
        <w:tc>
          <w:tcPr>
            <w:tcW w:type="dxa" w:w="566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Despite equal connectivity, Q5 residents still face longer commutes (F-10-01). The problem is not how many routes serve a stop but where those routes go — low-income residents live farther from employment centers, increasing total travel time regardless of transfer availability.</w:t>
            </w:r>
          </w:p>
        </w:tc>
        <w:tc>
          <w:tcPr>
            <w:tcW w:type="dxa" w:w="11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F3864"/>
                <w:sz w:val="18"/>
                <w:szCs w:val="18"/>
              </w:rPr>
              <w:t xml:space="preserve">Synthesis</w:t>
            </w:r>
          </w:p>
        </w:tc>
      </w:tr>
    </w:tbl>
    <w:p>
      <w:pPr>
        <w:pageBreakBefore/>
      </w:pPr>
      <w:r>
        <w:rPr>
          <w:rFonts w:ascii="Arial" w:cs="Arial" w:eastAsia="Arial" w:hAnsi="Arial"/>
          <w:b w:val="false"/>
          <w:bCs w:val="false"/>
          <w:i w:val="false"/>
          <w:iCs w:val="false"/>
          <w:color w:val="000000"/>
          <w:sz w:val="22"/>
          <w:szCs w:val="22"/>
        </w:rPr>
        <w:t xml:space="preserve"/>
      </w:r>
    </w:p>
    <w:p>
      <w:pPr>
        <w:spacing w:before="0" w:after="60" w:line="276"/>
        <w:jc w:val="left"/>
      </w:pPr>
      <w:r>
        <w:rPr>
          <w:rFonts w:ascii="Arial" w:cs="Arial" w:eastAsia="Arial" w:hAnsi="Arial"/>
          <w:b/>
          <w:bCs/>
          <w:i w:val="false"/>
          <w:iCs w:val="false"/>
          <w:color w:val="1F3864"/>
          <w:sz w:val="32"/>
          <w:szCs w:val="32"/>
        </w:rPr>
        <w:t xml:space="preserve">7. COMPOSITE EQUITY INDEX &amp; OVERALL NARRATIVE</w:t>
      </w:r>
    </w:p>
    <w:p>
      <w:pPr>
        <w:spacing w:before="0" w:after="120" w:line="276"/>
        <w:jc w:val="left"/>
      </w:pPr>
      <w:r>
        <w:rPr>
          <w:rFonts w:ascii="Arial" w:cs="Arial" w:eastAsia="Arial" w:hAnsi="Arial"/>
          <w:b w:val="false"/>
          <w:bCs w:val="false"/>
          <w:i/>
          <w:iCs/>
          <w:color w:val="6B6457"/>
          <w:sz w:val="18"/>
          <w:szCs w:val="18"/>
        </w:rPr>
        <w:t xml:space="preserve">Synthesis of all six analysis layers — 19 ACS indicators · 199 tracts · Equity_Score 0–100</w:t>
      </w:r>
    </w:p>
    <w:p>
      <w:pPr>
        <w:pBdr>
          <w:bottom w:val="single" w:color="C8611A" w:sz="6" w:space="1"/>
        </w:pBdr>
        <w:spacing w:before="80" w:after="80"/>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6"/>
          <w:szCs w:val="26"/>
        </w:rPr>
        <w:t xml:space="preserve">Research Questions</w:t>
      </w:r>
    </w:p>
    <w:p>
      <w:pPr>
        <w:spacing w:before="180" w:after="80" w:line="276"/>
        <w:jc w:val="left"/>
      </w:pPr>
      <w:r>
        <w:rPr>
          <w:rFonts w:ascii="Arial" w:cs="Arial" w:eastAsia="Arial" w:hAnsi="Arial"/>
          <w:b/>
          <w:bCs/>
          <w:i w:val="false"/>
          <w:iCs w:val="false"/>
          <w:color w:val="1F3864"/>
          <w:sz w:val="21"/>
          <w:szCs w:val="21"/>
        </w:rPr>
        <w:t xml:space="preserve">Q15. What is Baltimore's overall transit equity narrative — what does the full analysis reveal about how the transit system serves vulnerable residents?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2 of 4 tests</w:t>
            </w:r>
          </w:p>
          <w:p>
            <w:pPr>
              <w:jc w:val="center"/>
            </w:pPr>
            <w:r>
              <w:rPr>
                <w:rFonts w:ascii="Arial" w:cs="Arial" w:eastAsia="Arial" w:hAnsi="Arial"/>
                <w:b w:val="false"/>
                <w:bCs w:val="false"/>
                <w:i w:val="false"/>
                <w:iCs w:val="false"/>
                <w:color w:val="6B6457"/>
                <w:sz w:val="16"/>
                <w:szCs w:val="16"/>
              </w:rPr>
              <w:t xml:space="preserve">Title VI findings</w:t>
            </w:r>
          </w:p>
        </w:tc>
        <w:tc>
          <w:tcPr>
            <w:tcW w:type="dxa" w:w="2340"/>
            <w:tcBorders>
              <w:top w:val="single" w:color="C8611A" w:sz="4"/>
              <w:left w:val="single" w:color="C8611A" w:sz="4"/>
              <w:bottom w:val="single" w:color="C8611A" w:sz="4"/>
              <w:right w:val="single" w:color="C8611A" w:sz="4"/>
            </w:tcBorders>
            <w:shd w:fill="FEF3EC" w:val="clear"/>
            <w:tcMar>
              <w:top w:type="dxa" w:w="120"/>
              <w:left w:type="dxa" w:w="140"/>
              <w:bottom w:type="dxa" w:w="120"/>
              <w:right w:type="dxa" w:w="140"/>
            </w:tcMar>
          </w:tcPr>
          <w:p>
            <w:pPr>
              <w:jc w:val="center"/>
            </w:pPr>
            <w:r>
              <w:rPr>
                <w:rFonts w:ascii="Arial" w:cs="Arial" w:eastAsia="Arial" w:hAnsi="Arial"/>
                <w:b/>
                <w:bCs/>
                <w:i w:val="false"/>
                <w:iCs w:val="false"/>
                <w:color w:val="C8611A"/>
                <w:sz w:val="26"/>
                <w:szCs w:val="26"/>
              </w:rPr>
              <w:t xml:space="preserve">Commute burden, not coverage</w:t>
            </w:r>
          </w:p>
          <w:p>
            <w:pPr>
              <w:jc w:val="center"/>
            </w:pPr>
            <w:r>
              <w:rPr>
                <w:rFonts w:ascii="Arial" w:cs="Arial" w:eastAsia="Arial" w:hAnsi="Arial"/>
                <w:b w:val="false"/>
                <w:bCs w:val="false"/>
                <w:i w:val="false"/>
                <w:iCs w:val="false"/>
                <w:color w:val="6B6457"/>
                <w:sz w:val="16"/>
                <w:szCs w:val="16"/>
              </w:rPr>
              <w:t xml:space="preserve">Core problem</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Better frequency for vulnerable areas</w:t>
            </w:r>
          </w:p>
          <w:p>
            <w:pPr>
              <w:jc w:val="center"/>
            </w:pPr>
            <w:r>
              <w:rPr>
                <w:rFonts w:ascii="Arial" w:cs="Arial" w:eastAsia="Arial" w:hAnsi="Arial"/>
                <w:b w:val="false"/>
                <w:bCs w:val="false"/>
                <w:i w:val="false"/>
                <w:iCs w:val="false"/>
                <w:color w:val="6B6457"/>
                <w:sz w:val="16"/>
                <w:szCs w:val="16"/>
              </w:rPr>
              <w:t xml:space="preserve">Counterintuitive</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Spatial mismatch, not service neglect</w:t>
            </w:r>
          </w:p>
          <w:p>
            <w:pPr>
              <w:jc w:val="center"/>
            </w:pPr>
            <w:r>
              <w:rPr>
                <w:rFonts w:ascii="Arial" w:cs="Arial" w:eastAsia="Arial" w:hAnsi="Arial"/>
                <w:b w:val="false"/>
                <w:bCs w:val="false"/>
                <w:i w:val="false"/>
                <w:iCs w:val="false"/>
                <w:color w:val="6B6457"/>
                <w:sz w:val="16"/>
                <w:szCs w:val="16"/>
              </w:rPr>
              <w:t xml:space="preserve">Root cause</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180" w:after="80" w:line="276"/>
        <w:jc w:val="left"/>
      </w:pPr>
      <w:r>
        <w:rPr>
          <w:rFonts w:ascii="Arial" w:cs="Arial" w:eastAsia="Arial" w:hAnsi="Arial"/>
          <w:b/>
          <w:bCs/>
          <w:i w:val="false"/>
          <w:iCs w:val="false"/>
          <w:color w:val="1F3864"/>
          <w:sz w:val="21"/>
          <w:szCs w:val="21"/>
        </w:rPr>
        <w:t xml:space="preserve">Q16. How does the 19-indicator composite Equity Score relate to the specific transit metrics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93B30" w:sz="4"/>
              <w:left w:val="single" w:color="B93B30" w:sz="4"/>
              <w:bottom w:val="single" w:color="B93B30" w:sz="4"/>
              <w:right w:val="single" w:color="B93B30" w:sz="4"/>
            </w:tcBorders>
            <w:shd w:fill="FCEAEA" w:val="clear"/>
            <w:tcMar>
              <w:top w:type="dxa" w:w="120"/>
              <w:left w:type="dxa" w:w="140"/>
              <w:bottom w:type="dxa" w:w="120"/>
              <w:right w:type="dxa" w:w="140"/>
            </w:tcMar>
          </w:tcPr>
          <w:p>
            <w:pPr>
              <w:jc w:val="center"/>
            </w:pPr>
            <w:r>
              <w:rPr>
                <w:rFonts w:ascii="Arial" w:cs="Arial" w:eastAsia="Arial" w:hAnsi="Arial"/>
                <w:b/>
                <w:bCs/>
                <w:i w:val="false"/>
                <w:iCs w:val="false"/>
                <w:color w:val="B93B30"/>
                <w:sz w:val="26"/>
                <w:szCs w:val="26"/>
              </w:rPr>
              <w:t xml:space="preserve">+0.605</w:t>
            </w:r>
          </w:p>
          <w:p>
            <w:pPr>
              <w:jc w:val="center"/>
            </w:pPr>
            <w:r>
              <w:rPr>
                <w:rFonts w:ascii="Arial" w:cs="Arial" w:eastAsia="Arial" w:hAnsi="Arial"/>
                <w:b w:val="false"/>
                <w:bCs w:val="false"/>
                <w:i w:val="false"/>
                <w:iCs w:val="false"/>
                <w:color w:val="6B6457"/>
                <w:sz w:val="16"/>
                <w:szCs w:val="16"/>
              </w:rPr>
              <w:t xml:space="preserve">Equity Score ↔ Travel Time r</w:t>
            </w:r>
          </w:p>
        </w:tc>
        <w:tc>
          <w:tcPr>
            <w:tcW w:type="dxa" w:w="2340"/>
            <w:tcBorders>
              <w:top w:val="single" w:color="2E75B6" w:sz="4"/>
              <w:left w:val="single" w:color="2E75B6" w:sz="4"/>
              <w:bottom w:val="single" w:color="2E75B6" w:sz="4"/>
              <w:right w:val="single" w:color="2E75B6" w:sz="4"/>
            </w:tcBorders>
            <w:shd w:fill="EBF3FB" w:val="clear"/>
            <w:tcMar>
              <w:top w:type="dxa" w:w="120"/>
              <w:left w:type="dxa" w:w="140"/>
              <w:bottom w:type="dxa" w:w="120"/>
              <w:right w:type="dxa" w:w="140"/>
            </w:tcMar>
          </w:tcPr>
          <w:p>
            <w:pPr>
              <w:jc w:val="center"/>
            </w:pPr>
            <w:r>
              <w:rPr>
                <w:rFonts w:ascii="Arial" w:cs="Arial" w:eastAsia="Arial" w:hAnsi="Arial"/>
                <w:b/>
                <w:bCs/>
                <w:i w:val="false"/>
                <w:iCs w:val="false"/>
                <w:color w:val="2E75B6"/>
                <w:sz w:val="26"/>
                <w:szCs w:val="26"/>
              </w:rPr>
              <w:t xml:space="preserve">-0.356</w:t>
            </w:r>
          </w:p>
          <w:p>
            <w:pPr>
              <w:jc w:val="center"/>
            </w:pPr>
            <w:r>
              <w:rPr>
                <w:rFonts w:ascii="Arial" w:cs="Arial" w:eastAsia="Arial" w:hAnsi="Arial"/>
                <w:b w:val="false"/>
                <w:bCs w:val="false"/>
                <w:i w:val="false"/>
                <w:iCs w:val="false"/>
                <w:color w:val="6B6457"/>
                <w:sz w:val="16"/>
                <w:szCs w:val="16"/>
              </w:rPr>
              <w:t xml:space="preserve">Equity Score ↔ Headway r</w:t>
            </w:r>
          </w:p>
        </w:tc>
        <w:tc>
          <w:tcPr>
            <w:tcW w:type="dxa" w:w="2340"/>
            <w:tcBorders>
              <w:top w:val="single" w:color="1E7A4E" w:sz="4"/>
              <w:left w:val="single" w:color="1E7A4E" w:sz="4"/>
              <w:bottom w:val="single" w:color="1E7A4E" w:sz="4"/>
              <w:right w:val="single" w:color="1E7A4E" w:sz="4"/>
            </w:tcBorders>
            <w:shd w:fill="EBF7EF" w:val="clear"/>
            <w:tcMar>
              <w:top w:type="dxa" w:w="120"/>
              <w:left w:type="dxa" w:w="140"/>
              <w:bottom w:type="dxa" w:w="120"/>
              <w:right w:type="dxa" w:w="140"/>
            </w:tcMar>
          </w:tcPr>
          <w:p>
            <w:pPr>
              <w:jc w:val="center"/>
            </w:pPr>
            <w:r>
              <w:rPr>
                <w:rFonts w:ascii="Arial" w:cs="Arial" w:eastAsia="Arial" w:hAnsi="Arial"/>
                <w:b/>
                <w:bCs/>
                <w:i w:val="false"/>
                <w:iCs w:val="false"/>
                <w:color w:val="1E7A4E"/>
                <w:sz w:val="26"/>
                <w:szCs w:val="26"/>
              </w:rPr>
              <w:t xml:space="preserve">~0.02 NS</w:t>
            </w:r>
          </w:p>
          <w:p>
            <w:pPr>
              <w:jc w:val="center"/>
            </w:pPr>
            <w:r>
              <w:rPr>
                <w:rFonts w:ascii="Arial" w:cs="Arial" w:eastAsia="Arial" w:hAnsi="Arial"/>
                <w:b w:val="false"/>
                <w:bCs w:val="false"/>
                <w:i w:val="false"/>
                <w:iCs w:val="false"/>
                <w:color w:val="6B6457"/>
                <w:sz w:val="16"/>
                <w:szCs w:val="16"/>
              </w:rPr>
              <w:t xml:space="preserve">Equity Score ↔ Connectivity r</w:t>
            </w:r>
          </w:p>
        </w:tc>
        <w:tc>
          <w:tcPr>
            <w:tcW w:type="dxa" w:w="2340"/>
            <w:tcBorders>
              <w:top w:val="single" w:color="1F3864" w:sz="4"/>
              <w:left w:val="single" w:color="1F3864" w:sz="4"/>
              <w:bottom w:val="single" w:color="1F3864" w:sz="4"/>
              <w:right w:val="single" w:color="1F3864" w:sz="4"/>
            </w:tcBorders>
            <w:shd w:fill="F7F5F0" w:val="clear"/>
            <w:tcMar>
              <w:top w:type="dxa" w:w="120"/>
              <w:left w:type="dxa" w:w="140"/>
              <w:bottom w:type="dxa" w:w="120"/>
              <w:right w:type="dxa" w:w="140"/>
            </w:tcMar>
          </w:tcPr>
          <w:p>
            <w:pPr>
              <w:jc w:val="center"/>
            </w:pPr>
            <w:r>
              <w:rPr>
                <w:rFonts w:ascii="Arial" w:cs="Arial" w:eastAsia="Arial" w:hAnsi="Arial"/>
                <w:b/>
                <w:bCs/>
                <w:i w:val="false"/>
                <w:iCs w:val="false"/>
                <w:color w:val="1F3864"/>
                <w:sz w:val="26"/>
                <w:szCs w:val="26"/>
              </w:rPr>
              <w:t xml:space="preserve">Travel time (R²=0.367)</w:t>
            </w:r>
          </w:p>
          <w:p>
            <w:pPr>
              <w:jc w:val="center"/>
            </w:pPr>
            <w:r>
              <w:rPr>
                <w:rFonts w:ascii="Arial" w:cs="Arial" w:eastAsia="Arial" w:hAnsi="Arial"/>
                <w:b w:val="false"/>
                <w:bCs w:val="false"/>
                <w:i w:val="false"/>
                <w:iCs w:val="false"/>
                <w:color w:val="6B6457"/>
                <w:sz w:val="16"/>
                <w:szCs w:val="16"/>
              </w:rPr>
              <w:t xml:space="preserve">Strongest predictor</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80" w:after="80" w:line="276"/>
        <w:jc w:val="left"/>
      </w:pPr>
      <w:r>
        <w:rPr>
          <w:rFonts w:ascii="Arial" w:cs="Arial" w:eastAsia="Arial" w:hAnsi="Arial"/>
          <w:b/>
          <w:bCs/>
          <w:i w:val="false"/>
          <w:iCs w:val="false"/>
          <w:color w:val="1F3864"/>
          <w:sz w:val="26"/>
          <w:szCs w:val="26"/>
        </w:rPr>
        <w:t xml:space="preserve">Overall Narrative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11A" w:sz="6"/>
              <w:left w:val="single" w:color="C8611A" w:sz="6"/>
              <w:bottom w:val="single" w:color="C8611A" w:sz="6"/>
              <w:right w:val="single" w:color="C8611A" w:sz="6"/>
            </w:tcBorders>
            <w:shd w:fill="FEF3EC" w:val="clear"/>
            <w:tcMar>
              <w:top w:type="dxa" w:w="100"/>
              <w:left w:type="dxa" w:w="200"/>
              <w:bottom w:type="dxa" w:w="100"/>
              <w:right w:type="dxa" w:w="200"/>
            </w:tcMar>
          </w:tcPr>
          <w:p>
            <w:r>
              <w:rPr>
                <w:rFonts w:ascii="Arial" w:cs="Arial" w:eastAsia="Arial" w:hAnsi="Arial"/>
                <w:b/>
                <w:bCs/>
                <w:i w:val="false"/>
                <w:iCs w:val="false"/>
                <w:color w:val="C8611A"/>
                <w:sz w:val="20"/>
                <w:szCs w:val="20"/>
              </w:rPr>
              <w:t xml:space="preserve">Baltimore's equity problem is commute BURDEN, not service NEGLECT — a critical policy distinction</w:t>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80" w:after="160" w:line="320"/>
        <w:jc w:val="left"/>
      </w:pPr>
      <w:r>
        <w:rPr>
          <w:rFonts w:ascii="Arial" w:cs="Arial" w:eastAsia="Arial" w:hAnsi="Arial"/>
          <w:b w:val="false"/>
          <w:bCs w:val="false"/>
          <w:i w:val="false"/>
          <w:iCs w:val="false"/>
          <w:color w:val="222222"/>
          <w:sz w:val="22"/>
          <w:szCs w:val="22"/>
        </w:rPr>
        <w:t xml:space="preserve">Baltimore MTA's transit equity challenge defies the conventional narrative of underserved minority neighborhoods. The analysis reveals that MTA actually provides more frequent service to vulnerable, low-income neighborhoods (r = -0.356, p &lt; 0.001) — Q5 residents receive 8.1 minutes better average frequency than Q1 residents. Network connectivity is equally distributed (p = 0.567). The service itself is not neglected.</w:t>
      </w:r>
    </w:p>
    <w:p>
      <w:pPr>
        <w:spacing w:before="80" w:after="160" w:line="320"/>
        <w:jc w:val="left"/>
      </w:pPr>
      <w:r>
        <w:rPr>
          <w:rFonts w:ascii="Arial" w:cs="Arial" w:eastAsia="Arial" w:hAnsi="Arial"/>
          <w:b w:val="false"/>
          <w:bCs w:val="false"/>
          <w:i w:val="false"/>
          <w:iCs w:val="false"/>
          <w:color w:val="222222"/>
          <w:sz w:val="22"/>
          <w:szCs w:val="22"/>
        </w:rPr>
        <w:t xml:space="preserve">The true equity problem is commute time burden driven by spatial mismatch. Because low-income and minority residents live disproportionately far from employment centers, they must travel longer regardless of service quality. The 57% longer commute for Q5 vs Q1 residents (r = +0.605, p &lt; 0.001) and the 1.36x minority commute time disparity (Title VI finding) reflect land use patterns and job-housing separation that transit service improvements alone cannot solve.</w:t>
      </w:r>
    </w:p>
    <w:p>
      <w:pPr>
        <w:spacing w:before="80" w:after="160" w:line="320"/>
        <w:jc w:val="left"/>
      </w:pPr>
      <w:r>
        <w:rPr>
          <w:rFonts w:ascii="Arial" w:cs="Arial" w:eastAsia="Arial" w:hAnsi="Arial"/>
          <w:b w:val="false"/>
          <w:bCs w:val="false"/>
          <w:i w:val="false"/>
          <w:iCs w:val="false"/>
          <w:color w:val="222222"/>
          <w:sz w:val="22"/>
          <w:szCs w:val="22"/>
        </w:rPr>
        <w:t xml:space="preserve">The two Title VI findings — Hispanic overrepresentation in transit deserts (1.54x) and minority commute time burden (1.36x) — point toward specific intervention opportunities: (1) extending coverage to the 10.04 sq mi of transit deserts, particularly in Hispanic-concentrated areas, and (2) network redesign that reduces travel time for vulnerable residents, potentially through express routes, frequency improvements on key corridors, or land use policy changes near transit.</w:t>
      </w:r>
    </w:p>
    <w:p>
      <w:pPr>
        <w:pageBreakBefore/>
      </w:pPr>
      <w:r>
        <w:rPr>
          <w:rFonts w:ascii="Arial" w:cs="Arial" w:eastAsia="Arial" w:hAnsi="Arial"/>
          <w:b w:val="false"/>
          <w:bCs w:val="false"/>
          <w:i w:val="false"/>
          <w:iCs w:val="false"/>
          <w:color w:val="000000"/>
          <w:sz w:val="22"/>
          <w:szCs w:val="22"/>
        </w:rPr>
        <w:t xml:space="preserve"/>
      </w:r>
    </w:p>
    <w:p>
      <w:pPr>
        <w:spacing w:before="0" w:after="60" w:line="276"/>
        <w:jc w:val="left"/>
      </w:pPr>
      <w:r>
        <w:rPr>
          <w:rFonts w:ascii="Arial" w:cs="Arial" w:eastAsia="Arial" w:hAnsi="Arial"/>
          <w:b/>
          <w:bCs/>
          <w:i w:val="false"/>
          <w:iCs w:val="false"/>
          <w:color w:val="1F3864"/>
          <w:sz w:val="32"/>
          <w:szCs w:val="32"/>
        </w:rPr>
        <w:t xml:space="preserve">8. MASTER INDEX — ALL RESEARCH QUESTIONS</w:t>
      </w:r>
    </w:p>
    <w:p>
      <w:pPr>
        <w:pBdr>
          <w:bottom w:val="single" w:color="1F3864" w:sz="6" w:space="1"/>
        </w:pBdr>
        <w:spacing w:before="80" w:after="80"/>
      </w:pPr>
      <w:r>
        <w:rPr>
          <w:rFonts w:ascii="Arial" w:cs="Arial" w:eastAsia="Arial" w:hAnsi="Arial"/>
          <w:b w:val="false"/>
          <w:bCs w:val="false"/>
          <w:i w:val="false"/>
          <w:iCs w:val="false"/>
          <w:color w:val="000000"/>
          <w:sz w:val="22"/>
          <w:szCs w:val="22"/>
        </w:rPr>
        <w:t xml:space="preserve"/>
      </w:r>
    </w:p>
    <w:p>
      <w:pPr>
        <w:spacing w:before="0" w:after="160" w:line="276"/>
        <w:jc w:val="left"/>
      </w:pPr>
      <w:r>
        <w:rPr>
          <w:rFonts w:ascii="Arial" w:cs="Arial" w:eastAsia="Arial" w:hAnsi="Arial"/>
          <w:b w:val="false"/>
          <w:bCs w:val="false"/>
          <w:i w:val="false"/>
          <w:iCs w:val="false"/>
          <w:color w:val="6B6457"/>
          <w:sz w:val="22"/>
          <w:szCs w:val="22"/>
        </w:rPr>
        <w:t xml:space="preserve">Complete reference of all 16 research questions and their answers across the six analysis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00"/>
        <w:gridCol w:w="3200"/>
        <w:gridCol w:w="2800"/>
        <w:gridCol w:w="1000"/>
        <w:gridCol w:w="600"/>
      </w:tblGrid>
      <w:tr>
        <w:tc>
          <w:tcPr>
            <w:tcW w:type="dxa" w:w="36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Q#</w:t>
            </w:r>
          </w:p>
        </w:tc>
        <w:tc>
          <w:tcPr>
            <w:tcW w:type="dxa" w:w="14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Analysis</w:t>
            </w:r>
          </w:p>
        </w:tc>
        <w:tc>
          <w:tcPr>
            <w:tcW w:type="dxa" w:w="32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Question</w:t>
            </w:r>
          </w:p>
        </w:tc>
        <w:tc>
          <w:tcPr>
            <w:tcW w:type="dxa" w:w="28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Answer</w:t>
            </w:r>
          </w:p>
        </w:tc>
        <w:tc>
          <w:tcPr>
            <w:tcW w:type="dxa" w:w="10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600"/>
            <w:gridSpan w:val="1"/>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
            </w:r>
          </w:p>
        </w:tc>
      </w:tr>
      <w:tr>
        <w:tc>
          <w:tcPr>
            <w:tcW w:type="dxa" w:w="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08 — Spatial Gap</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What % of Baltimore land lacks 10-min walk access?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12.4% (10.04 sq mi)</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Descriptive</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08 — Spatial Gap</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Where are transit desert zones concentrated?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tracts (13.6%) primarily outer neighborhoods</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Descriptive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Q3</w:t>
            </w:r>
          </w:p>
        </w:tc>
        <w:tc>
          <w:tcPr>
            <w:tcW w:type="dxa" w:w="14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08 — Spatial Gap</w:t>
            </w:r>
          </w:p>
        </w:tc>
        <w:tc>
          <w:tcPr>
            <w:tcW w:type="dxa" w:w="32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Are Hispanic residents overrepresented in transit deserts? (Title VI)</w:t>
            </w:r>
          </w:p>
        </w:tc>
        <w:tc>
          <w:tcPr>
            <w:tcW w:type="dxa" w:w="28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YES — 1.54x, TITLE VI FINDING</w:t>
            </w:r>
          </w:p>
        </w:tc>
        <w:tc>
          <w:tcPr>
            <w:tcW w:type="dxa" w:w="10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TITLE VI</w:t>
            </w:r>
          </w:p>
        </w:tc>
        <w:tc>
          <w:tcPr>
            <w:tcW w:type="dxa" w:w="6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09/13 — Frequency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What is the distribution of headway across all stops?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11.6% / Moderate 33.3% / Low 27.6% / Infrequent 27.5%</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Descriptive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09 — Frequency Gap</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How many tracts qualify as frequency gap (avg headway &gt; 20 min)?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18 tracts (9.0%)</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Descriptive</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09/13 — Frequency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 there a significant relationship between vulnerability and frequency?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r = -0.356, p &lt; 0.001 (The Frequency Paradox)</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Paradox</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Q7</w:t>
            </w:r>
          </w:p>
        </w:tc>
        <w:tc>
          <w:tcPr>
            <w:tcW w:type="dxa" w:w="14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10 — Travel Time</w:t>
            </w:r>
          </w:p>
        </w:tc>
        <w:tc>
          <w:tcPr>
            <w:tcW w:type="dxa" w:w="32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 there a significant correlation between vulnerability and commute time?</w:t>
            </w:r>
          </w:p>
        </w:tc>
        <w:tc>
          <w:tcPr>
            <w:tcW w:type="dxa" w:w="28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YES — r = +0.605, p &lt; 0.001, R² = 0.367</w:t>
            </w:r>
          </w:p>
        </w:tc>
        <w:tc>
          <w:tcPr>
            <w:tcW w:type="dxa" w:w="10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TITLE VI</w:t>
            </w:r>
          </w:p>
        </w:tc>
        <w:tc>
          <w:tcPr>
            <w:tcW w:type="dxa" w:w="6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10 — Travel Time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How does commute time vary across Q1–Q5?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Q1=19.7 min, Q2=23.4, Q3=24.8, Q4=26.8, Q5=30.9 min</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Descriptive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Q9</w:t>
            </w:r>
          </w:p>
        </w:tc>
        <w:tc>
          <w:tcPr>
            <w:tcW w:type="dxa" w:w="14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10 — Travel Time</w:t>
            </w:r>
          </w:p>
        </w:tc>
        <w:tc>
          <w:tcPr>
            <w:tcW w:type="dxa" w:w="32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What is the magnitude of commute disparity between Q1 and Q5?</w:t>
            </w:r>
          </w:p>
        </w:tc>
        <w:tc>
          <w:tcPr>
            <w:tcW w:type="dxa" w:w="28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+11.2 min (+57% longer for Q5)</w:t>
            </w:r>
          </w:p>
        </w:tc>
        <w:tc>
          <w:tcPr>
            <w:tcW w:type="dxa" w:w="10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TITLE VI</w:t>
            </w:r>
          </w:p>
        </w:tc>
        <w:tc>
          <w:tcPr>
            <w:tcW w:type="dxa" w:w="6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Q10</w:t>
            </w:r>
          </w:p>
        </w:tc>
        <w:tc>
          <w:tcPr>
            <w:tcW w:type="dxa" w:w="14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10 — Travel Time</w:t>
            </w:r>
          </w:p>
        </w:tc>
        <w:tc>
          <w:tcPr>
            <w:tcW w:type="dxa" w:w="32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 minority residents face longer commutes? (Title VI)</w:t>
            </w:r>
          </w:p>
        </w:tc>
        <w:tc>
          <w:tcPr>
            <w:tcW w:type="dxa" w:w="28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bCs/>
                <w:i w:val="false"/>
                <w:iCs w:val="false"/>
                <w:color w:val="B93B30"/>
                <w:sz w:val="18"/>
                <w:szCs w:val="18"/>
              </w:rPr>
              <w:t xml:space="preserve">YES — 1.36x, TITLE VI FINDING</w:t>
            </w:r>
          </w:p>
        </w:tc>
        <w:tc>
          <w:tcPr>
            <w:tcW w:type="dxa" w:w="10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center"/>
            </w:pPr>
            <w:r>
              <w:rPr>
                <w:rFonts w:ascii="Arial" w:cs="Arial" w:eastAsia="Arial" w:hAnsi="Arial"/>
                <w:b/>
                <w:bCs/>
                <w:i w:val="false"/>
                <w:iCs w:val="false"/>
                <w:color w:val="B93B30"/>
                <w:sz w:val="18"/>
                <w:szCs w:val="18"/>
              </w:rPr>
              <w:t xml:space="preserve">TITLE VI</w:t>
            </w:r>
          </w:p>
        </w:tc>
        <w:tc>
          <w:tcPr>
            <w:tcW w:type="dxa" w:w="600"/>
            <w:tcBorders>
              <w:top w:val="single" w:color="CCCCCC" w:sz="4"/>
              <w:left w:val="single" w:color="CCCCCC" w:sz="4"/>
              <w:bottom w:val="single" w:color="CCCCCC" w:sz="4"/>
              <w:right w:val="single" w:color="CCCCCC" w:sz="4"/>
            </w:tcBorders>
            <w:shd w:fill="FCEA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Q11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11 — Modal Access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How are transit stops distributed by mode?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Bus 95.8% / Light Rail 1.2% / Metro 0.8% / MARC 0.2%</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Descriptive</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Q12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11 — Modal Access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What share of tracts have any rail access?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 of 199 tracts (10.5%)</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Descriptive</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Q13</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12 — Connectivity</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How many transfer points exist and how are they distributed?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1,107 transfer points (41.3% of all stops)</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Descriptive</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Q14</w:t>
            </w:r>
          </w:p>
        </w:tc>
        <w:tc>
          <w:tcPr>
            <w:tcW w:type="dxa" w:w="1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12 — Connectivity</w:t>
            </w:r>
          </w:p>
        </w:tc>
        <w:tc>
          <w:tcPr>
            <w:tcW w:type="dxa" w:w="3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 network connectivity equitably distributed across quintiles?</w:t>
            </w:r>
          </w:p>
        </w:tc>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8"/>
                <w:szCs w:val="18"/>
              </w:rPr>
              <w:t xml:space="preserve">YES — p = 0.567, not significant, NO disparity</w:t>
            </w:r>
          </w:p>
        </w:tc>
        <w:tc>
          <w:tcPr>
            <w:tcW w:type="dxa" w:w="1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8"/>
                <w:szCs w:val="18"/>
              </w:rPr>
              <w:t xml:space="preserve">No finding</w:t>
            </w:r>
          </w:p>
        </w:tc>
        <w:tc>
          <w:tcPr>
            <w:tcW w:type="dxa" w:w="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Q15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Synthesis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What is Baltimore's overall transit equity narrative?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Commute burden, not service neglect — spatial mismatch is the root cause</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Synthesis</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Q16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6457"/>
                <w:sz w:val="18"/>
                <w:szCs w:val="18"/>
              </w:rPr>
              <w:t xml:space="preserve">Synthesis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How does the Equity Score relate to all transit metrics?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Strongest predictor: travel time (r=+0.605); frequency paradox (r=-0.356); connectivity NS</w:t>
            </w:r>
          </w:p>
        </w:tc>
        <w:tc>
          <w:tcPr>
            <w:tcW w:type="dxa" w:w="1000"/>
            <w:tcBorders>
              <w:top w:val="single" w:color="CCCCCC" w:sz="4"/>
              <w:left w:val="single" w:color="CCCCCC" w:sz="4"/>
              <w:bottom w:val="single" w:color="CCCCCC" w:sz="4"/>
              <w:right w:val="single" w:color="CCCCCC" w:sz="4"/>
            </w:tcBorders>
            <w:shd w:fill="F7F5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Synthesis</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0" w:after="100" w:line="276"/>
        <w:jc w:val="left"/>
      </w:pPr>
      <w:r>
        <w:rPr>
          <w:rFonts w:ascii="Arial" w:cs="Arial" w:eastAsia="Arial" w:hAnsi="Arial"/>
          <w:b w:val="false"/>
          <w:bCs w:val="false"/>
          <w:i w:val="false"/>
          <w:iCs w:val="false"/>
          <w:color w:val="000000"/>
          <w:sz w:val="22"/>
          <w:szCs w:val="22"/>
        </w:rPr>
        <w:t xml:space="preserve"/>
      </w:r>
    </w:p>
    <w:p>
      <w:pPr>
        <w:spacing w:before="0" w:after="100" w:line="276"/>
        <w:jc w:val="left"/>
      </w:pPr>
      <w:r>
        <w:rPr>
          <w:rFonts w:ascii="Arial" w:cs="Arial" w:eastAsia="Arial" w:hAnsi="Arial"/>
          <w:b w:val="false"/>
          <w:bCs w:val="false"/>
          <w:i w:val="false"/>
          <w:iCs w:val="false"/>
          <w:color w:val="000000"/>
          <w:sz w:val="22"/>
          <w:szCs w:val="22"/>
        </w:rPr>
        <w:t xml:space="preserve"/>
      </w:r>
    </w:p>
    <w:p>
      <w:pPr>
        <w:pBdr>
          <w:bottom w:val="single" w:color="1F3864" w:sz="6" w:space="1"/>
        </w:pBdr>
        <w:spacing w:before="80" w:after="80"/>
      </w:pPr>
      <w:r>
        <w:rPr>
          <w:rFonts w:ascii="Arial" w:cs="Arial" w:eastAsia="Arial" w:hAnsi="Arial"/>
          <w:b w:val="false"/>
          <w:bCs w:val="false"/>
          <w:i w:val="false"/>
          <w:iCs w:val="false"/>
          <w:color w:val="000000"/>
          <w:sz w:val="22"/>
          <w:szCs w:val="22"/>
        </w:rPr>
        <w:t xml:space="preserve"/>
      </w:r>
    </w:p>
    <w:p>
      <w:pPr>
        <w:spacing w:before="0" w:after="100" w:line="280"/>
        <w:jc w:val="left"/>
      </w:pPr>
      <w:r>
        <w:rPr>
          <w:rFonts w:ascii="Arial" w:cs="Arial" w:eastAsia="Arial" w:hAnsi="Arial"/>
          <w:b w:val="false"/>
          <w:bCs w:val="false"/>
          <w:i/>
          <w:iCs/>
          <w:color w:val="6B6457"/>
          <w:sz w:val="17"/>
          <w:szCs w:val="17"/>
        </w:rPr>
        <w:t xml:space="preserve">Data sources: MTA GTFS 2024 · US Census ACS 2020 5-year estimates · OpenStreetMap 2024 · Baltimore City GIS Open Data. Statistical threshold: alpha = 0.05. FTA Title VI threshold: 1.25x disparity ratio per Circular 4702.1B (2012). Coordinate reference system: EPSG 2248. Equity_Score composed of 19 normalized ACS indicators (min-max, unweighted mean). Analysis pipeline: 13 Python scripts, ArcGIS Pro 3.x.</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B6457"/>
        <w:sz w:val="16"/>
        <w:szCs w:val="16"/>
      </w:rPr>
      <w:t xml:space="preserve">Baltimore City Transit Equity Analysis  ·  NKA Stephens  ·  Morgan State University  ·  2026     </w:t>
    </w:r>
    <w:r>
      <w:rPr>
        <w:rFonts w:ascii="Arial" w:cs="Arial" w:eastAsia="Arial" w:hAnsi="Arial"/>
        <w:b w:val="false"/>
        <w:bCs w:val="false"/>
        <w:i w:val="false"/>
        <w:iCs w:val="false"/>
        <w:color w:val="6B6457"/>
        <w:sz w:val="16"/>
        <w:szCs w:val="16"/>
      </w:rPr>
      <w:t xml:space="preserve">Page </w:t>
    </w:r>
    <w:r>
      <w:rPr>
        <w:rFonts w:ascii="Arial" w:cs="Arial" w:eastAsia="Arial" w:hAnsi="Arial"/>
        <w:color w:val="6B64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2026-03-09T18:26:35.975Z</dcterms:created>
  <dcterms:modified xsi:type="dcterms:W3CDTF">2026-03-09T18:26:35.976Z</dcterms:modified>
</cp:coreProperties>
</file>

<file path=docProps/custom.xml><?xml version="1.0" encoding="utf-8"?>
<Properties xmlns="http://schemas.openxmlformats.org/officeDocument/2006/custom-properties" xmlns:vt="http://schemas.openxmlformats.org/officeDocument/2006/docPropsVTypes"/>
</file>