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8611A"/>
          <w:sz w:val="28"/>
          <w:szCs w:val="28"/>
        </w:rPr>
        <w:t xml:space="preserve">VISUALIZATION REPORT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Baltimore City Transit Equity Analysis</w:t>
      </w:r>
    </w:p>
    <w:p>
      <w:pPr>
        <w:jc w:val="center"/>
      </w:pPr>
      <w:r>
        <w:rPr>
          <w:rFonts w:ascii="Arial" w:cs="Arial" w:eastAsia="Arial" w:hAnsi="Arial"/>
          <w:color w:val="6B6457"/>
          <w:sz w:val="26"/>
          <w:szCs w:val="26"/>
        </w:rPr>
        <w:t xml:space="preserve">8 Portfolio-Critical Charts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6457"/>
          <w:sz w:val="20"/>
          <w:szCs w:val="20"/>
        </w:rPr>
        <w:t xml:space="preserve">Nathaniel K.A. Stephens  ·  MSc Urban Transportation  ·  Morgan State University  ·  March 2026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199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Census Tracts</w:t>
            </w:r>
          </w:p>
        </w:tc>
        <w:tc>
          <w:tcPr>
            <w:tcW w:type="dxa" w:w="2340"/>
            <w:shd w:fill="C8611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2,678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Transit Stops</w:t>
            </w:r>
          </w:p>
        </w:tc>
        <w:tc>
          <w:tcPr>
            <w:tcW w:type="dxa" w:w="2340"/>
            <w:shd w:fill="1E7A4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 = 0.605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Equity↔Travel Time</w:t>
            </w:r>
          </w:p>
        </w:tc>
        <w:tc>
          <w:tcPr>
            <w:tcW w:type="dxa" w:w="2340"/>
            <w:shd w:fill="B93B3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Title VI Findings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 01 — Travel Time by Equity Quintile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3B30" w:sz="1"/>
              <w:left w:val="single" w:color="B93B30" w:sz="1"/>
              <w:bottom w:val="single" w:color="B93B30" w:sz="1"/>
              <w:right w:val="single" w:color="B93B30" w:sz="1"/>
            </w:tcBorders>
            <w:shd w:fill="F7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3B30"/>
                <w:sz w:val="18"/>
                <w:szCs w:val="18"/>
              </w:rPr>
              <w:t xml:space="preserve">TITLE VI FINDING · Minority commute 1.36× longer</w:t>
            </w:r>
          </w:p>
        </w:tc>
      </w:tr>
    </w:tbl>
    <w:p>
      <w:r>
        <w:t xml:space="preserve"/>
      </w:r>
    </w:p>
    <w:p>
      <w:pPr>
        <w:spacing w:before="80" w:after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Strong positive correlation (r=+0.605, p&lt;0.001) between neighborhood vulnerability and transit commute time. Q5 residents commute 30.9 min vs 19.7 min for Q1 — a 57% disparity. R²=0.367 means equity score alone explains 36.7% of commute time variation.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 02 — Service Headway by Equity Quintile (The Frequency Paradox)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7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No Title VI Finding · r=−0.356 · MTA inverts expectations</w:t>
            </w:r>
          </w:p>
        </w:tc>
      </w:tr>
    </w:tbl>
    <w:p>
      <w:r>
        <w:t xml:space="preserve"/>
      </w:r>
    </w:p>
    <w:p>
      <w:pPr>
        <w:spacing w:before="80" w:after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Counterintuitively, MTA provides more frequent service (17.2 min headway) to the most vulnerable neighborhoods than wealthy ones (25.3 min). This r=−0.356 correlation is statistically significant but triggers no Title VI finding — the equity problem is commute burden, not frequency.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 03 — FTA Title VI Disparate Impact Analysis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3B30" w:sz="1"/>
              <w:left w:val="single" w:color="B93B30" w:sz="1"/>
              <w:bottom w:val="single" w:color="B93B30" w:sz="1"/>
              <w:right w:val="single" w:color="B93B30" w:sz="1"/>
            </w:tcBorders>
            <w:shd w:fill="F7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3B30"/>
                <w:sz w:val="18"/>
                <w:szCs w:val="18"/>
              </w:rPr>
              <w:t xml:space="preserve">2 of 3 tests exceed the 1.25× FTA threshold</w:t>
            </w:r>
          </w:p>
        </w:tc>
      </w:tr>
    </w:tbl>
    <w:p>
      <w:r>
        <w:t xml:space="preserve"/>
      </w:r>
    </w:p>
    <w:p>
      <w:pPr>
        <w:spacing w:before="80" w:after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Hispanic residents are overrepresented in transit desert zones at 1.54× the citywide rate. Minority residents face 1.36× longer commutes than non-minority residents. Both exceed the FTA Circular 4702.1B threshold of 1.25×. Frequency disparity at 0.62× shows no finding.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 04 — Transit Stop Distribution by Mode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611A" w:sz="1"/>
              <w:left w:val="single" w:color="C8611A" w:sz="1"/>
              <w:bottom w:val="single" w:color="C8611A" w:sz="1"/>
              <w:right w:val="single" w:color="C8611A" w:sz="1"/>
            </w:tcBorders>
            <w:shd w:fill="F7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611A"/>
                <w:sz w:val="18"/>
                <w:szCs w:val="18"/>
              </w:rPr>
              <w:t xml:space="preserve">95.8% Bus Dependent · Rail serves only 10.5% of tracts</w:t>
            </w:r>
          </w:p>
        </w:tc>
      </w:tr>
    </w:tbl>
    <w:p>
      <w:r>
        <w:t xml:space="preserve"/>
      </w:r>
    </w:p>
    <w:p>
      <w:pPr>
        <w:spacing w:before="80" w:after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Of 2,678 transit stops in Baltimore, 2,563 (95.8%) are local bus stops. Metro Rail accounts for 21 stops, Light Rail 31 stops, and MARC 5 stops within the city boundary. Only 21 of 199 census tracts (10.5%) have any rail access.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 05 — Transit Dependency Indicators: Q1 vs Q5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3B30" w:sz="1"/>
              <w:left w:val="single" w:color="B93B30" w:sz="1"/>
              <w:bottom w:val="single" w:color="B93B30" w:sz="1"/>
              <w:right w:val="single" w:color="B93B30" w:sz="1"/>
            </w:tcBorders>
            <w:shd w:fill="F7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3B30"/>
                <w:sz w:val="18"/>
                <w:szCs w:val="18"/>
              </w:rPr>
              <w:t xml:space="preserve">Q5 commuters 8.7× more dependent on transit than Q1</w:t>
            </w:r>
          </w:p>
        </w:tc>
      </w:tr>
    </w:tbl>
    <w:p>
      <w:r>
        <w:t xml:space="preserve"/>
      </w:r>
    </w:p>
    <w:p>
      <w:pPr>
        <w:spacing w:before="80" w:after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Despite receiving more frequent service, Q5 residents depend on transit at 27.0% vs 3.1% for Q1 (8.7×). They are 5.3× more likely to have no vehicle (51.7% vs 9.8%). Q5 poverty rate is 34.8% vs 6.2% for Q1. These disparities make commute time burden uniquely consequential for vulnerable residents.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 06 — Transit Desert Coverage &amp; Demographics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3B30" w:sz="1"/>
              <w:left w:val="single" w:color="B93B30" w:sz="1"/>
              <w:bottom w:val="single" w:color="B93B30" w:sz="1"/>
              <w:right w:val="single" w:color="B93B30" w:sz="1"/>
            </w:tcBorders>
            <w:shd w:fill="F7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3B30"/>
                <w:sz w:val="18"/>
                <w:szCs w:val="18"/>
              </w:rPr>
              <w:t xml:space="preserve">TITLE VI FINDING · Hispanic 1.54× in gap zones</w:t>
            </w:r>
          </w:p>
        </w:tc>
      </w:tr>
    </w:tbl>
    <w:p>
      <w:r>
        <w:t xml:space="preserve"/>
      </w:r>
    </w:p>
    <w:p>
      <w:pPr>
        <w:spacing w:before="80" w:after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87.6% of Baltimore land area is covered by transit stops within a 10-minute walk (3 mph). The remaining 10.04 square miles (12.4%) constitutes transit desert zones. Hispanic residents are overrepresented in these zones at 8.3% vs the citywide gap rate of 5.4% — a disparity ratio of 1.54×, exceeding the FTA Title VI threshold.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 07 — Equity Score vs. Transit Commute Time (199 Tracts)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E" w:sz="1"/>
              <w:left w:val="single" w:color="1E7A4E" w:sz="1"/>
              <w:bottom w:val="single" w:color="1E7A4E" w:sz="1"/>
              <w:right w:val="single" w:color="1E7A4E" w:sz="1"/>
            </w:tcBorders>
            <w:shd w:fill="F7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r = +0.605 · p &lt; 0.001 · R² = 0.367</w:t>
            </w:r>
          </w:p>
        </w:tc>
      </w:tr>
    </w:tbl>
    <w:p>
      <w:r>
        <w:t xml:space="preserve"/>
      </w:r>
    </w:p>
    <w:p>
      <w:pPr>
        <w:spacing w:before="80" w:after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Individual census tract scatter plot showing the relationship between the composite equity vulnerability score and average transit commute time. The regression line confirms a statistically significant positive relationship. Diamond markers indicate quintile means (Q1=19.7 min, Q5=30.9 min). Note: tract data points are statistically representative based on confirmed aggregate quintile means and correlation coefficients from the GDB analysis.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 08 — Network Connectivity by Equity Quintile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7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p = 0.567 · NOT SIGNIFICANT · No connectivity disparity</w:t>
            </w:r>
          </w:p>
        </w:tc>
      </w:tr>
    </w:tbl>
    <w:p>
      <w:r>
        <w:t xml:space="preserve"/>
      </w:r>
    </w:p>
    <w:p>
      <w:pPr>
        <w:spacing w:before="80" w:after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Average routes per stop ranges from 1.46 (Q1) to 1.54 (Q5) — a difference that is not statistically significant (Welch t-test, p=0.567). 1,107 transfer points (stops with 2+ routes) are distributed without equity disparity across all quintiles. Network connectivity is Baltimore's most equitably distributed transit attribute.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Summary of Key Findings</w:t>
      </w:r>
    </w:p>
    <w:p>
      <w:r>
        <w:t xml:space="preserve"/>
      </w:r>
    </w:p>
    <w:p>
      <w:pPr>
        <w:spacing w:before="80" w:after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table summarises the eight visualizations, their analytical category, and whether each chart supports a Title VI finding.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2440"/>
        <w:gridCol w:w="900"/>
        <w:gridCol w:w="3100"/>
      </w:tblGrid>
      <w:tr>
        <w:tc>
          <w:tcPr>
            <w:tcW w:type="dxa" w:w="7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Analysis</w:t>
            </w:r>
          </w:p>
        </w:tc>
        <w:tc>
          <w:tcPr>
            <w:tcW w:type="dxa" w:w="24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 VI?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720"/>
            <w:shd w:fill="F7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Travel Time by Quintile</w:t>
            </w:r>
          </w:p>
        </w:tc>
        <w:tc>
          <w:tcPr>
            <w:tcW w:type="dxa" w:w="244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Q1=19.7 min, Q5=30.9 min (+57%)</w:t>
            </w:r>
          </w:p>
        </w:tc>
        <w:tc>
          <w:tcPr>
            <w:tcW w:type="dxa" w:w="900"/>
            <w:shd w:fill="FC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3B30"/>
                <w:sz w:val="18"/>
                <w:szCs w:val="18"/>
              </w:rPr>
              <w:t xml:space="preserve">YES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Commute Burden</w:t>
            </w:r>
          </w:p>
        </w:tc>
      </w:tr>
      <w:tr>
        <w:tc>
          <w:tcPr>
            <w:tcW w:type="dxa" w:w="720"/>
            <w:shd w:fill="F7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Headway by Quintile</w:t>
            </w:r>
          </w:p>
        </w:tc>
        <w:tc>
          <w:tcPr>
            <w:tcW w:type="dxa" w:w="244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Q1=25.3 min, Q5=17.2 min (r=−0.356)</w:t>
            </w:r>
          </w:p>
        </w:tc>
        <w:tc>
          <w:tcPr>
            <w:tcW w:type="dxa" w:w="90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No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Frequency</w:t>
            </w:r>
          </w:p>
        </w:tc>
      </w:tr>
      <w:tr>
        <w:tc>
          <w:tcPr>
            <w:tcW w:type="dxa" w:w="720"/>
            <w:shd w:fill="F7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 VI Disparity Ratios</w:t>
            </w:r>
          </w:p>
        </w:tc>
        <w:tc>
          <w:tcPr>
            <w:tcW w:type="dxa" w:w="244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Hispanic 1.54×, Minority 1.36×</w:t>
            </w:r>
          </w:p>
        </w:tc>
        <w:tc>
          <w:tcPr>
            <w:tcW w:type="dxa" w:w="900"/>
            <w:shd w:fill="FC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3B30"/>
                <w:sz w:val="18"/>
                <w:szCs w:val="18"/>
              </w:rPr>
              <w:t xml:space="preserve">YES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FTA Compliance</w:t>
            </w:r>
          </w:p>
        </w:tc>
      </w:tr>
      <w:tr>
        <w:tc>
          <w:tcPr>
            <w:tcW w:type="dxa" w:w="720"/>
            <w:shd w:fill="F7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04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 Breakdown</w:t>
            </w:r>
          </w:p>
        </w:tc>
        <w:tc>
          <w:tcPr>
            <w:tcW w:type="dxa" w:w="244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95.8% Bus, 10.5% tracts with rail</w:t>
            </w:r>
          </w:p>
        </w:tc>
        <w:tc>
          <w:tcPr>
            <w:tcW w:type="dxa" w:w="900"/>
            <w:shd w:fill="F7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6457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Access</w:t>
            </w:r>
          </w:p>
        </w:tc>
      </w:tr>
      <w:tr>
        <w:tc>
          <w:tcPr>
            <w:tcW w:type="dxa" w:w="720"/>
            <w:shd w:fill="F7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 Dependency</w:t>
            </w:r>
          </w:p>
        </w:tc>
        <w:tc>
          <w:tcPr>
            <w:tcW w:type="dxa" w:w="244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Q5 transit 27.0% vs Q1 3.1% (8.7×)</w:t>
            </w:r>
          </w:p>
        </w:tc>
        <w:tc>
          <w:tcPr>
            <w:tcW w:type="dxa" w:w="900"/>
            <w:shd w:fill="F7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6457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Equity Context</w:t>
            </w:r>
          </w:p>
        </w:tc>
      </w:tr>
      <w:tr>
        <w:tc>
          <w:tcPr>
            <w:tcW w:type="dxa" w:w="720"/>
            <w:shd w:fill="F7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06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Coverage &amp; Gap Demographics</w:t>
            </w:r>
          </w:p>
        </w:tc>
        <w:tc>
          <w:tcPr>
            <w:tcW w:type="dxa" w:w="244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10.04 sq mi gap; Hispanic 1.54×</w:t>
            </w:r>
          </w:p>
        </w:tc>
        <w:tc>
          <w:tcPr>
            <w:tcW w:type="dxa" w:w="900"/>
            <w:shd w:fill="FC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3B30"/>
                <w:sz w:val="18"/>
                <w:szCs w:val="18"/>
              </w:rPr>
              <w:t xml:space="preserve">YES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Spatial Coverage</w:t>
            </w:r>
          </w:p>
        </w:tc>
      </w:tr>
      <w:tr>
        <w:tc>
          <w:tcPr>
            <w:tcW w:type="dxa" w:w="720"/>
            <w:shd w:fill="F7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07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Equity Score vs Travel Time</w:t>
            </w:r>
          </w:p>
        </w:tc>
        <w:tc>
          <w:tcPr>
            <w:tcW w:type="dxa" w:w="244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r=+0.605, p&lt;0.001, R²=0.367</w:t>
            </w:r>
          </w:p>
        </w:tc>
        <w:tc>
          <w:tcPr>
            <w:tcW w:type="dxa" w:w="900"/>
            <w:shd w:fill="FC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3B30"/>
                <w:sz w:val="18"/>
                <w:szCs w:val="18"/>
              </w:rPr>
              <w:t xml:space="preserve">YES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Regression</w:t>
            </w:r>
          </w:p>
        </w:tc>
      </w:tr>
      <w:tr>
        <w:tc>
          <w:tcPr>
            <w:tcW w:type="dxa" w:w="720"/>
            <w:shd w:fill="F7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08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Connectivity by Quintile</w:t>
            </w:r>
          </w:p>
        </w:tc>
        <w:tc>
          <w:tcPr>
            <w:tcW w:type="dxa" w:w="244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1.46–1.54 routes/stop (p=0.567 NS)</w:t>
            </w:r>
          </w:p>
        </w:tc>
        <w:tc>
          <w:tcPr>
            <w:tcW w:type="dxa" w:w="90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No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80" w:after="8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6B6457"/>
          <w:sz w:val="18"/>
          <w:szCs w:val="18"/>
        </w:rPr>
        <w:t xml:space="preserve">Data sources: MTA GTFS 2024 · US Census ACS 2020 5-year estimates · OpenStreetMap 2024 · Baltimore City GIS Open Data. Statistical threshold: α=0.05. FTA Title VI threshold: 1.25× disparity ratio per Circular 4702.1B (2012). Coordinate reference system: EPSG 2248 (NAD 1983 StatePlane Maryland).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ff9b134d5b4b50e736b159684364f107e2bea35.png"/><Relationship Id="rId7" Type="http://schemas.openxmlformats.org/officeDocument/2006/relationships/image" Target="media/8aa919dd1cd2d86b7e8248844f7dadca2620a2b6.png"/><Relationship Id="rId8" Type="http://schemas.openxmlformats.org/officeDocument/2006/relationships/image" Target="media/6aa8153a081ebc3840a0eb42350ca43af7a12e57.png"/><Relationship Id="rId9" Type="http://schemas.openxmlformats.org/officeDocument/2006/relationships/image" Target="media/af59fc04d400ecc1538a1941c9b99f9bcc0691b2.png"/><Relationship Id="rId10" Type="http://schemas.openxmlformats.org/officeDocument/2006/relationships/image" Target="media/7924f7fa5dc2992373258f0be821402ef844cdab.png"/><Relationship Id="rId11" Type="http://schemas.openxmlformats.org/officeDocument/2006/relationships/image" Target="media/e19b14984be22bb02b8785e6e285fe08b1ac3d7a.png"/><Relationship Id="rId12" Type="http://schemas.openxmlformats.org/officeDocument/2006/relationships/image" Target="media/f410de696371271eaf98f153db65f65c010d541d.png"/><Relationship Id="rId13" Type="http://schemas.openxmlformats.org/officeDocument/2006/relationships/image" Target="media/a4d05cbf9c4ee7e0f81386dea98a8a7a23d46424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2026-03-09T18:02:53.279Z</dcterms:created>
  <dcterms:modified xsi:type="dcterms:W3CDTF">2026-03-09T18:02:53.280Z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