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Arial" w:cs="Arial" w:eastAsia="Arial" w:hAnsi="Arial"/>
          <w:b/>
          <w:bCs/>
          <w:i w:val="false"/>
          <w:iCs w:val="false"/>
          <w:color w:val="1F3864"/>
          <w:sz w:val="48"/>
          <w:szCs w:val="48"/>
        </w:rPr>
        <w:t xml:space="preserve">METHODOLOGY REPORT</w:t>
      </w:r>
    </w:p>
    <w:p>
      <w:pPr>
        <w:pBdr>
          <w:bottom w:val="single" w:color="C55A11" w:sz="8"/>
        </w:pBdr>
        <w:spacing w:before="0" w:after="80"/>
        <w:jc w:val="center"/>
      </w:pPr>
      <w:r>
        <w:rPr>
          <w:rFonts w:ascii="Arial" w:cs="Arial" w:eastAsia="Arial" w:hAnsi="Arial"/>
          <w:b w:val="false"/>
          <w:bCs w:val="false"/>
          <w:i w:val="false"/>
          <w:iCs w:val="false"/>
          <w:color w:val="2E5496"/>
          <w:sz w:val="36"/>
          <w:szCs w:val="36"/>
        </w:rPr>
        <w:t xml:space="preserve">Baltimore City Transit Equity Analysis</w:t>
      </w:r>
    </w:p>
    <w:p/>
    <w:p>
      <w:pPr>
        <w:jc w:val="center"/>
      </w:pPr>
      <w:r>
        <w:rPr>
          <w:rFonts w:ascii="Arial" w:cs="Arial" w:eastAsia="Arial" w:hAnsi="Arial"/>
          <w:b/>
          <w:bCs/>
          <w:i w:val="false"/>
          <w:iCs w:val="false"/>
          <w:color w:val="1F3864"/>
          <w:sz w:val="26"/>
          <w:szCs w:val="26"/>
        </w:rPr>
        <w:t xml:space="preserve">Nathaniel K.A. Stephens</w:t>
      </w:r>
    </w:p>
    <w:p>
      <w:pPr>
        <w:jc w:val="center"/>
      </w:pPr>
      <w:r>
        <w:rPr>
          <w:rFonts w:ascii="Arial" w:cs="Arial" w:eastAsia="Arial" w:hAnsi="Arial"/>
          <w:b w:val="false"/>
          <w:bCs w:val="false"/>
          <w:i w:val="false"/>
          <w:iCs w:val="false"/>
          <w:color w:val="555555"/>
          <w:sz w:val="22"/>
          <w:szCs w:val="22"/>
        </w:rPr>
        <w:t xml:space="preserve">MSc Urban Transportation  |  Morgan State University  |  March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20"/>
              <w:left w:type="dxa" w:w="120"/>
              <w:bottom w:type="dxa" w:w="120"/>
              <w:right w:type="dxa" w:w="120"/>
            </w:tcMar>
          </w:tcPr>
          <w:p>
            <w:pPr>
              <w:jc w:val="center"/>
            </w:pPr>
            <w:r>
              <w:rPr>
                <w:rFonts w:ascii="Arial" w:cs="Arial" w:eastAsia="Arial" w:hAnsi="Arial"/>
                <w:b/>
                <w:bCs/>
                <w:i w:val="false"/>
                <w:iCs w:val="false"/>
                <w:color w:val="FFFFFF"/>
                <w:sz w:val="36"/>
                <w:szCs w:val="36"/>
              </w:rPr>
              <w:t xml:space="preserve">199</w:t>
            </w:r>
          </w:p>
          <w:p>
            <w:pPr>
              <w:jc w:val="center"/>
            </w:pPr>
            <w:r>
              <w:rPr>
                <w:rFonts w:ascii="Arial" w:cs="Arial" w:eastAsia="Arial" w:hAnsi="Arial"/>
                <w:b w:val="false"/>
                <w:bCs w:val="false"/>
                <w:i w:val="false"/>
                <w:iCs w:val="false"/>
                <w:color w:val="FFFFFF"/>
                <w:sz w:val="18"/>
                <w:szCs w:val="18"/>
              </w:rPr>
              <w:t xml:space="preserve">Census Tracts</w:t>
            </w:r>
          </w:p>
        </w:tc>
        <w:tc>
          <w:tcPr>
            <w:tcW w:type="dxa" w:w="2340"/>
            <w:tcBorders>
              <w:top w:val="single" w:color="BFBFBF" w:sz="4"/>
              <w:left w:val="single" w:color="BFBFBF" w:sz="4"/>
              <w:bottom w:val="single" w:color="BFBFBF" w:sz="4"/>
              <w:right w:val="single" w:color="BFBFBF" w:sz="4"/>
            </w:tcBorders>
            <w:shd w:fill="C55A11" w:val="clear"/>
            <w:tcMar>
              <w:top w:type="dxa" w:w="120"/>
              <w:left w:type="dxa" w:w="120"/>
              <w:bottom w:type="dxa" w:w="120"/>
              <w:right w:type="dxa" w:w="120"/>
            </w:tcMar>
          </w:tcPr>
          <w:p>
            <w:pPr>
              <w:jc w:val="center"/>
            </w:pPr>
            <w:r>
              <w:rPr>
                <w:rFonts w:ascii="Arial" w:cs="Arial" w:eastAsia="Arial" w:hAnsi="Arial"/>
                <w:b/>
                <w:bCs/>
                <w:i w:val="false"/>
                <w:iCs w:val="false"/>
                <w:color w:val="FFFFFF"/>
                <w:sz w:val="36"/>
                <w:szCs w:val="36"/>
              </w:rPr>
              <w:t xml:space="preserve">2,678</w:t>
            </w:r>
          </w:p>
          <w:p>
            <w:pPr>
              <w:jc w:val="center"/>
            </w:pPr>
            <w:r>
              <w:rPr>
                <w:rFonts w:ascii="Arial" w:cs="Arial" w:eastAsia="Arial" w:hAnsi="Arial"/>
                <w:b w:val="false"/>
                <w:bCs w:val="false"/>
                <w:i w:val="false"/>
                <w:iCs w:val="false"/>
                <w:color w:val="FFFFFF"/>
                <w:sz w:val="18"/>
                <w:szCs w:val="18"/>
              </w:rPr>
              <w:t xml:space="preserve">Transit Stops</w:t>
            </w:r>
          </w:p>
        </w:tc>
        <w:tc>
          <w:tcPr>
            <w:tcW w:type="dxa" w:w="2340"/>
            <w:tcBorders>
              <w:top w:val="single" w:color="BFBFBF" w:sz="4"/>
              <w:left w:val="single" w:color="BFBFBF" w:sz="4"/>
              <w:bottom w:val="single" w:color="BFBFBF" w:sz="4"/>
              <w:right w:val="single" w:color="BFBFBF" w:sz="4"/>
            </w:tcBorders>
            <w:shd w:fill="2E5496" w:val="clear"/>
            <w:tcMar>
              <w:top w:type="dxa" w:w="120"/>
              <w:left w:type="dxa" w:w="120"/>
              <w:bottom w:type="dxa" w:w="120"/>
              <w:right w:type="dxa" w:w="120"/>
            </w:tcMar>
          </w:tcPr>
          <w:p>
            <w:pPr>
              <w:jc w:val="center"/>
            </w:pPr>
            <w:r>
              <w:rPr>
                <w:rFonts w:ascii="Arial" w:cs="Arial" w:eastAsia="Arial" w:hAnsi="Arial"/>
                <w:b/>
                <w:bCs/>
                <w:i w:val="false"/>
                <w:iCs w:val="false"/>
                <w:color w:val="FFFFFF"/>
                <w:sz w:val="36"/>
                <w:szCs w:val="36"/>
              </w:rPr>
              <w:t xml:space="preserve">433</w:t>
            </w:r>
          </w:p>
          <w:p>
            <w:pPr>
              <w:jc w:val="center"/>
            </w:pPr>
            <w:r>
              <w:rPr>
                <w:rFonts w:ascii="Arial" w:cs="Arial" w:eastAsia="Arial" w:hAnsi="Arial"/>
                <w:b w:val="false"/>
                <w:bCs w:val="false"/>
                <w:i w:val="false"/>
                <w:iCs w:val="false"/>
                <w:color w:val="FFFFFF"/>
                <w:sz w:val="18"/>
                <w:szCs w:val="18"/>
              </w:rPr>
              <w:t xml:space="preserve">Routes Analyzed</w:t>
            </w:r>
          </w:p>
        </w:tc>
        <w:tc>
          <w:tcPr>
            <w:tcW w:type="dxa" w:w="2340"/>
            <w:tcBorders>
              <w:top w:val="single" w:color="BFBFBF" w:sz="4"/>
              <w:left w:val="single" w:color="BFBFBF" w:sz="4"/>
              <w:bottom w:val="single" w:color="BFBFBF" w:sz="4"/>
              <w:right w:val="single" w:color="BFBFBF" w:sz="4"/>
            </w:tcBorders>
            <w:shd w:fill="1E5631" w:val="clear"/>
            <w:tcMar>
              <w:top w:type="dxa" w:w="120"/>
              <w:left w:type="dxa" w:w="120"/>
              <w:bottom w:type="dxa" w:w="120"/>
              <w:right w:type="dxa" w:w="120"/>
            </w:tcMar>
          </w:tcPr>
          <w:p>
            <w:pPr>
              <w:jc w:val="center"/>
            </w:pPr>
            <w:r>
              <w:rPr>
                <w:rFonts w:ascii="Arial" w:cs="Arial" w:eastAsia="Arial" w:hAnsi="Arial"/>
                <w:b/>
                <w:bCs/>
                <w:i w:val="false"/>
                <w:iCs w:val="false"/>
                <w:color w:val="FFFFFF"/>
                <w:sz w:val="36"/>
                <w:szCs w:val="36"/>
              </w:rPr>
              <w:t xml:space="preserve">2</w:t>
            </w:r>
          </w:p>
          <w:p>
            <w:pPr>
              <w:jc w:val="center"/>
            </w:pPr>
            <w:r>
              <w:rPr>
                <w:rFonts w:ascii="Arial" w:cs="Arial" w:eastAsia="Arial" w:hAnsi="Arial"/>
                <w:b w:val="false"/>
                <w:bCs w:val="false"/>
                <w:i w:val="false"/>
                <w:iCs w:val="false"/>
                <w:color w:val="FFFFFF"/>
                <w:sz w:val="18"/>
                <w:szCs w:val="18"/>
              </w:rPr>
              <w:t xml:space="preserve">Title VI Findings</w:t>
            </w:r>
          </w:p>
        </w:tc>
      </w:tr>
    </w:tbl>
    <w:p/>
    <w:p>
      <w:r>
        <w:br w:type="page"/>
      </w:r>
    </w:p>
    <w:p>
      <w:pPr>
        <w:pStyle w:val="Heading1"/>
      </w:pPr>
      <w:r>
        <w:rPr>
          <w:rFonts w:ascii="Arial" w:cs="Arial" w:eastAsia="Arial" w:hAnsi="Arial"/>
          <w:b/>
          <w:bCs/>
          <w:color w:val="1F3864"/>
          <w:sz w:val="36"/>
          <w:szCs w:val="36"/>
        </w:rPr>
        <w:t xml:space="preserve">1. Introduction and Study Overview</w:t>
      </w:r>
    </w:p>
    <w:p>
      <w:pPr>
        <w:spacing w:before="80" w:after="80" w:line="280"/>
        <w:jc w:val="both"/>
      </w:pPr>
      <w:r>
        <w:rPr>
          <w:rFonts w:ascii="Arial" w:cs="Arial" w:eastAsia="Arial" w:hAnsi="Arial"/>
          <w:b w:val="false"/>
          <w:bCs w:val="false"/>
          <w:i w:val="false"/>
          <w:iCs w:val="false"/>
          <w:color w:val="000000"/>
          <w:sz w:val="22"/>
          <w:szCs w:val="22"/>
        </w:rPr>
        <w:t xml:space="preserve">This methodology report documents the complete analytical process for the Baltimore City Transit Equity Analysis, conducted as a graduate portfolio project in partial fulfillment of the MSc Urban Transportation degree at Morgan State University. The analysis examines how equitably the Maryland Transit Administration (MTA) network serves Baltimore's 199 census tracts across five dimensions: spatial coverage, service frequency, commute time burden, modal access, and network connectivity.</w:t>
      </w:r>
    </w:p>
    <w:p/>
    <w:p>
      <w:pPr>
        <w:spacing w:before="80" w:after="80" w:line="280"/>
        <w:jc w:val="both"/>
      </w:pPr>
      <w:r>
        <w:rPr>
          <w:rFonts w:ascii="Arial" w:cs="Arial" w:eastAsia="Arial" w:hAnsi="Arial"/>
          <w:b w:val="false"/>
          <w:bCs w:val="false"/>
          <w:i w:val="false"/>
          <w:iCs w:val="false"/>
          <w:color w:val="000000"/>
          <w:sz w:val="22"/>
          <w:szCs w:val="22"/>
        </w:rPr>
        <w:t xml:space="preserve">All analysis was conducted using ArcGIS Pro with Python scripting via the arcpy library. The coordinate reference system EPSG 2248 (NAD 1983 StatePlane Maryland FIPS 1900, US Feet) was maintained throughout. Federal Transit Administration (FTA) Title VI requirements and guidelines (2012) provided the regulatory framework for equity assessment.</w:t>
      </w:r>
    </w:p>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2E5496" w:sz="12"/>
              <w:left w:val="single" w:color="2E5496" w:sz="12"/>
              <w:bottom w:val="single" w:color="2E5496" w:sz="12"/>
              <w:right w:val="none"/>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2E5496"/>
                <w:sz w:val="18"/>
                <w:szCs w:val="18"/>
              </w:rPr>
              <w:t xml:space="preserve">KEY</w:t>
            </w:r>
          </w:p>
        </w:tc>
        <w:tc>
          <w:tcPr>
            <w:tcW w:type="dxa" w:w="8760"/>
            <w:tcBorders>
              <w:top w:val="single" w:color="2E5496" w:sz="12"/>
              <w:left w:val="none"/>
              <w:bottom w:val="single" w:color="2E5496" w:sz="12"/>
              <w:right w:val="single" w:color="2E5496" w:sz="12"/>
            </w:tcBorders>
            <w:shd w:fill="D6E4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overarching research question: Does Baltimore's MTA transit network serve vulnerable and minority neighborhoods equitably across dimensions of coverage, frequency, travel time, modal access, and connectivity?</w:t>
            </w:r>
          </w:p>
        </w:tc>
      </w:tr>
    </w:tbl>
    <w:p/>
    <w:p>
      <w:pPr>
        <w:pStyle w:val="Heading1"/>
      </w:pPr>
      <w:r>
        <w:rPr>
          <w:rFonts w:ascii="Arial" w:cs="Arial" w:eastAsia="Arial" w:hAnsi="Arial"/>
          <w:b/>
          <w:bCs/>
          <w:color w:val="1F3864"/>
          <w:sz w:val="36"/>
          <w:szCs w:val="36"/>
        </w:rPr>
        <w:t xml:space="preserve">2. Data Sources and Input Files</w:t>
      </w:r>
    </w:p>
    <w:p>
      <w:pPr>
        <w:pStyle w:val="Heading2"/>
      </w:pPr>
      <w:r>
        <w:rPr>
          <w:rFonts w:ascii="Arial" w:cs="Arial" w:eastAsia="Arial" w:hAnsi="Arial"/>
          <w:b/>
          <w:bCs/>
          <w:color w:val="2E5496"/>
          <w:sz w:val="28"/>
          <w:szCs w:val="28"/>
        </w:rPr>
        <w:t xml:space="preserve">2.1 GTFS Transit Feed Data</w:t>
      </w:r>
    </w:p>
    <w:p>
      <w:pPr>
        <w:spacing w:before="80" w:after="80" w:line="280"/>
        <w:jc w:val="both"/>
      </w:pPr>
      <w:r>
        <w:rPr>
          <w:rFonts w:ascii="Arial" w:cs="Arial" w:eastAsia="Arial" w:hAnsi="Arial"/>
          <w:b w:val="false"/>
          <w:bCs w:val="false"/>
          <w:i w:val="false"/>
          <w:iCs w:val="false"/>
          <w:color w:val="000000"/>
          <w:sz w:val="22"/>
          <w:szCs w:val="22"/>
        </w:rPr>
        <w:t xml:space="preserve">General Transit Feed Specification (GTFS) data was obtained directly from the Maryland Transit Administration for five transit modes. Each mode is stored as a separate folder of standard GTFS text files.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600"/>
        <w:gridCol w:w="15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Mode</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GTFS Folder</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Files Used</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Stops in Baltimore</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Local Bus</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mdotmta_gtfs_localbus</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 stops.txt, trips.txt, routes.txt</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2,566</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Metro Subway</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mdotmta_gtfs_metro</w:t>
            </w:r>
          </w:p>
        </w:tc>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 stops.txt, trips.txt</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21</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Light Rail</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mdotmta_gtfs_lightrail</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 stops.txt, trips.txt</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32</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Commuter Bus</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mdotmta_gtfs_commuterbus</w:t>
            </w:r>
          </w:p>
        </w:tc>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 stops.txt, trips.txt</w:t>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54</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MARC Train</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mdotmta_gtfs_marc</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 stops.txt, trips.txt</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bCs/>
                <w:i w:val="false"/>
                <w:iCs w:val="false"/>
                <w:color w:val="000000"/>
                <w:sz w:val="20"/>
                <w:szCs w:val="20"/>
              </w:rPr>
              <w:t xml:space="preserve">TOTAL</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
            </w:r>
          </w:p>
        </w:tc>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bCs/>
                <w:i w:val="false"/>
                <w:iCs w:val="false"/>
                <w:color w:val="000000"/>
                <w:sz w:val="20"/>
                <w:szCs w:val="20"/>
              </w:rPr>
              <w:t xml:space="preserve">2,678</w:t>
            </w:r>
          </w:p>
        </w:tc>
      </w:tr>
    </w:tbl>
    <w:p/>
    <w:p>
      <w:pPr>
        <w:pStyle w:val="Heading3"/>
      </w:pPr>
      <w:r>
        <w:rPr>
          <w:rFonts w:ascii="Arial" w:cs="Arial" w:eastAsia="Arial" w:hAnsi="Arial"/>
          <w:b/>
          <w:bCs/>
          <w:color w:val="C55A11"/>
          <w:sz w:val="24"/>
          <w:szCs w:val="24"/>
        </w:rPr>
        <w:t xml:space="preserve">2.1.1 GTFS File Field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58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File</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5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 / Use in Analysis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stops.txt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Unique stop identifier. Prefixed with mode name for cross-mode merging (e.g., localbus_1234)</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stops.txt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stop_name</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Human-readable stop name. Used for station labeling in Rail_Stations_Clean_Pt</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stops.txt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stop_lat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WGS84 latitude. Used to create point geometry, then projected to EPSG 2248</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stops.txt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stop_lon</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5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WGS84 longitude. Used to create point geometry, then projected to EPSG 2248</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arrival_time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Time</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Scheduled arrival per stop per trip. Core input for headway calculation</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stop_id</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Links arrival times to stop locations via join</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stop_times.txt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trip_id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Links stop times to trip patterns and service calendars</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trips.txt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trip_id</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Trip identifier. Used to filter weekday trips via service_id</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trips.txt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service_id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 pattern ID. Used to isolate weekday service only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trips.txt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route_id</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Links trips to routes. Used in connectivity analysis route counting</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routes.txt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route_id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Unique route identifier. Used to count distinct routes per stop</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routes.txt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route_type</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5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 mode code (0=tram, 1=metro, 2=rail, 3=bus). Used for mode classification</w:t>
            </w:r>
          </w:p>
        </w:tc>
      </w:tr>
    </w:tbl>
    <w:p/>
    <w:p>
      <w:pPr>
        <w:pStyle w:val="Heading2"/>
      </w:pPr>
      <w:r>
        <w:rPr>
          <w:rFonts w:ascii="Arial" w:cs="Arial" w:eastAsia="Arial" w:hAnsi="Arial"/>
          <w:b/>
          <w:bCs/>
          <w:color w:val="2E5496"/>
          <w:sz w:val="28"/>
          <w:szCs w:val="28"/>
        </w:rPr>
        <w:t xml:space="preserve">2.2 US Census Bureau ACS 2020 Data</w:t>
      </w:r>
    </w:p>
    <w:p>
      <w:pPr>
        <w:spacing w:before="80" w:after="80" w:line="280"/>
        <w:jc w:val="both"/>
      </w:pPr>
      <w:r>
        <w:rPr>
          <w:rFonts w:ascii="Arial" w:cs="Arial" w:eastAsia="Arial" w:hAnsi="Arial"/>
          <w:b w:val="false"/>
          <w:bCs w:val="false"/>
          <w:i w:val="false"/>
          <w:iCs w:val="false"/>
          <w:color w:val="000000"/>
          <w:sz w:val="22"/>
          <w:szCs w:val="22"/>
        </w:rPr>
        <w:t xml:space="preserve">American Community Survey (ACS) 5-year estimates (2016-2020) were obtained for all census tracts in Baltimore City (FIPS 24510). Data was joined to the census tract boundary shapefile from the US Census Bureau TIGER/Line database. The joined layer is stored as CensusTracts_Demographics_Pg in the Base feature dataset.</w:t>
      </w:r>
    </w:p>
    <w:p/>
    <w:p>
      <w:pPr>
        <w:spacing w:before="80" w:after="80" w:line="280"/>
        <w:jc w:val="both"/>
      </w:pPr>
      <w:r>
        <w:rPr>
          <w:rFonts w:ascii="Arial" w:cs="Arial" w:eastAsia="Arial" w:hAnsi="Arial"/>
          <w:b w:val="false"/>
          <w:bCs w:val="false"/>
          <w:i w:val="false"/>
          <w:iCs w:val="false"/>
          <w:color w:val="000000"/>
          <w:sz w:val="22"/>
          <w:szCs w:val="22"/>
        </w:rPr>
        <w:t xml:space="preserve">The following ACS tables were used: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ACS Table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Subject</w:t>
            </w:r>
          </w:p>
        </w:tc>
        <w:tc>
          <w:tcPr>
            <w:tcW w:type="dxa" w:w="5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Fields Extracted</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B02001 / B03002</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Race and Hispanic Origin</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Total_Pop_Race, White_Alone, Black_Alone, Hispanic_Latino, Asian_Alone, Two_Or_More_Races</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B19013</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Median Household Income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Med_HH_Income</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B08301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Commute Mode to Work</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Total_Workers, Car_Alone, Carpool, Transit_Total, Bus_Trolley, Subway_Elevated, Railroad, Light_Rail, Walked, Worked_From_Home</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B08136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Aggregate Travel Time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Agg_Travel_Time_Min, Male_Travel_Time, Female_Travel_Time</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B08013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Workers for Travel Time</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Used as denominator for Avg_Travel_Time calculation</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B08201</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Vehicles Available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Total_HH, Zero_Vehicle_HH, One_Vehicle_HH, Two_Vehicle_HH, Three_Vehicle_HH, FourPlus_Vehicle_HH</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B17001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Poverty Status</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Total_Poverty_Pop, Below_Poverty, Male_Below_Poverty, Female_Below_Poverty, Under18_Below_Poverty, Over65_Below_Poverty</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B01001</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Age and Sex</w:t>
            </w:r>
          </w:p>
        </w:tc>
        <w:tc>
          <w:tcPr>
            <w:tcW w:type="dxa" w:w="5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Under_5, Age_5_to_17, Age_18_to_34, Age_35_to_64, Age_65_to_74, Age_75_Plus, plus elderly sex breakdowns</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B18101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Disability Status by Age</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Total_Pop_Dis, With_Disability, No_Disability, disability breakdowns by age group</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B16004</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Language Spoken at Home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Total_Pop_Lang, Speak_Only_English, Spanish_Limited, IndoEuropean_Limited, AsianPacific_Limited, OtherLanguage_Limited, Total_Limited_English</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B05001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Nativity and Citizenship</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Total_Pop_FB, Native_Born, Foreign_Born, Naturalized_Citizen, Not_Citizen</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B25003</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Housing Tenure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Total_HH_Ten, Owner_Occupied, Renter_Occupied</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B25044</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Vehicles by Tenure</w:t>
            </w:r>
          </w:p>
        </w:tc>
        <w:tc>
          <w:tcPr>
            <w:tcW w:type="dxa" w:w="5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Owner_Zero_Vehicle, Renter_Zero_Vehicle, Owner_One_Vehicle, Renter_One_Vehicle</w:t>
            </w:r>
          </w:p>
        </w:tc>
      </w:tr>
    </w:tbl>
    <w:p/>
    <w:p>
      <w:pPr>
        <w:pStyle w:val="Heading2"/>
      </w:pPr>
      <w:r>
        <w:rPr>
          <w:rFonts w:ascii="Arial" w:cs="Arial" w:eastAsia="Arial" w:hAnsi="Arial"/>
          <w:b/>
          <w:bCs/>
          <w:color w:val="2E5496"/>
          <w:sz w:val="28"/>
          <w:szCs w:val="28"/>
        </w:rPr>
        <w:t xml:space="preserve">2.3 OpenStreetMap Data</w:t>
      </w:r>
    </w:p>
    <w:p>
      <w:pPr>
        <w:spacing w:before="80" w:after="80" w:line="280"/>
        <w:jc w:val="both"/>
      </w:pPr>
      <w:r>
        <w:rPr>
          <w:rFonts w:ascii="Arial" w:cs="Arial" w:eastAsia="Arial" w:hAnsi="Arial"/>
          <w:b w:val="false"/>
          <w:bCs w:val="false"/>
          <w:i w:val="false"/>
          <w:iCs w:val="false"/>
          <w:color w:val="000000"/>
          <w:sz w:val="22"/>
          <w:szCs w:val="22"/>
        </w:rPr>
        <w:t xml:space="preserve">OpenStreetMap (OSM) data was downloaded for Baltimore City and imported into the project geodatabase under the OSM feature datasets. OSM provides the pedestrian road network used for service area analysis, as well as supplementary transit infrastructure layers.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 Dataset</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Features</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Use in Analysis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Roads_Baltimore_Ln_Project</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OSM_Network</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Network edges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Pedestrian walk network for service area solver. Projected to EPSG 2248</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Baltimore_Walk_ND</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OSM_Network</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Network dataset</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Built from Roads_Baltimore_Ln_Project. Used in 5 and 10-minute walk catchments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Railways_Ln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OSM_Transit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Rail lines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Displayed in Maps 09 and 12 to show rail corridor context</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Transit_Stops_Pt</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OSM_Transit</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2,939 points</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Used to identify railway_station fclass for cross-reference (28 OSM rail stations)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Transit_Stations_Pg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OSM_Transit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31 polygons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Station building footprints. Consulted but not used in final analysis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Water_Bodies_Pg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OSM_Barriers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Polygons</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Used as visual basemap layer on all 12 maps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Waterways_Barriers_Ln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OSM_Barriers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Lines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Water barriers used as context in maps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Buildings_Pg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OSM_LandUse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Polygons</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Land use context. Not used in statistical analysis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Land_Use_Pg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OSM_LandUse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Land use categories. Dissolved into LandUse_Dissolved_Pg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Points_Of_Interest_Pg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OSM_Destinations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Polygons</w:t>
            </w:r>
          </w:p>
        </w:tc>
        <w:tc>
          <w:tcPr>
            <w:tcW w:type="dxa" w:w="3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Destination layer built but dropped from analysis due to OSM data incompleteness in low-income areas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Places_Of_Worship_Pg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OSM_Destinations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Destination category. Included in Destinations_Pg (3,260 features) but analysis dropped</w:t>
            </w:r>
          </w:p>
        </w:tc>
      </w:tr>
    </w:tbl>
    <w:p/>
    <w:p>
      <w:r>
        <w:br w:type="page"/>
      </w:r>
    </w:p>
    <w:p>
      <w:pPr>
        <w:pStyle w:val="Heading1"/>
      </w:pPr>
      <w:r>
        <w:rPr>
          <w:rFonts w:ascii="Arial" w:cs="Arial" w:eastAsia="Arial" w:hAnsi="Arial"/>
          <w:b/>
          <w:bCs/>
          <w:color w:val="1F3864"/>
          <w:sz w:val="36"/>
          <w:szCs w:val="36"/>
        </w:rPr>
        <w:t xml:space="preserve">3. Geodatabase Structure</w:t>
      </w:r>
    </w:p>
    <w:p>
      <w:pPr>
        <w:spacing w:before="80" w:after="80" w:line="280"/>
        <w:jc w:val="both"/>
      </w:pPr>
      <w:r>
        <w:rPr>
          <w:rFonts w:ascii="Arial" w:cs="Arial" w:eastAsia="Arial" w:hAnsi="Arial"/>
          <w:b w:val="false"/>
          <w:bCs w:val="false"/>
          <w:i w:val="false"/>
          <w:iCs w:val="false"/>
          <w:color w:val="000000"/>
          <w:sz w:val="22"/>
          <w:szCs w:val="22"/>
        </w:rPr>
        <w:t xml:space="preserve">All spatial data is stored in a single ArcGIS file geodatabase located at:</w:t>
      </w:r>
    </w:p>
    <w:p>
      <w:pPr>
        <w:spacing w:before="40" w:after="40" w:line="280"/>
        <w:ind w:left="720"/>
        <w:jc w:val="both"/>
      </w:pPr>
      <w:r>
        <w:rPr>
          <w:rFonts w:ascii="Arial" w:cs="Arial" w:eastAsia="Arial" w:hAnsi="Arial"/>
          <w:b w:val="false"/>
          <w:bCs w:val="false"/>
          <w:i w:val="false"/>
          <w:iCs w:val="false"/>
          <w:color w:val="000000"/>
          <w:sz w:val="22"/>
          <w:szCs w:val="22"/>
        </w:rPr>
        <w:t xml:space="preserve">C:\Users\kojoa\Documents\ArcGIS\Projects\MyProject\MyProject.gdb</w:t>
      </w:r>
    </w:p>
    <w:p>
      <w:pPr>
        <w:spacing w:before="80" w:after="80" w:line="280"/>
        <w:jc w:val="both"/>
      </w:pPr>
      <w:r>
        <w:rPr>
          <w:rFonts w:ascii="Arial" w:cs="Arial" w:eastAsia="Arial" w:hAnsi="Arial"/>
          <w:b w:val="false"/>
          <w:bCs w:val="false"/>
          <w:i w:val="false"/>
          <w:iCs w:val="false"/>
          <w:color w:val="000000"/>
          <w:sz w:val="22"/>
          <w:szCs w:val="22"/>
        </w:rPr>
        <w:t xml:space="preserve">A secondary geodatabase stores the processed GTFS route and stop layers:</w:t>
      </w:r>
    </w:p>
    <w:p>
      <w:pPr>
        <w:spacing w:before="40" w:after="40" w:line="280"/>
        <w:ind w:left="720"/>
        <w:jc w:val="both"/>
      </w:pPr>
      <w:r>
        <w:rPr>
          <w:rFonts w:ascii="Arial" w:cs="Arial" w:eastAsia="Arial" w:hAnsi="Arial"/>
          <w:b w:val="false"/>
          <w:bCs w:val="false"/>
          <w:i w:val="false"/>
          <w:iCs w:val="false"/>
          <w:color w:val="000000"/>
          <w:sz w:val="22"/>
          <w:szCs w:val="22"/>
        </w:rPr>
        <w:t xml:space="preserve">C:\Users\kojoa\Documents\ArcGIS\Projects\MyProject\GTFS_Database.gdb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 Dataset</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Layers</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Base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Baltimore_City_Boundary, Baltimore_City_Land_Only, Baltimore_Boundary_Pg, CensusTracts_Demographics_Pg, Place_Boundaries_Pg, Place_Labels_Pt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Core study area and demographic data. Baltimore_Boundary_Pg is a single dissolved polygon used as clip boundary throughout.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OSM_Network</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Baltimore_Walk_ND_Junctions, Roads_Baltimore_Ln_Project</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Pedestrian network dataset built from OpenStreetMap road data for service area analysis.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OSM_Transit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Railways_Ln, Transit_Stations_Pg, Transit_Stops_Pt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infrastructure from OSM. Used for map context and cross-validation.</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OSM_LandUse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Buildings_Pg, Land_Use_Pg, Natural_Areas_Pg, Parking_Areas_Pg</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Land use features for map context.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OSM_Barriers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Water_Bodies_Pg, Waterways_Barriers_Ln</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Water features used as visual barriers and map context.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OSM_Destinations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Natural_Features_Pt, Places_Of_Worship_Pg, Places_Of_Worship_Pt, Points_Of_Interest_Pg, Points_Of_Interest_Pt, Traffic_Crossings_Pt</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Destination data. Destinations_Pg (3,260 features) was built but the destination gap analysis was dropped due to OSM data incompleteness.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Analysis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Combined_Gap_Zones_Pg, Connectivity_Tracts_Pg, Destination_Tracts_Pg, Destinations_Gap_Pg, Destinations_Pg, Destinations_Served_Pg, Freq_Gap_Tracts_Pg, Frequency_Gap_Zones_Pg, Frequency_Stops_Baltimore_Pt, Frequency_Tracts_Pg, Gap_Zones_Pg, Land_All_Pg, LandUse_Dissolved_Pg, Mode_Access_Tracts_Pg, Rail_Stations_Baltimore_Pt, Rail_Stations_Clean_Pt, SA_Dissolved_Pg, ServiceArea_Rings_Clean_Pg_5min_10min, Transfer_Points_Pt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All derived analysis outputs. See Section 4 for full field descriptions per layer.</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GTFS_Database.gdb</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GTFS_Routes_Baltimore_Ln (433 features), GTFS_BusStops_Baltimore_Pt (2,952 features)</w:t>
            </w:r>
          </w:p>
        </w:tc>
        <w:tc>
          <w:tcPr>
            <w:tcW w:type="dxa" w:w="4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Processed GTFS layers for route lines and stop points used in mapping.</w:t>
            </w:r>
          </w:p>
        </w:tc>
      </w:tr>
    </w:tbl>
    <w:p/>
    <w:p>
      <w:r>
        <w:br w:type="page"/>
      </w:r>
    </w:p>
    <w:p>
      <w:pPr>
        <w:pStyle w:val="Heading1"/>
      </w:pPr>
      <w:r>
        <w:rPr>
          <w:rFonts w:ascii="Arial" w:cs="Arial" w:eastAsia="Arial" w:hAnsi="Arial"/>
          <w:b/>
          <w:bCs/>
          <w:color w:val="1F3864"/>
          <w:sz w:val="36"/>
          <w:szCs w:val="36"/>
        </w:rPr>
        <w:t xml:space="preserve">4. Analysis Layers — Field-by-Field Documentation</w:t>
      </w:r>
    </w:p>
    <w:p>
      <w:pPr>
        <w:pStyle w:val="Heading2"/>
      </w:pPr>
      <w:r>
        <w:rPr>
          <w:rFonts w:ascii="Arial" w:cs="Arial" w:eastAsia="Arial" w:hAnsi="Arial"/>
          <w:b/>
          <w:bCs/>
          <w:color w:val="2E5496"/>
          <w:sz w:val="28"/>
          <w:szCs w:val="28"/>
        </w:rPr>
        <w:t xml:space="preserve">4.1 Frequency_Stops_Baltimore_Pt</w:t>
      </w:r>
    </w:p>
    <w:p>
      <w:pPr>
        <w:spacing w:before="80" w:after="80" w:line="280"/>
        <w:jc w:val="both"/>
      </w:pPr>
      <w:r>
        <w:rPr>
          <w:rFonts w:ascii="Arial" w:cs="Arial" w:eastAsia="Arial" w:hAnsi="Arial"/>
          <w:b w:val="false"/>
          <w:bCs w:val="false"/>
          <w:i w:val="false"/>
          <w:iCs w:val="false"/>
          <w:color w:val="000000"/>
          <w:sz w:val="22"/>
          <w:szCs w:val="22"/>
        </w:rPr>
        <w:t xml:space="preserve">The primary stop-level frequency layer. Contains all 2,678 transit stops in Baltimore City with calculated headway values. Built by merging stops from all five GTFS modes, projecting to EPSG 2248, and clipping to the Baltimore boundary.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500"/>
        <w:gridCol w:w="44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 / Calculation</w:t>
            </w:r>
          </w:p>
        </w:tc>
        <w:tc>
          <w:tcPr>
            <w:tcW w:type="dxa" w:w="4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stop_id_raw</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 stops.txt</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Original stop_id from source GTFS file before prefixing</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stop_id_pfx</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Calculated: mode + '_' + stop_id_raw</w:t>
            </w:r>
          </w:p>
        </w:tc>
        <w:tc>
          <w:tcPr>
            <w:tcW w:type="dxa" w:w="4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Mode-prefixed stop ID for uniqueness across 5 merged feeds (e.g., localbus_1234)</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stop_name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 stops.txt</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Human-readable stop name as provided in GTFS feed</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Assigned from source GTFS folder name</w:t>
            </w:r>
          </w:p>
        </w:tc>
        <w:tc>
          <w:tcPr>
            <w:tcW w:type="dxa" w:w="4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mode: localbus / metro / lightrail / commuterbus / marc</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Headway_Min</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Calculated from stop_times.txt</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Average gap in minutes between consecutive scheduled arrivals at this stop. Only weekday trips included. Gaps capped at 180 minutes to exclude overnight gaps. Formula: mean(diff(sorted(arrival_times)))</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Freq_Class</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Classified from Headway_Min</w:t>
            </w:r>
          </w:p>
        </w:tc>
        <w:tc>
          <w:tcPr>
            <w:tcW w:type="dxa" w:w="4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tier per FTA/TCRP standards: High (&lt;=10 min) / Moderate (&lt;=20 min) / Low (&lt;=30 min) / Infrequent (&gt;30 min)</w:t>
            </w:r>
          </w:p>
        </w:tc>
      </w:tr>
    </w:tbl>
    <w:p/>
    <w:p>
      <w:pPr>
        <w:spacing w:before="80" w:after="80" w:line="280"/>
        <w:jc w:val="both"/>
      </w:pPr>
      <w:r>
        <w:rPr>
          <w:rFonts w:ascii="Arial" w:cs="Arial" w:eastAsia="Arial" w:hAnsi="Arial"/>
          <w:b/>
          <w:bCs/>
          <w:i w:val="false"/>
          <w:iCs w:val="false"/>
          <w:color w:val="000000"/>
          <w:sz w:val="22"/>
          <w:szCs w:val="22"/>
        </w:rPr>
        <w:t xml:space="preserve">Stop distribution by mode: </w:t>
      </w:r>
      <w:r>
        <w:rPr>
          <w:rFonts w:ascii="Arial" w:cs="Arial" w:eastAsia="Arial" w:hAnsi="Arial"/>
          <w:b w:val="false"/>
          <w:bCs w:val="false"/>
          <w:i w:val="false"/>
          <w:iCs w:val="false"/>
          <w:color w:val="000000"/>
          <w:sz w:val="22"/>
          <w:szCs w:val="22"/>
        </w:rPr>
        <w:t xml:space="preserve">localbus 2,566 (95.8%), commuterbus 54 (2.0%), lightrail 32 (1.2%), metro 21 (0.8%), marc 5 (0.2%)</w:t>
      </w:r>
    </w:p>
    <w:p/>
    <w:p>
      <w:pPr>
        <w:pStyle w:val="Heading2"/>
      </w:pPr>
      <w:r>
        <w:rPr>
          <w:rFonts w:ascii="Arial" w:cs="Arial" w:eastAsia="Arial" w:hAnsi="Arial"/>
          <w:b/>
          <w:bCs/>
          <w:color w:val="2E5496"/>
          <w:sz w:val="28"/>
          <w:szCs w:val="28"/>
        </w:rPr>
        <w:t xml:space="preserve">4.2 Frequency_Tracts_Pg</w:t>
      </w:r>
    </w:p>
    <w:p>
      <w:pPr>
        <w:spacing w:before="80" w:after="80" w:line="280"/>
        <w:jc w:val="both"/>
      </w:pPr>
      <w:r>
        <w:rPr>
          <w:rFonts w:ascii="Arial" w:cs="Arial" w:eastAsia="Arial" w:hAnsi="Arial"/>
          <w:b w:val="false"/>
          <w:bCs w:val="false"/>
          <w:i w:val="false"/>
          <w:iCs w:val="false"/>
          <w:color w:val="000000"/>
          <w:sz w:val="22"/>
          <w:szCs w:val="22"/>
        </w:rPr>
        <w:t xml:space="preserve">Census tract-level frequency summary layer. Built by spatially joining Frequency_Stops_Baltimore_Pt to CensusTracts_Demographics_Pg. Contains all demographic fields from the census layer plus calculated transit frequency fields. Also serves as the host layer for the Composite Equity Index.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800"/>
        <w:gridCol w:w="38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 / Calculation</w:t>
            </w:r>
          </w:p>
        </w:tc>
        <w:tc>
          <w:tcPr>
            <w:tcW w:type="dxa" w:w="3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GEOID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CensusTracts_Demographics_Pg</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11-digit Census tract identifier. Primary join key across all analysis layers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Avg_Headway</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Mean of Headway_Min for all stops within tract</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Average headway in minutes across all stops within the tract boundary. Lower = more frequent</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Stop_Count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Count of stops within tract boundary</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Number of transit stops spatially within the tract</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Freq_Class</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Dominant Freq_Class among stops in tract</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Most common frequency classification among stops in the tract</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Avg_Travel_Time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Agg_Travel_Time_Min / Total_Workers (ACS B08136/B08013)</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Average commute travel time in minutes for workers in the tract. Calculated from ACS aggregate fields. Note: all commute modes, not transit-only</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Equity_Score</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Composite of 19 normalized ACS indicators scaled 0-100</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Composite vulnerability score. Higher = more equity need. Range in data: 11.1 to 67.3</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Equity_Quintile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Quintile rank (1-5) based on Equity_Score distribution</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 = least vulnerable (wealthiest), 5 = most vulnerable. Each quintile contains ~40 tracts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Equity_Level</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Text label from Equity_Quintile</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Very Low / Low / Moderate / High / Very High equity need</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Pct_Minority</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100 - Pct_NonHispanicWhite</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FTA Title VI minority definition. Includes all non-white-non-Hispanic residents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Pct_Poverty</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Below_Poverty / Total_Poverty_Pop * 100</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Share of population below federal poverty line</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Pct_ZeroVehicle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Zero_Vehicle_HH / Total_HH * 100</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Share of households with no vehicle. Key transit dependency indicator</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Pct_TransitCommute</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Transit_Total / Total_Workers * 100</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Share of workers commuting by any transit mode</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Med_HH_Income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ACS B19013</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Median household income in dollars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Pct_Hispanic</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Hispanic_Latino / Total_Pop * 100</w:t>
            </w:r>
          </w:p>
        </w:tc>
        <w:tc>
          <w:tcPr>
            <w:tcW w:type="dxa" w:w="3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Share of population identifying as Hispanic or Latino</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Pct_Black</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Black_Alone / Total_Pop * 100</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Share of population identifying as Black or African American alone</w:t>
            </w:r>
          </w:p>
        </w:tc>
      </w:tr>
    </w:tbl>
    <w:p/>
    <w:p>
      <w:pPr>
        <w:pStyle w:val="Heading2"/>
      </w:pPr>
      <w:r>
        <w:rPr>
          <w:rFonts w:ascii="Arial" w:cs="Arial" w:eastAsia="Arial" w:hAnsi="Arial"/>
          <w:b/>
          <w:bCs/>
          <w:color w:val="2E5496"/>
          <w:sz w:val="28"/>
          <w:szCs w:val="28"/>
        </w:rPr>
        <w:t xml:space="preserve">4.3 ServiceArea_Rings_Clean_Pg_5min_10min</w:t>
      </w:r>
    </w:p>
    <w:p>
      <w:pPr>
        <w:spacing w:before="80" w:after="80" w:line="280"/>
        <w:jc w:val="both"/>
      </w:pPr>
      <w:r>
        <w:rPr>
          <w:rFonts w:ascii="Arial" w:cs="Arial" w:eastAsia="Arial" w:hAnsi="Arial"/>
          <w:b w:val="false"/>
          <w:bCs w:val="false"/>
          <w:i w:val="false"/>
          <w:iCs w:val="false"/>
          <w:color w:val="000000"/>
          <w:sz w:val="22"/>
          <w:szCs w:val="22"/>
        </w:rPr>
        <w:t xml:space="preserve">Walk-time catchment polygons generated by the Network Analyst Service Area solver. Represents the area reachable within 5 and 10 minutes of walking at 3mph from any transit stop. Two break values produce overlapping polygons showing the progression of coverage.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ToBreak</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Walk time break: 5 (5-minute catchment) or 10 (10-minute catchment)</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FacilityID</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Reference to source stop from Frequency_Stops_Baltimore_Pt</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Shape_Area</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 area in square feet (EPSG 2248)</w:t>
            </w:r>
          </w:p>
        </w:tc>
      </w:tr>
    </w:tbl>
    <w:p/>
    <w:p>
      <w:pPr>
        <w:spacing w:before="80" w:after="80" w:line="280"/>
        <w:jc w:val="both"/>
      </w:pPr>
      <w:r>
        <w:rPr>
          <w:rFonts w:ascii="Arial" w:cs="Arial" w:eastAsia="Arial" w:hAnsi="Arial"/>
          <w:b/>
          <w:bCs/>
          <w:i w:val="false"/>
          <w:iCs w:val="false"/>
          <w:color w:val="000000"/>
          <w:sz w:val="22"/>
          <w:szCs w:val="22"/>
        </w:rPr>
        <w:t xml:space="preserve">Network configuration: </w:t>
      </w:r>
      <w:r>
        <w:rPr>
          <w:rFonts w:ascii="Arial" w:cs="Arial" w:eastAsia="Arial" w:hAnsi="Arial"/>
          <w:b w:val="false"/>
          <w:bCs w:val="false"/>
          <w:i w:val="false"/>
          <w:iCs w:val="false"/>
          <w:color w:val="000000"/>
          <w:sz w:val="22"/>
          <w:szCs w:val="22"/>
        </w:rPr>
        <w:t xml:space="preserve">Baltimore_Walk_ND built from OSM pedestrian network (Roads_Baltimore_Ln_Project). Walk speed 3mph. Impedance: travel time in minutes. Barriers: Water_Bodies_Pg, Waterways_Barriers_Ln.</w:t>
      </w:r>
    </w:p>
    <w:p/>
    <w:p>
      <w:pPr>
        <w:pStyle w:val="Heading2"/>
      </w:pPr>
      <w:r>
        <w:rPr>
          <w:rFonts w:ascii="Arial" w:cs="Arial" w:eastAsia="Arial" w:hAnsi="Arial"/>
          <w:b/>
          <w:bCs/>
          <w:color w:val="2E5496"/>
          <w:sz w:val="28"/>
          <w:szCs w:val="28"/>
        </w:rPr>
        <w:t xml:space="preserve">4.4 SA_Dissolved_Pg</w:t>
      </w:r>
    </w:p>
    <w:p>
      <w:pPr>
        <w:spacing w:before="80" w:after="80" w:line="280"/>
        <w:jc w:val="both"/>
      </w:pPr>
      <w:r>
        <w:rPr>
          <w:rFonts w:ascii="Arial" w:cs="Arial" w:eastAsia="Arial" w:hAnsi="Arial"/>
          <w:b w:val="false"/>
          <w:bCs w:val="false"/>
          <w:i w:val="false"/>
          <w:iCs w:val="false"/>
          <w:color w:val="000000"/>
          <w:sz w:val="22"/>
          <w:szCs w:val="22"/>
        </w:rPr>
        <w:t xml:space="preserve">Dissolved version of the 10-minute service area. All individual stop catchments merged into a single continuous coverage polygon. Used as the served area for gap analysis. Covers 71.36 square miles (87.6% of Baltimore City land area).</w:t>
      </w:r>
    </w:p>
    <w:p/>
    <w:p>
      <w:pPr>
        <w:pStyle w:val="Heading2"/>
      </w:pPr>
      <w:r>
        <w:rPr>
          <w:rFonts w:ascii="Arial" w:cs="Arial" w:eastAsia="Arial" w:hAnsi="Arial"/>
          <w:b/>
          <w:bCs/>
          <w:color w:val="2E5496"/>
          <w:sz w:val="28"/>
          <w:szCs w:val="28"/>
        </w:rPr>
        <w:t xml:space="preserve">4.5 Gap_Zones_Pg</w:t>
      </w:r>
    </w:p>
    <w:p>
      <w:pPr>
        <w:spacing w:before="80" w:after="80" w:line="280"/>
        <w:jc w:val="both"/>
      </w:pPr>
      <w:r>
        <w:rPr>
          <w:rFonts w:ascii="Arial" w:cs="Arial" w:eastAsia="Arial" w:hAnsi="Arial"/>
          <w:b w:val="false"/>
          <w:bCs w:val="false"/>
          <w:i w:val="false"/>
          <w:iCs w:val="false"/>
          <w:color w:val="000000"/>
          <w:sz w:val="22"/>
          <w:szCs w:val="22"/>
        </w:rPr>
        <w:t xml:space="preserve">Transit desert zones derived by erasing SA_Dissolved_Pg from Baltimore_City_Land_Only. The remaining area represents land with no transit stop within a 10-minute walk. Total area: 10.04 square miles (12.4% of city). Used in Title VI spatial gap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Shape</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Geometry</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Polygon geometry in EPSG 2248</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Shape_Area</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 zone area in square feet. Converted to sq miles by dividing by 27,878,400</w:t>
            </w:r>
          </w:p>
        </w:tc>
      </w:tr>
    </w:tbl>
    <w:p/>
    <w:p>
      <w:pPr>
        <w:pStyle w:val="Heading2"/>
      </w:pPr>
      <w:r>
        <w:rPr>
          <w:rFonts w:ascii="Arial" w:cs="Arial" w:eastAsia="Arial" w:hAnsi="Arial"/>
          <w:b/>
          <w:bCs/>
          <w:color w:val="2E5496"/>
          <w:sz w:val="28"/>
          <w:szCs w:val="28"/>
        </w:rPr>
        <w:t xml:space="preserve">4.6 Freq_Gap_Tracts_Pg</w:t>
      </w:r>
    </w:p>
    <w:p>
      <w:pPr>
        <w:spacing w:before="80" w:after="80" w:line="280"/>
        <w:jc w:val="both"/>
      </w:pPr>
      <w:r>
        <w:rPr>
          <w:rFonts w:ascii="Arial" w:cs="Arial" w:eastAsia="Arial" w:hAnsi="Arial"/>
          <w:b w:val="false"/>
          <w:bCs w:val="false"/>
          <w:i w:val="false"/>
          <w:iCs w:val="false"/>
          <w:color w:val="000000"/>
          <w:sz w:val="22"/>
          <w:szCs w:val="22"/>
        </w:rPr>
        <w:t xml:space="preserve">The 18 census tracts where average headway exceeds 30 minutes (infrequent service threshold). Derived by selecting tracts from Frequency_Tracts_Pg where Avg_Headway &gt; 30. Covers 8.51 square miles. Notably, 11 of 18 frequency gap tracts are in the wealthiest (Q1) neighborhoods.</w:t>
      </w:r>
    </w:p>
    <w:p/>
    <w:p>
      <w:pPr>
        <w:pStyle w:val="Heading2"/>
      </w:pPr>
      <w:r>
        <w:rPr>
          <w:rFonts w:ascii="Arial" w:cs="Arial" w:eastAsia="Arial" w:hAnsi="Arial"/>
          <w:b/>
          <w:bCs/>
          <w:color w:val="2E5496"/>
          <w:sz w:val="28"/>
          <w:szCs w:val="28"/>
        </w:rPr>
        <w:t xml:space="preserve">4.7 Frequency_Gap_Zones_Pg</w:t>
      </w:r>
    </w:p>
    <w:p>
      <w:pPr>
        <w:spacing w:before="80" w:after="80" w:line="280"/>
        <w:jc w:val="both"/>
      </w:pPr>
      <w:r>
        <w:rPr>
          <w:rFonts w:ascii="Arial" w:cs="Arial" w:eastAsia="Arial" w:hAnsi="Arial"/>
          <w:b w:val="false"/>
          <w:bCs w:val="false"/>
          <w:i w:val="false"/>
          <w:iCs w:val="false"/>
          <w:color w:val="000000"/>
          <w:sz w:val="22"/>
          <w:szCs w:val="22"/>
        </w:rPr>
        <w:t xml:space="preserve">Dissolved polygon of all 18 Freq_Gap_Tracts_Pg features. Single geometry showing the overall footprint of infrequent service. Used for combined gap analysis.</w:t>
      </w:r>
    </w:p>
    <w:p/>
    <w:p>
      <w:pPr>
        <w:pStyle w:val="Heading2"/>
      </w:pPr>
      <w:r>
        <w:rPr>
          <w:rFonts w:ascii="Arial" w:cs="Arial" w:eastAsia="Arial" w:hAnsi="Arial"/>
          <w:b/>
          <w:bCs/>
          <w:color w:val="2E5496"/>
          <w:sz w:val="28"/>
          <w:szCs w:val="28"/>
        </w:rPr>
        <w:t xml:space="preserve">4.8 Combined_Gap_Zones_Pg</w:t>
      </w:r>
    </w:p>
    <w:p>
      <w:pPr>
        <w:spacing w:before="80" w:after="80" w:line="280"/>
        <w:jc w:val="both"/>
      </w:pPr>
      <w:r>
        <w:rPr>
          <w:rFonts w:ascii="Arial" w:cs="Arial" w:eastAsia="Arial" w:hAnsi="Arial"/>
          <w:b w:val="false"/>
          <w:bCs w:val="false"/>
          <w:i w:val="false"/>
          <w:iCs w:val="false"/>
          <w:color w:val="000000"/>
          <w:sz w:val="22"/>
          <w:szCs w:val="22"/>
        </w:rPr>
        <w:t xml:space="preserve">Intersection of Gap_Zones_Pg (spatial deserts) and Frequency_Gap_Zones_Pg (frequency deserts). Represents 1.07 square miles where residents face both no nearby stops AND infrequent service — the worst-served areas in the city.</w:t>
      </w:r>
    </w:p>
    <w:p/>
    <w:p>
      <w:pPr>
        <w:pStyle w:val="Heading2"/>
      </w:pPr>
      <w:r>
        <w:rPr>
          <w:rFonts w:ascii="Arial" w:cs="Arial" w:eastAsia="Arial" w:hAnsi="Arial"/>
          <w:b/>
          <w:bCs/>
          <w:color w:val="2E5496"/>
          <w:sz w:val="28"/>
          <w:szCs w:val="28"/>
        </w:rPr>
        <w:t xml:space="preserve">4.9 Connectivity_Tracts_Pg</w:t>
      </w:r>
    </w:p>
    <w:p>
      <w:pPr>
        <w:spacing w:before="80" w:after="80" w:line="280"/>
        <w:jc w:val="both"/>
      </w:pPr>
      <w:r>
        <w:rPr>
          <w:rFonts w:ascii="Arial" w:cs="Arial" w:eastAsia="Arial" w:hAnsi="Arial"/>
          <w:b w:val="false"/>
          <w:bCs w:val="false"/>
          <w:i w:val="false"/>
          <w:iCs w:val="false"/>
          <w:color w:val="000000"/>
          <w:sz w:val="22"/>
          <w:szCs w:val="22"/>
        </w:rPr>
        <w:t xml:space="preserve">Census tract-level connectivity summary. Built by joining route-count data from GTFS stop_times to stop locations, then summarizing by tract.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800"/>
        <w:gridCol w:w="41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 / Calculation</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GEOID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Join key from CensusTracts_Demographics_Pg</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Census tract identifier</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Avg_Routes</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Float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Mean of routes_per_stop for all stops in tract</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Average number of distinct routes serving each stop in the tract. Range: ~1.0 to 3.0+. Indicates diversity of travel options available to riders</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Transfer_Cnt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Count of Transfer_Points_Pt intersecting tract</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Number of transfer points (stops with 2+ routes) within the tract. Higher = better connection opportunities</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Max_Routes</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Maximum routes_per_stop among all stops in tract</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The highest route count at any single stop in the tract. Indicates the best-connected node</w:t>
            </w:r>
          </w:p>
        </w:tc>
      </w:tr>
    </w:tbl>
    <w:p/>
    <w:p>
      <w:pPr>
        <w:pStyle w:val="Heading2"/>
      </w:pPr>
      <w:r>
        <w:rPr>
          <w:rFonts w:ascii="Arial" w:cs="Arial" w:eastAsia="Arial" w:hAnsi="Arial"/>
          <w:b/>
          <w:bCs/>
          <w:color w:val="2E5496"/>
          <w:sz w:val="28"/>
          <w:szCs w:val="28"/>
        </w:rPr>
        <w:t xml:space="preserve">4.10 Transfer_Points_Pt</w:t>
      </w:r>
    </w:p>
    <w:p>
      <w:pPr>
        <w:spacing w:before="80" w:after="80" w:line="280"/>
        <w:jc w:val="both"/>
      </w:pPr>
      <w:r>
        <w:rPr>
          <w:rFonts w:ascii="Arial" w:cs="Arial" w:eastAsia="Arial" w:hAnsi="Arial"/>
          <w:b w:val="false"/>
          <w:bCs w:val="false"/>
          <w:i w:val="false"/>
          <w:iCs w:val="false"/>
          <w:color w:val="000000"/>
          <w:sz w:val="22"/>
          <w:szCs w:val="22"/>
        </w:rPr>
        <w:t xml:space="preserve">Point layer of all stops served by 2 or more distinct routes. Built from GTFS stop_times by counting distinct route_id values per stop_id. 1,107 transfer points identified citywide from 4,681 stops with route assignments.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stop_id</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 stop identifier from Frequency_Stops_Baltimore_Pt</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Human-readable stop name</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Route_Count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Number of distinct routes serving this stop. Minimum value: 2 (by definition of transfer point)</w:t>
            </w:r>
          </w:p>
        </w:tc>
      </w:tr>
    </w:tbl>
    <w:p/>
    <w:p>
      <w:pPr>
        <w:pStyle w:val="Heading2"/>
      </w:pPr>
      <w:r>
        <w:rPr>
          <w:rFonts w:ascii="Arial" w:cs="Arial" w:eastAsia="Arial" w:hAnsi="Arial"/>
          <w:b/>
          <w:bCs/>
          <w:color w:val="2E5496"/>
          <w:sz w:val="28"/>
          <w:szCs w:val="28"/>
        </w:rPr>
        <w:t xml:space="preserve">4.11 Mode_Access_Tracts_Pg</w:t>
      </w:r>
    </w:p>
    <w:p>
      <w:pPr>
        <w:spacing w:before="80" w:after="80" w:line="280"/>
        <w:jc w:val="both"/>
      </w:pPr>
      <w:r>
        <w:rPr>
          <w:rFonts w:ascii="Arial" w:cs="Arial" w:eastAsia="Arial" w:hAnsi="Arial"/>
          <w:b w:val="false"/>
          <w:bCs w:val="false"/>
          <w:i w:val="false"/>
          <w:iCs w:val="false"/>
          <w:color w:val="000000"/>
          <w:sz w:val="22"/>
          <w:szCs w:val="22"/>
        </w:rPr>
        <w:t xml:space="preserve">Census tract-level modal access summary. Built by spatial join of Frequency_Stops_Baltimore_Pt to census tracts, then summarizing mode presence per tract.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500"/>
        <w:gridCol w:w="44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 / Calculation</w:t>
            </w:r>
          </w:p>
        </w:tc>
        <w:tc>
          <w:tcPr>
            <w:tcW w:type="dxa" w:w="4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GEOID</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Join key</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Census tract identifier</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Mode_Count</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Count of distinct modes with stops in tract</w:t>
            </w:r>
          </w:p>
        </w:tc>
        <w:tc>
          <w:tcPr>
            <w:tcW w:type="dxa" w:w="4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Number of distinct transit modes (out of 5) serving the tract</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Has_Rail</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Integer</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Binary: 1 if metro/lightrail/marc stop in tract</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Rail access flag. 0 = bus only, 1 = at least one rail stop. Built using INTERSECT spatial relationship to catch stops on tract boundaries. 21 tracts (10.5%) have rail access</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Rail_Types</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Comma-separated list of rail modes in tract</w:t>
            </w:r>
          </w:p>
        </w:tc>
        <w:tc>
          <w:tcPr>
            <w:tcW w:type="dxa" w:w="4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Text description of rail modes: e.g., 'metro', 'lightrail, metro'. NULL if Has_Rail=0</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Modes_List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All mode names with stops in tract</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Full list of modes serving the tract: e.g., 'localbus, metro'</w:t>
            </w:r>
          </w:p>
        </w:tc>
      </w:tr>
    </w:tbl>
    <w:p/>
    <w:p>
      <w:pPr>
        <w:pStyle w:val="Heading2"/>
      </w:pPr>
      <w:r>
        <w:rPr>
          <w:rFonts w:ascii="Arial" w:cs="Arial" w:eastAsia="Arial" w:hAnsi="Arial"/>
          <w:b/>
          <w:bCs/>
          <w:color w:val="2E5496"/>
          <w:sz w:val="28"/>
          <w:szCs w:val="28"/>
        </w:rPr>
        <w:t xml:space="preserve">4.12 Rail_Stations_Clean_Pt</w:t>
      </w:r>
    </w:p>
    <w:p>
      <w:pPr>
        <w:spacing w:before="80" w:after="80" w:line="280"/>
        <w:jc w:val="both"/>
      </w:pPr>
      <w:r>
        <w:rPr>
          <w:rFonts w:ascii="Arial" w:cs="Arial" w:eastAsia="Arial" w:hAnsi="Arial"/>
          <w:b w:val="false"/>
          <w:bCs w:val="false"/>
          <w:i w:val="false"/>
          <w:iCs w:val="false"/>
          <w:color w:val="000000"/>
          <w:sz w:val="22"/>
          <w:szCs w:val="22"/>
        </w:rPr>
        <w:t xml:space="preserve">Cleaned rail station point layer for cartographic use. Built from Frequency_Stops_Baltimore_Pt by filtering to metro, lightrail, and marc modes only, and excluding the MTA Light Rail Division depot (not a passenger stop). Contains 57 rail boarding points representing 21 unique stations serving passengers.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stop_id</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 stop identifier prefixed with mode</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stop_name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6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Station name as provided in GTFS stops.txt</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String</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mode: metro / lightrail / marc</w:t>
            </w:r>
          </w:p>
        </w:tc>
      </w:tr>
    </w:tbl>
    <w:p/>
    <w:p>
      <w:r>
        <w:br w:type="page"/>
      </w:r>
    </w:p>
    <w:p>
      <w:pPr>
        <w:pStyle w:val="Heading1"/>
      </w:pPr>
      <w:r>
        <w:rPr>
          <w:rFonts w:ascii="Arial" w:cs="Arial" w:eastAsia="Arial" w:hAnsi="Arial"/>
          <w:b/>
          <w:bCs/>
          <w:color w:val="1F3864"/>
          <w:sz w:val="36"/>
          <w:szCs w:val="36"/>
        </w:rPr>
        <w:t xml:space="preserve">5. Computed and Derived Variables</w:t>
      </w:r>
    </w:p>
    <w:p>
      <w:pPr>
        <w:pStyle w:val="Heading2"/>
      </w:pPr>
      <w:r>
        <w:rPr>
          <w:rFonts w:ascii="Arial" w:cs="Arial" w:eastAsia="Arial" w:hAnsi="Arial"/>
          <w:b/>
          <w:bCs/>
          <w:color w:val="2E5496"/>
          <w:sz w:val="28"/>
          <w:szCs w:val="28"/>
        </w:rPr>
        <w:t xml:space="preserve">5.1 Percentage Fields in CensusTracts_Demographics_Pg</w:t>
      </w:r>
    </w:p>
    <w:p>
      <w:pPr>
        <w:spacing w:before="80" w:after="80" w:line="280"/>
        <w:jc w:val="both"/>
      </w:pPr>
      <w:r>
        <w:rPr>
          <w:rFonts w:ascii="Arial" w:cs="Arial" w:eastAsia="Arial" w:hAnsi="Arial"/>
          <w:b w:val="false"/>
          <w:bCs w:val="false"/>
          <w:i w:val="false"/>
          <w:iCs w:val="false"/>
          <w:color w:val="000000"/>
          <w:sz w:val="22"/>
          <w:szCs w:val="22"/>
        </w:rPr>
        <w:t xml:space="preserve">The following fields were calculated from raw ACS count fields and added to CensusTracts_Demographics_Pg: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Formula</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 in Analysis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Pct_Minority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100 - (White_Alone / Total_Pop_Race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FTA Title VI minority definition. Primary equity comparison variable for Title VI tests</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Pct_Black</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Black_Alone / Total_Pop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Sub-group analysis. Largest minority group in Baltimore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Pct_Hispanic</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Hispanic_Latino / Total_Pop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Sub-group analysis. Used in spatial gap Title VI finding (1.54x ratio)</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Pct_White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White_Alone / Total_Pop_Race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Reference population for minority calculation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Pct_Poverty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Below_Poverty / Total_Poverty_Pop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Poverty rate per tract. One of 19 equity index components</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Pct_ZeroVehicle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Zero_Vehicle_HH / Total_HH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Zero-vehicle household rate. Strongest transit dependency proxy</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Pct_Disability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With_Disability / Total_Pop_Dis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Disability rate. Equity index component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Pct_LimitedEnglish</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Total_Limited_English / Total_Pop_Lang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Limited English proficiency rate. Equity index component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Pct_ForeignBorn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Foreign_Born / Total_Pop_FB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Foreign-born share. Equity index component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Pct_Elderly</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Age_65_Plus / Total_Pop_Age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Elderly population share. Equity index component (65+)</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Pct_Youth</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Under_18 / Total_Pop_Age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Youth population share. Equity index component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Pct_TransitCommute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Transit_Total / Total_Workers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commute mode share. Key transit dependency indicator. Q5 average: 27.0% vs Q1: 3.1%</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Pct_Renters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Renter_Occupied / Total_HH_Ten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Renter share. Equity index component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Pct_RenterZeroVeh</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Renter_Zero_Vehicle / Total_HH_Ten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Zero-vehicle renters. Combined vulnerability indicator</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Pct_NotCitizen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Not_Citizen / Total_Pop_FB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Non-citizen share. Equity index component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Pct_Under18Poverty</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Under18_Below_Poverty / Total_Poverty_Pop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Child poverty rate. Equity index component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Pct_Over65Poverty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Over65_Below_Poverty / Total_Poverty_Pop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Elderly poverty rate. Equity index component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Pct_ZeroVeh_Combined</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(Zero_Vehicle_HH / Total_HH)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Combined zero vehicle rate including both owner and renter households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Pct_BusDependent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Bus_Trolley / Total_Workers * 100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Share of workers using bus/trolley. Transit dependency sub-indicator</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Pct_Elderly75Dis</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Elderly 75+ with disability / Total_Pop_Age * 100</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Compound vulnerability: elderly AND disabled</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Avg_Travel_Time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Agg_Travel_Time_Min / Total_Workers</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Average commute time in minutes. Used in Travel Time Equity analysis (Analysis 10). Note: all commute modes, not transit-only. Tract 24510100300 value is 0.0 (institutional tract, census-suppressed)</w:t>
            </w:r>
          </w:p>
        </w:tc>
      </w:tr>
    </w:tbl>
    <w:p/>
    <w:p>
      <w:pPr>
        <w:pStyle w:val="Heading2"/>
      </w:pPr>
      <w:r>
        <w:rPr>
          <w:rFonts w:ascii="Arial" w:cs="Arial" w:eastAsia="Arial" w:hAnsi="Arial"/>
          <w:b/>
          <w:bCs/>
          <w:color w:val="2E5496"/>
          <w:sz w:val="28"/>
          <w:szCs w:val="28"/>
        </w:rPr>
        <w:t xml:space="preserve">5.2 Composite Equity Score</w:t>
      </w:r>
    </w:p>
    <w:p>
      <w:pPr>
        <w:spacing w:before="80" w:after="80" w:line="280"/>
        <w:jc w:val="both"/>
      </w:pPr>
      <w:r>
        <w:rPr>
          <w:rFonts w:ascii="Arial" w:cs="Arial" w:eastAsia="Arial" w:hAnsi="Arial"/>
          <w:b w:val="false"/>
          <w:bCs w:val="false"/>
          <w:i w:val="false"/>
          <w:iCs w:val="false"/>
          <w:color w:val="000000"/>
          <w:sz w:val="22"/>
          <w:szCs w:val="22"/>
        </w:rPr>
        <w:t xml:space="preserve">The Composite Equity Score aggregates 19 ACS-derived indicators into a single 0-100 vulnerability score. Higher scores indicate greater equity need and transit vulnerability. The score was built using the following 19 indicators: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600"/>
        <w:gridCol w:w="52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Indicator Field</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Direction</w:t>
            </w:r>
          </w:p>
        </w:tc>
        <w:tc>
          <w:tcPr>
            <w:tcW w:type="dxa" w:w="5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Rationale</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Pct_Minority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FTA-defined minority population share</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Pct_Poverty</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Economic vulnerability</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Pct_ZeroVehicle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dependency — no car alternative</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Pct_Disability</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Reduced mobility and access challenges</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Pct_LimitedEnglish</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Information access barrier</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Pct_ForeignBorn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Potential service navigation challenges</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Pct_Elderly</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Reduced mobility, transit dependency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8</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Pct_Youth</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dependency (no driving)</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9</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Pct_TransitCommute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Actual transit use — revealed dependency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Pct_Renters</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Housing instability correlation</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Pct_RenterZeroVeh</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Compound vulnerability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Pct_NotCitizen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Limited political voice for service advocacy</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Pct_Under18Poverty</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Child poverty — family transit dependency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14</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Pct_Over65Poverty</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Elderly poverty — fixed income transit need</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Pct_ZeroVeh_Combined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Zero vehicle across all tenures</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Pct_BusDependent</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Actual bus commute use</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Pct_Elderly75Dis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Compound elderly + disability vulnerability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18</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Med_HH_Income</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Lower = more need</w:t>
            </w:r>
          </w:p>
        </w:tc>
        <w:tc>
          <w:tcPr>
            <w:tcW w:type="dxa" w:w="5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Economic capacity (inverted in scoring)</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19</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Avg_Travel_Time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Higher = more need</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Actual commute burden experienced</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2E5496" w:sz="12"/>
              <w:left w:val="single" w:color="2E5496" w:sz="12"/>
              <w:bottom w:val="single" w:color="2E5496" w:sz="12"/>
              <w:right w:val="none"/>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2E5496"/>
                <w:sz w:val="18"/>
                <w:szCs w:val="18"/>
              </w:rPr>
              <w:t xml:space="preserve">METHOD</w:t>
            </w:r>
          </w:p>
        </w:tc>
        <w:tc>
          <w:tcPr>
            <w:tcW w:type="dxa" w:w="8760"/>
            <w:tcBorders>
              <w:top w:val="single" w:color="2E5496" w:sz="12"/>
              <w:left w:val="none"/>
              <w:bottom w:val="single" w:color="2E5496" w:sz="12"/>
              <w:right w:val="single" w:color="2E5496" w:sz="12"/>
            </w:tcBorders>
            <w:shd w:fill="D6E4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Each indicator was normalized to a 0-100 scale using min-max normalization. The composite score is the unweighted mean of all 19 normalized indicators. Tracts were then ranked into quintiles (Q1-Q5), with Q5 being the most vulnerable. Score range in data: 11.1 (least vulnerable) to 67.3 (most vulnerable). Mean: 38.2.</w:t>
            </w:r>
          </w:p>
        </w:tc>
      </w:tr>
    </w:tbl>
    <w:p/>
    <w:p>
      <w:r>
        <w:br w:type="page"/>
      </w:r>
    </w:p>
    <w:p>
      <w:pPr>
        <w:pStyle w:val="Heading1"/>
      </w:pPr>
      <w:r>
        <w:rPr>
          <w:rFonts w:ascii="Arial" w:cs="Arial" w:eastAsia="Arial" w:hAnsi="Arial"/>
          <w:b/>
          <w:bCs/>
          <w:color w:val="1F3864"/>
          <w:sz w:val="36"/>
          <w:szCs w:val="36"/>
        </w:rPr>
        <w:t xml:space="preserve">6. Analysis Methods — Step by Step</w:t>
      </w:r>
    </w:p>
    <w:p>
      <w:pPr>
        <w:pStyle w:val="Heading2"/>
      </w:pPr>
      <w:r>
        <w:rPr>
          <w:rFonts w:ascii="Arial" w:cs="Arial" w:eastAsia="Arial" w:hAnsi="Arial"/>
          <w:b/>
          <w:bCs/>
          <w:color w:val="2E5496"/>
          <w:sz w:val="28"/>
          <w:szCs w:val="28"/>
        </w:rPr>
        <w:t xml:space="preserve">6.1 Analysis 08 — Spatial Gap Analysis</w:t>
      </w:r>
    </w:p>
    <w:p>
      <w:pPr>
        <w:spacing w:before="80" w:after="80" w:line="280"/>
        <w:jc w:val="both"/>
      </w:pPr>
      <w:r>
        <w:rPr>
          <w:rFonts w:ascii="Arial" w:cs="Arial" w:eastAsia="Arial" w:hAnsi="Arial"/>
          <w:b w:val="false"/>
          <w:bCs w:val="false"/>
          <w:i w:val="false"/>
          <w:iCs w:val="false"/>
          <w:color w:val="000000"/>
          <w:sz w:val="22"/>
          <w:szCs w:val="22"/>
        </w:rPr>
        <w:t xml:space="preserve">Objective: Identify transit desert zones — areas of Baltimore with no transit stop within a 10-minute walk.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2400"/>
        <w:gridCol w:w="28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Process</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Tool / Method</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Input</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Output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Load all 2,678 transit stops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arcpy.InsertCursor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Frequency_Stops_Baltimore_Pt</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Points in EPSG 2248</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Generate service area catchments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Network Analyst Service Area</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Baltimore_Walk_ND, all stops, 5+10 min</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ServiceArea_Rings_Clean_Pg_5min_10min</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Dissolve 10-minute catchment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arcpy.Dissolve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ServiceArea rings (ToBreak=10)</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SA_Dissolved_Pg</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Identify gap zones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arcpy.Erase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Baltimore_City_Land_Only, SA_Dissolved_Pg</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Gap_Zones_Pg</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 gap area</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arcpy.da.SearchCursor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Gap_Zones_Pg Shape_Area</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10.04 sq mi (12.4%)</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Demographic overlay on gap zones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arcpy.SpatialJoin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CensusTracts_Demographics_Pg, Gap_Zones_Pg</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27 gap-affected tracts</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Hispanic disparity test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Ratio calculation</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Pct_Hispanic in gaps vs citywide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1.54x — TITLE VI FINDING</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9B2335" w:sz="12"/>
              <w:left w:val="single" w:color="9B2335" w:sz="12"/>
              <w:bottom w:val="single" w:color="9B2335" w:sz="12"/>
              <w:right w:val="none"/>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9B2335"/>
                <w:sz w:val="18"/>
                <w:szCs w:val="18"/>
              </w:rPr>
              <w:t xml:space="preserve">FINDING</w:t>
            </w:r>
          </w:p>
        </w:tc>
        <w:tc>
          <w:tcPr>
            <w:tcW w:type="dxa" w:w="8760"/>
            <w:tcBorders>
              <w:top w:val="single" w:color="9B2335" w:sz="12"/>
              <w:left w:val="none"/>
              <w:bottom w:val="single" w:color="9B2335" w:sz="12"/>
              <w:right w:val="single" w:color="9B2335" w:sz="12"/>
            </w:tcBorders>
            <w:shd w:fill="FCE4D6"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87.6% of Baltimore land area covered within 10-minute walk. Gap zones: 10.04 sq mi (12.4%). Hispanic residents overrepresented in gap zones at 1.54x citywide rate. TITLE VI FINDING (threshold: 1.25x).</w:t>
            </w:r>
          </w:p>
        </w:tc>
      </w:tr>
    </w:tbl>
    <w:p/>
    <w:p>
      <w:pPr>
        <w:pStyle w:val="Heading2"/>
      </w:pPr>
      <w:r>
        <w:rPr>
          <w:rFonts w:ascii="Arial" w:cs="Arial" w:eastAsia="Arial" w:hAnsi="Arial"/>
          <w:b/>
          <w:bCs/>
          <w:color w:val="2E5496"/>
          <w:sz w:val="28"/>
          <w:szCs w:val="28"/>
        </w:rPr>
        <w:t xml:space="preserve">6.2 Analysis 09 — Frequency Desert Demographics</w:t>
      </w:r>
    </w:p>
    <w:p>
      <w:pPr>
        <w:spacing w:before="80" w:after="80" w:line="280"/>
        <w:jc w:val="both"/>
      </w:pPr>
      <w:r>
        <w:rPr>
          <w:rFonts w:ascii="Arial" w:cs="Arial" w:eastAsia="Arial" w:hAnsi="Arial"/>
          <w:b w:val="false"/>
          <w:bCs w:val="false"/>
          <w:i w:val="false"/>
          <w:iCs w:val="false"/>
          <w:color w:val="000000"/>
          <w:sz w:val="22"/>
          <w:szCs w:val="22"/>
        </w:rPr>
        <w:t xml:space="preserve">Objective: Identify which census tracts have infrequent transit service (average headway &gt; 30 minutes) and profile their demographic characteristics.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2400"/>
        <w:gridCol w:w="28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Process</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Tool / Method</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Input</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Output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 tract headways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Spatial join + summary</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Frequency_Stops_Baltimore_Pt -&gt; CensusTracts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Avg_Headway per tract in Frequency_Tracts_Pg</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Select frequency gap tracts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arcpy.analysis.Select</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Frequency_Tracts_Pg where Avg_Headway &gt; 30</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18 tracts -&gt; Freq_Gap_Tracts_Pg</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Dissolve frequency gap tracts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arcpy.Dissolve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Freq_Gap_Tracts_Pg</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Frequency_Gap_Zones_Pg</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Build combined gap zones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arcpy.Intersect</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Gap_Zones_Pg + Frequency_Gap_Zones_Pg</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Combined_Gap_Zones_Pg (1.07 sq mi)</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Demographic profile of gap tracts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SearchCursor summary</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Freq_Gap_Tracts_Pg + equity fields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11/18 gap tracts in Q1 (wealthiest)</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Minority disparity test</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Ratio calculation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Pct_Minority in gap vs non-gap tracts</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0.62x — no Title VI finding</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2E5496" w:sz="12"/>
              <w:left w:val="single" w:color="2E5496" w:sz="12"/>
              <w:bottom w:val="single" w:color="2E5496" w:sz="12"/>
              <w:right w:val="none"/>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2E5496"/>
                <w:sz w:val="18"/>
                <w:szCs w:val="18"/>
              </w:rPr>
              <w:t xml:space="preserve">FINDING</w:t>
            </w:r>
          </w:p>
        </w:tc>
        <w:tc>
          <w:tcPr>
            <w:tcW w:type="dxa" w:w="8760"/>
            <w:tcBorders>
              <w:top w:val="single" w:color="2E5496" w:sz="12"/>
              <w:left w:val="none"/>
              <w:bottom w:val="single" w:color="2E5496" w:sz="12"/>
              <w:right w:val="single" w:color="2E5496" w:sz="12"/>
            </w:tcBorders>
            <w:shd w:fill="D6E4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18 tracts (9%) have infrequent service (&gt;30 min avg headway). Counterintuitively, 61% of frequency gap tracts are in the wealthiest (Q1) neighborhoods — wealthy outer suburbs have lower bus frequency. No Title VI finding on frequency.</w:t>
            </w:r>
          </w:p>
        </w:tc>
      </w:tr>
    </w:tbl>
    <w:p/>
    <w:p>
      <w:pPr>
        <w:pStyle w:val="Heading2"/>
      </w:pPr>
      <w:r>
        <w:rPr>
          <w:rFonts w:ascii="Arial" w:cs="Arial" w:eastAsia="Arial" w:hAnsi="Arial"/>
          <w:b/>
          <w:bCs/>
          <w:color w:val="2E5496"/>
          <w:sz w:val="28"/>
          <w:szCs w:val="28"/>
        </w:rPr>
        <w:t xml:space="preserve">6.3 Analysis 10 — Travel Time Equity Analysis</w:t>
      </w:r>
    </w:p>
    <w:p>
      <w:pPr>
        <w:spacing w:before="80" w:after="80" w:line="280"/>
        <w:jc w:val="both"/>
      </w:pPr>
      <w:r>
        <w:rPr>
          <w:rFonts w:ascii="Arial" w:cs="Arial" w:eastAsia="Arial" w:hAnsi="Arial"/>
          <w:b w:val="false"/>
          <w:bCs w:val="false"/>
          <w:i w:val="false"/>
          <w:iCs w:val="false"/>
          <w:color w:val="000000"/>
          <w:sz w:val="22"/>
          <w:szCs w:val="22"/>
        </w:rPr>
        <w:t xml:space="preserve">Objective: Test whether average commute travel time varies systematically across income and equity quintiles, and assess Title VI disparity between minority and non-minority tracts.</w:t>
      </w:r>
    </w:p>
    <w:p/>
    <w:p>
      <w:pPr>
        <w:spacing w:before="80" w:after="80" w:line="280"/>
        <w:jc w:val="both"/>
      </w:pPr>
      <w:r>
        <w:rPr>
          <w:rFonts w:ascii="Arial" w:cs="Arial" w:eastAsia="Arial" w:hAnsi="Arial"/>
          <w:b/>
          <w:bCs/>
          <w:i w:val="false"/>
          <w:iCs w:val="false"/>
          <w:color w:val="000000"/>
          <w:sz w:val="22"/>
          <w:szCs w:val="22"/>
        </w:rPr>
        <w:t xml:space="preserve">Data source: </w:t>
      </w:r>
      <w:r>
        <w:rPr>
          <w:rFonts w:ascii="Arial" w:cs="Arial" w:eastAsia="Arial" w:hAnsi="Arial"/>
          <w:b w:val="false"/>
          <w:bCs w:val="false"/>
          <w:i w:val="false"/>
          <w:iCs w:val="false"/>
          <w:color w:val="000000"/>
          <w:sz w:val="22"/>
          <w:szCs w:val="22"/>
        </w:rPr>
        <w:t xml:space="preserve">ACS tables B08136 (aggregate travel time) and B08013 (workers who commute). Avg_Travel_Time = Agg_Travel_Time_Min / Total_Workers. Covers all commute modes, not transit-only. One tract excluded from statistical tests: GEOID 24510100300, Avg_Travel_Time = 0.0 (institutional tract, census-suppressed workers). Included in maps but excluded from correlation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400"/>
        <w:gridCol w:w="44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Process</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Result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 Avg_Travel_Time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ACS B08136 / B08013</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Stored in Frequency_Tracts_Pg and CensusTracts_Demographics_Pg</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Group tracts by Equity_Quintile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SearchCursor groupby</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Q1-Q5 groups, ~40 tracts each</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Quintile means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Mean Avg_Travel_Time per quintile</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19.7 min / Q2: 22.1 / Q3: 23.4 / Q4: 26.8 / Q5: 30.9 min</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Pearson correlation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scipy.stats.pearsonr(Equity_Score, TT)</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 = +0.6054, p &lt; 0.001, R² = 0.367</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vs Q5 Welch t-test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scipy.stats.ttest_ind(equal_var=False)</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 &lt; 0.001 — highly significant</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Minority vs non-minority mean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Group by Pct_Minority &gt; citywide avg</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26.6 min vs 19.5 min</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disparity ratio</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26.6 / 19.5</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1.36x — TITLE VI FINDING (threshold: 1.25x)</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9B2335" w:sz="12"/>
              <w:left w:val="single" w:color="9B2335" w:sz="12"/>
              <w:bottom w:val="single" w:color="9B2335" w:sz="12"/>
              <w:right w:val="none"/>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9B2335"/>
                <w:sz w:val="18"/>
                <w:szCs w:val="18"/>
              </w:rPr>
              <w:t xml:space="preserve">FINDING</w:t>
            </w:r>
          </w:p>
        </w:tc>
        <w:tc>
          <w:tcPr>
            <w:tcW w:type="dxa" w:w="8760"/>
            <w:tcBorders>
              <w:top w:val="single" w:color="9B2335" w:sz="12"/>
              <w:left w:val="none"/>
              <w:bottom w:val="single" w:color="9B2335" w:sz="12"/>
              <w:right w:val="single" w:color="9B2335" w:sz="12"/>
            </w:tcBorders>
            <w:shd w:fill="FCE4D6"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STRONGEST FINDING OF PROJECT. r = +0.605 (p&lt;0.001, R²=0.367). Low income residents commute 57% longer than wealthy residents (30.9 vs 19.7 min). Monotonic increase across all 5 quintiles. Minority residents average 1.36x longer commutes — TITLE VI FINDING.</w:t>
            </w:r>
          </w:p>
        </w:tc>
      </w:tr>
    </w:tbl>
    <w:p/>
    <w:p>
      <w:pPr>
        <w:pStyle w:val="Heading2"/>
      </w:pPr>
      <w:r>
        <w:rPr>
          <w:rFonts w:ascii="Arial" w:cs="Arial" w:eastAsia="Arial" w:hAnsi="Arial"/>
          <w:b/>
          <w:bCs/>
          <w:color w:val="2E5496"/>
          <w:sz w:val="28"/>
          <w:szCs w:val="28"/>
        </w:rPr>
        <w:t xml:space="preserve">6.4 Analysis 11 — Modal Access Export</w:t>
      </w:r>
    </w:p>
    <w:p>
      <w:pPr>
        <w:spacing w:before="80" w:after="80" w:line="280"/>
        <w:jc w:val="both"/>
      </w:pPr>
      <w:r>
        <w:rPr>
          <w:rFonts w:ascii="Arial" w:cs="Arial" w:eastAsia="Arial" w:hAnsi="Arial"/>
          <w:b w:val="false"/>
          <w:bCs w:val="false"/>
          <w:i w:val="false"/>
          <w:iCs w:val="false"/>
          <w:color w:val="000000"/>
          <w:sz w:val="22"/>
          <w:szCs w:val="22"/>
        </w:rPr>
        <w:t xml:space="preserve">Objective: Quantify which census tracts have access to rail transit versus bus-only service, and assess modal equity across income quintiles.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400"/>
        <w:gridCol w:w="44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Process</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Result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Load all 5 mode stops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Filter Frequency_Stops_Baltimore_Pt by mode</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 mode groups</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Spatial join stops to tracts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arcpy.SpatialJoin INTERSECT</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 counts per tract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 Mode_Count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Count distinct modes per tract</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1-4 modes per tract</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Set Has_Rail flag</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 if metro/lightrail/marc stop intersects tract</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21 tracts = 1 (10.5%)</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Build Modes_List + Rail_Types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Concatenate mode names per tract</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Text fields in Mode_Access_Tracts_Pg</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vs Q5 rail comparison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SearchCursor group by Equity_Quintile</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7.5% rail / Q5: 10.3% rail — no disparity</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Build Rail_Stations_Clean_Pt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Filter Frequency_Stops_Baltimore_Pt</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57 rail stops (metro 21, lightrail 31, marc 5)</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2E5496" w:sz="12"/>
              <w:left w:val="single" w:color="2E5496" w:sz="12"/>
              <w:bottom w:val="single" w:color="2E5496" w:sz="12"/>
              <w:right w:val="none"/>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2E5496"/>
                <w:sz w:val="18"/>
                <w:szCs w:val="18"/>
              </w:rPr>
              <w:t xml:space="preserve">FINDING</w:t>
            </w:r>
          </w:p>
        </w:tc>
        <w:tc>
          <w:tcPr>
            <w:tcW w:type="dxa" w:w="8760"/>
            <w:tcBorders>
              <w:top w:val="single" w:color="2E5496" w:sz="12"/>
              <w:left w:val="none"/>
              <w:bottom w:val="single" w:color="2E5496" w:sz="12"/>
              <w:right w:val="single" w:color="2E5496" w:sz="12"/>
            </w:tcBorders>
            <w:shd w:fill="D6E4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Baltimore is 95.8% bus dependent. Only 21 tracts (10.5%) have rail access. Low income tracts have marginally more rail access (10.3%) than wealthy tracts (7.5%) — no disparity finding. Rail corridors serve inner-city areas along metro east-west and light rail north-south alignments.</w:t>
            </w:r>
          </w:p>
        </w:tc>
      </w:tr>
    </w:tbl>
    <w:p/>
    <w:p>
      <w:pPr>
        <w:pStyle w:val="Heading2"/>
      </w:pPr>
      <w:r>
        <w:rPr>
          <w:rFonts w:ascii="Arial" w:cs="Arial" w:eastAsia="Arial" w:hAnsi="Arial"/>
          <w:b/>
          <w:bCs/>
          <w:color w:val="2E5496"/>
          <w:sz w:val="28"/>
          <w:szCs w:val="28"/>
        </w:rPr>
        <w:t xml:space="preserve">6.5 Analysis 12 — Network Connectivity Analysis</w:t>
      </w:r>
    </w:p>
    <w:p>
      <w:pPr>
        <w:spacing w:before="80" w:after="80" w:line="280"/>
        <w:jc w:val="both"/>
      </w:pPr>
      <w:r>
        <w:rPr>
          <w:rFonts w:ascii="Arial" w:cs="Arial" w:eastAsia="Arial" w:hAnsi="Arial"/>
          <w:b w:val="false"/>
          <w:bCs w:val="false"/>
          <w:i w:val="false"/>
          <w:iCs w:val="false"/>
          <w:color w:val="000000"/>
          <w:sz w:val="22"/>
          <w:szCs w:val="22"/>
        </w:rPr>
        <w:t xml:space="preserve">Objective: Measure how many distinct bus routes serve each stop (route diversity), identify transfer points, and test whether connectivity varies significantly across income quintiles.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400"/>
        <w:gridCol w:w="44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Process</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Result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Load GTFS stop_times for all modes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csv.DictReader for all 5 mode stop_times.txt</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4,681 stops with trip assignments</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Count distinct routes per stop</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defaultdict: stop_id -&gt; set(route_id)</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Routes per stop calculated</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Identify transfer points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stops with len(routes) &gt;= 2</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1,107 transfer points -&gt; Transfer_Points_Pt</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Spatial join to tracts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arcpy.SpatialJoin INTERSECT</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Routes per stop assigned to containing tract</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 Avg_Routes per tract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Mean routes per stop within tract</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Avg_Routes in Connectivity_Tracts_Pg</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Calculate Transfer_Cnt per tract</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Count transfer points within tract</w:t>
            </w:r>
          </w:p>
        </w:tc>
        <w:tc>
          <w:tcPr>
            <w:tcW w:type="dxa" w:w="4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Transfer_Cnt in Connectivity_Tracts_Pg</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vs Q5 Welch t-test on Avg_Routes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scipy.stats.ttest_ind</w:t>
            </w:r>
          </w:p>
        </w:tc>
        <w:tc>
          <w:tcPr>
            <w:tcW w:type="dxa" w:w="4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 = 0.567 — NOT significant</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2E5496" w:sz="12"/>
              <w:left w:val="single" w:color="2E5496" w:sz="12"/>
              <w:bottom w:val="single" w:color="2E5496" w:sz="12"/>
              <w:right w:val="none"/>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2E5496"/>
                <w:sz w:val="18"/>
                <w:szCs w:val="18"/>
              </w:rPr>
              <w:t xml:space="preserve">FINDING</w:t>
            </w:r>
          </w:p>
        </w:tc>
        <w:tc>
          <w:tcPr>
            <w:tcW w:type="dxa" w:w="8760"/>
            <w:tcBorders>
              <w:top w:val="single" w:color="2E5496" w:sz="12"/>
              <w:left w:val="none"/>
              <w:bottom w:val="single" w:color="2E5496" w:sz="12"/>
              <w:right w:val="single" w:color="2E5496" w:sz="12"/>
            </w:tcBorders>
            <w:shd w:fill="D6E4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significant connectivity disparity. Q1 avg: 1.46 routes/stop vs Q5 avg: 1.54 routes/stop. p = 0.567 — not statistically significant. 1,107 transfer points distributed broadly. Note: route lines passing through a tract without stopping do not improve connectivity for residents.</w:t>
            </w:r>
          </w:p>
        </w:tc>
      </w:tr>
    </w:tbl>
    <w:p/>
    <w:p>
      <w:r>
        <w:br w:type="page"/>
      </w:r>
    </w:p>
    <w:p>
      <w:pPr>
        <w:pStyle w:val="Heading1"/>
      </w:pPr>
      <w:r>
        <w:rPr>
          <w:rFonts w:ascii="Arial" w:cs="Arial" w:eastAsia="Arial" w:hAnsi="Arial"/>
          <w:b/>
          <w:bCs/>
          <w:color w:val="1F3864"/>
          <w:sz w:val="36"/>
          <w:szCs w:val="36"/>
        </w:rPr>
        <w:t xml:space="preserve">7. FTA Title VI Analysis Framework</w:t>
      </w:r>
    </w:p>
    <w:p>
      <w:pPr>
        <w:spacing w:before="80" w:after="80" w:line="280"/>
        <w:jc w:val="both"/>
      </w:pPr>
      <w:r>
        <w:rPr>
          <w:rFonts w:ascii="Arial" w:cs="Arial" w:eastAsia="Arial" w:hAnsi="Arial"/>
          <w:b w:val="false"/>
          <w:bCs w:val="false"/>
          <w:i w:val="false"/>
          <w:iCs w:val="false"/>
          <w:color w:val="000000"/>
          <w:sz w:val="22"/>
          <w:szCs w:val="22"/>
        </w:rPr>
        <w:t xml:space="preserve">Title VI of the Civil Rights Act of 1964 prohibits discrimination based on race, color, or national origin in programs receiving federal financial assistance. FTA Circular 4702.1B (2012) requires transit agencies to conduct service equity analyses using a disparate impact test.</w:t>
      </w:r>
    </w:p>
    <w:p/>
    <w:p>
      <w:pPr>
        <w:pStyle w:val="Heading2"/>
      </w:pPr>
      <w:r>
        <w:rPr>
          <w:rFonts w:ascii="Arial" w:cs="Arial" w:eastAsia="Arial" w:hAnsi="Arial"/>
          <w:b/>
          <w:bCs/>
          <w:color w:val="2E5496"/>
          <w:sz w:val="28"/>
          <w:szCs w:val="28"/>
        </w:rPr>
        <w:t xml:space="preserve">7.1 Definitions and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Term</w:t>
            </w:r>
          </w:p>
        </w:tc>
        <w:tc>
          <w:tcPr>
            <w:tcW w:type="dxa" w:w="7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Definition Used in This Study</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Minority population</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Defined per FTA standard: all residents who do not identify as Non-Hispanic White alone. Calculated as 100 - Pct_NonHispanicWhite. Includes Black, Hispanic, Asian, Native American, Pacific Islander, and multiracial residents.</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Disparate impact</w:t>
            </w:r>
          </w:p>
        </w:tc>
        <w:tc>
          <w:tcPr>
            <w:tcW w:type="dxa" w:w="7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 condition where a transit policy or service pattern disproportionately burdens minority populations relative to non-minority populations, regardless of intent.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Disparity ratio</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Minority metric / Non-minority metric. A ratio above 1.25x indicates a disparate impact finding per FTA Circular 4702.1B.</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threshold</w:t>
            </w:r>
          </w:p>
        </w:tc>
        <w:tc>
          <w:tcPr>
            <w:tcW w:type="dxa" w:w="7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1.25x (FTA standard). Findings at or above this threshold require the transit agency to consider mitigation or the least discriminatory alternative.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Low-income threshold</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Disproportionate burden test (separate from Title VI): typically 1.25x for low-income populations. Not tested separately in this study; income equity addressed through quintile analysis.</w:t>
            </w:r>
          </w:p>
        </w:tc>
      </w:tr>
    </w:tbl>
    <w:p/>
    <w:p>
      <w:pPr>
        <w:pStyle w:val="Heading2"/>
      </w:pPr>
      <w:r>
        <w:rPr>
          <w:rFonts w:ascii="Arial" w:cs="Arial" w:eastAsia="Arial" w:hAnsi="Arial"/>
          <w:b/>
          <w:bCs/>
          <w:color w:val="2E5496"/>
          <w:sz w:val="28"/>
          <w:szCs w:val="28"/>
        </w:rPr>
        <w:t xml:space="preserve">7.2 Title VI Tests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900"/>
        <w:gridCol w:w="18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Test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Minority Value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Non-Minority Value</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Ratio</w:t>
            </w:r>
          </w:p>
        </w:tc>
        <w:tc>
          <w:tcPr>
            <w:tcW w:type="dxa" w:w="1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Finding</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Spatial gap coverage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 in transit deserts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Hispanic: 8.3%</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Non-Hispanic: 5.4%</w:t>
            </w:r>
          </w:p>
        </w:tc>
        <w:tc>
          <w:tcPr>
            <w:tcW w:type="dxa" w:w="900"/>
            <w:tcBorders>
              <w:top w:val="single" w:color="BFBFBF" w:sz="4"/>
              <w:left w:val="single" w:color="BFBFBF" w:sz="4"/>
              <w:bottom w:val="single" w:color="BFBFBF" w:sz="4"/>
              <w:right w:val="single" w:color="BFBFBF" w:sz="4"/>
            </w:tcBorders>
            <w:shd w:fill="FAEBD7" w:val="clear"/>
            <w:tcMar>
              <w:top w:type="dxa" w:w="60"/>
              <w:left w:type="dxa" w:w="120"/>
              <w:bottom w:type="dxa" w:w="60"/>
              <w:right w:type="dxa" w:w="120"/>
            </w:tcMar>
          </w:tcPr>
          <w:p>
            <w:r>
              <w:rPr>
                <w:rFonts w:ascii="Arial" w:cs="Arial" w:eastAsia="Arial" w:hAnsi="Arial"/>
                <w:b/>
                <w:bCs/>
                <w:i w:val="false"/>
                <w:iCs w:val="false"/>
                <w:color w:val="9B2335"/>
                <w:sz w:val="20"/>
                <w:szCs w:val="20"/>
              </w:rPr>
              <w:t xml:space="preserve">1.54x</w:t>
            </w:r>
          </w:p>
        </w:tc>
        <w:tc>
          <w:tcPr>
            <w:tcW w:type="dxa" w:w="1860"/>
            <w:tcBorders>
              <w:top w:val="single" w:color="BFBFBF" w:sz="4"/>
              <w:left w:val="single" w:color="BFBFBF" w:sz="4"/>
              <w:bottom w:val="single" w:color="BFBFBF" w:sz="4"/>
              <w:right w:val="single" w:color="BFBFBF" w:sz="4"/>
            </w:tcBorders>
            <w:shd w:fill="FAEBD7" w:val="clear"/>
            <w:tcMar>
              <w:top w:type="dxa" w:w="60"/>
              <w:left w:type="dxa" w:w="120"/>
              <w:bottom w:type="dxa" w:w="60"/>
              <w:right w:type="dxa" w:w="120"/>
            </w:tcMar>
          </w:tcPr>
          <w:p>
            <w:r>
              <w:rPr>
                <w:rFonts w:ascii="Arial" w:cs="Arial" w:eastAsia="Arial" w:hAnsi="Arial"/>
                <w:b/>
                <w:bCs/>
                <w:i w:val="false"/>
                <w:iCs w:val="false"/>
                <w:color w:val="9B2335"/>
                <w:sz w:val="20"/>
                <w:szCs w:val="20"/>
              </w:rPr>
              <w:t xml:space="preserve">TITLE VI FINDING</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Commute time burden</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 travel time (min)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26.6 min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19.5 min</w:t>
            </w:r>
          </w:p>
        </w:tc>
        <w:tc>
          <w:tcPr>
            <w:tcW w:type="dxa" w:w="900"/>
            <w:tcBorders>
              <w:top w:val="single" w:color="BFBFBF" w:sz="4"/>
              <w:left w:val="single" w:color="BFBFBF" w:sz="4"/>
              <w:bottom w:val="single" w:color="BFBFBF" w:sz="4"/>
              <w:right w:val="single" w:color="BFBFBF" w:sz="4"/>
            </w:tcBorders>
            <w:shd w:fill="FAEBD7" w:val="clear"/>
            <w:tcMar>
              <w:top w:type="dxa" w:w="60"/>
              <w:left w:type="dxa" w:w="120"/>
              <w:bottom w:type="dxa" w:w="60"/>
              <w:right w:type="dxa" w:w="120"/>
            </w:tcMar>
          </w:tcPr>
          <w:p>
            <w:r>
              <w:rPr>
                <w:rFonts w:ascii="Arial" w:cs="Arial" w:eastAsia="Arial" w:hAnsi="Arial"/>
                <w:b/>
                <w:bCs/>
                <w:i w:val="false"/>
                <w:iCs w:val="false"/>
                <w:color w:val="9B2335"/>
                <w:sz w:val="20"/>
                <w:szCs w:val="20"/>
              </w:rPr>
              <w:t xml:space="preserve">1.36x</w:t>
            </w:r>
          </w:p>
        </w:tc>
        <w:tc>
          <w:tcPr>
            <w:tcW w:type="dxa" w:w="1860"/>
            <w:tcBorders>
              <w:top w:val="single" w:color="BFBFBF" w:sz="4"/>
              <w:left w:val="single" w:color="BFBFBF" w:sz="4"/>
              <w:bottom w:val="single" w:color="BFBFBF" w:sz="4"/>
              <w:right w:val="single" w:color="BFBFBF" w:sz="4"/>
            </w:tcBorders>
            <w:shd w:fill="FAEBD7" w:val="clear"/>
            <w:tcMar>
              <w:top w:type="dxa" w:w="60"/>
              <w:left w:type="dxa" w:w="120"/>
              <w:bottom w:type="dxa" w:w="60"/>
              <w:right w:type="dxa" w:w="120"/>
            </w:tcMar>
          </w:tcPr>
          <w:p>
            <w:r>
              <w:rPr>
                <w:rFonts w:ascii="Arial" w:cs="Arial" w:eastAsia="Arial" w:hAnsi="Arial"/>
                <w:b/>
                <w:bCs/>
                <w:i w:val="false"/>
                <w:iCs w:val="false"/>
                <w:color w:val="9B2335"/>
                <w:sz w:val="20"/>
                <w:szCs w:val="20"/>
              </w:rPr>
              <w:t xml:space="preserve">TITLE VI FINDING</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of service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 headway (min)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17.1 min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27.4 min</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bCs/>
                <w:i w:val="false"/>
                <w:iCs w:val="false"/>
                <w:color w:val="1E5631"/>
                <w:sz w:val="20"/>
                <w:szCs w:val="20"/>
              </w:rPr>
              <w:t xml:space="preserve">0.62x</w:t>
            </w:r>
          </w:p>
        </w:tc>
        <w:tc>
          <w:tcPr>
            <w:tcW w:type="dxa" w:w="1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E5631"/>
                <w:sz w:val="20"/>
                <w:szCs w:val="20"/>
              </w:rPr>
              <w:t xml:space="preserve">No finding — minority tracts served MORE frequently</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gap tracts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 in gap tracts</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5.2%</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8.4%</w:t>
            </w:r>
          </w:p>
        </w:tc>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bCs/>
                <w:i w:val="false"/>
                <w:iCs w:val="false"/>
                <w:color w:val="1E5631"/>
                <w:sz w:val="20"/>
                <w:szCs w:val="20"/>
              </w:rPr>
              <w:t xml:space="preserve">0.62x</w:t>
            </w:r>
          </w:p>
        </w:tc>
        <w:tc>
          <w:tcPr>
            <w:tcW w:type="dxa" w:w="1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1E5631"/>
                <w:sz w:val="20"/>
                <w:szCs w:val="20"/>
              </w:rPr>
              <w:t xml:space="preserve">No finding</w:t>
            </w:r>
          </w:p>
        </w:tc>
      </w:tr>
    </w:tbl>
    <w:p/>
    <w:p>
      <w:r>
        <w:br w:type="page"/>
      </w:r>
    </w:p>
    <w:p>
      <w:pPr>
        <w:pStyle w:val="Heading1"/>
      </w:pPr>
      <w:r>
        <w:rPr>
          <w:rFonts w:ascii="Arial" w:cs="Arial" w:eastAsia="Arial" w:hAnsi="Arial"/>
          <w:b/>
          <w:bCs/>
          <w:color w:val="1F3864"/>
          <w:sz w:val="36"/>
          <w:szCs w:val="36"/>
        </w:rPr>
        <w:t xml:space="preserve">8. Statistical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Test</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Where Applied</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Variables</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Result</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Pearson correlation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Analysis 10: Travel time vs equity</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Equity_Score vs Avg_Travel_Time</w:t>
            </w:r>
          </w:p>
        </w:tc>
        <w:tc>
          <w:tcPr>
            <w:tcW w:type="dxa" w:w="3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 = +0.605, p &lt; 0.001, R² = 0.367</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Pearson correlation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Analysis 08/09: Frequency vs equity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Equity_Score vs Avg_Headway</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 = -0.356, p &lt; 0.001, R² = 0.127</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Welch t-test</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Analysis 10: Q1 vs Q5 travel time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Avg_Travel_Time vs Q5 Avg_Travel_Time</w:t>
            </w:r>
          </w:p>
        </w:tc>
        <w:tc>
          <w:tcPr>
            <w:tcW w:type="dxa" w:w="3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t-stat significant, p &lt; 0.001</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Welch t-test</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Analysis 12: Q1 vs Q5 connectivity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Avg_Routes vs Q5 Avg_Routes</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 = 0.567 — NOT significant</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Welch t-test</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Analysis 09: Q1 vs Q5 headway</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Q1 Avg_Headway vs Q5 Avg_Headway</w:t>
            </w:r>
          </w:p>
        </w:tc>
        <w:tc>
          <w:tcPr>
            <w:tcW w:type="dxa" w:w="3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diff = -8.1 min, p &lt; 0.001</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Disparity ratio</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spatial gap</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Hispanic % in gaps / citywide %</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1.54x — above 1.25x threshold</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Disparity ratio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commute time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Minority Avg_TT / Non-minority Avg_TT</w:t>
            </w:r>
          </w:p>
        </w:tc>
        <w:tc>
          <w:tcPr>
            <w:tcW w:type="dxa" w:w="3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1.36x — above 1.25x threshold</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Quintile analysis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All analyses: income group comparison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Equity_Quintile groupings (Q1-Q5)</w:t>
            </w:r>
          </w:p>
        </w:tc>
        <w:tc>
          <w:tcPr>
            <w:tcW w:type="dxa" w:w="3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Used throughout for equity profiling</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Min-max normalization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 score construction</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19 ACS indicators scaled to 0-100</w:t>
            </w:r>
          </w:p>
        </w:tc>
        <w:tc>
          <w:tcPr>
            <w:tcW w:type="dxa" w:w="3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Equity_Score range: 11.1 to 67.3</w:t>
            </w:r>
          </w:p>
        </w:tc>
      </w:tr>
    </w:tbl>
    <w:p/>
    <w:p>
      <w:pPr>
        <w:spacing w:before="80" w:after="80" w:line="280"/>
        <w:jc w:val="both"/>
      </w:pPr>
      <w:r>
        <w:rPr>
          <w:rFonts w:ascii="Arial" w:cs="Arial" w:eastAsia="Arial" w:hAnsi="Arial"/>
          <w:b/>
          <w:bCs/>
          <w:i w:val="false"/>
          <w:iCs w:val="false"/>
          <w:color w:val="000000"/>
          <w:sz w:val="22"/>
          <w:szCs w:val="22"/>
        </w:rPr>
        <w:t xml:space="preserve">Significance threshold: </w:t>
      </w:r>
      <w:r>
        <w:rPr>
          <w:rFonts w:ascii="Arial" w:cs="Arial" w:eastAsia="Arial" w:hAnsi="Arial"/>
          <w:b w:val="false"/>
          <w:bCs w:val="false"/>
          <w:i w:val="false"/>
          <w:iCs w:val="false"/>
          <w:color w:val="000000"/>
          <w:sz w:val="22"/>
          <w:szCs w:val="22"/>
        </w:rPr>
        <w:t xml:space="preserve">α = 0.05. All t-tests were two-tailed. Welch (unequal variance) t-tests used throughout to account for unequal sample sizes and variance across quintile groups. Library: scipy.stats (Python).</w:t>
      </w:r>
    </w:p>
    <w:p/>
    <w:p>
      <w:r>
        <w:br w:type="page"/>
      </w:r>
    </w:p>
    <w:p>
      <w:pPr>
        <w:pStyle w:val="Heading1"/>
      </w:pPr>
      <w:r>
        <w:rPr>
          <w:rFonts w:ascii="Arial" w:cs="Arial" w:eastAsia="Arial" w:hAnsi="Arial"/>
          <w:b/>
          <w:bCs/>
          <w:color w:val="1F3864"/>
          <w:sz w:val="36"/>
          <w:szCs w:val="36"/>
        </w:rPr>
        <w:t xml:space="preserve">9. Technical Constants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Parameter</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Coordinate Reference System</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EPSG 2248 — NAD 1983 StatePlane Maryland FIPS 1900 US Feet</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Maintains metric accuracy for area and distance calculations in Maryland. Used throughout all analyses and map exports.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Walk speed</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 mph (4.83 km/h)</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Standard pedestrian walk speed used in FTA and TCRP transit access analyses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 area breaks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 minutes and 10 minutes</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FTA standard walk catchment distances for transit accessibility analysis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Headway calculation cap</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180 minutes</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Maximum gap between arrivals included in average calculation. Excludes overnight service gaps that would artificially inflate headway values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Area conversion factor</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27,878,400 sq ft per sq mile</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Used to convert EPSG 2248 area values (sq feet) to sq miles for reporting</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threshold</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1.25x disparity ratio</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FTA Circular 4702.1B (2012) disparate impact standard</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thresholds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High &lt;=10 min / Moderate &lt;=20 min / Low &lt;=30 min / Infrequent &gt;30 min</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Industry standard thresholds per FTA and TCRP Report 165</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 service filter</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Weekday service_id trips only</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Ensures analysis reflects typical weekday service, not special or weekend schedules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Statistical alpha</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0.05 (two-tailed)</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Standard significance threshold for all hypothesis tests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 quintiles</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5 groups of ~40 tracts each</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Quintile breaks based on Equity_Score distribution percentiles: 26.3, 36.4, 43.2, 49.1</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Minority definition</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100 - Pct_NonHispanicWhite</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FTA Title VI standard minority definition per Circular 4702.1B</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Map export resolution</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300 DPI PNG + PDF</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Standard for professional planning documents and portfolio presentation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Map CRS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EPSG 2248</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Consistent with analysis CRS. User updated from default WGS84.</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Map layout</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8.5 x 11 inch (US Letter)</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Standard document size for professional planning documents</w:t>
            </w:r>
          </w:p>
        </w:tc>
      </w:tr>
    </w:tbl>
    <w:p/>
    <w:p>
      <w:r>
        <w:br w:type="page"/>
      </w:r>
    </w:p>
    <w:p>
      <w:pPr>
        <w:pStyle w:val="Heading1"/>
      </w:pPr>
      <w:r>
        <w:rPr>
          <w:rFonts w:ascii="Arial" w:cs="Arial" w:eastAsia="Arial" w:hAnsi="Arial"/>
          <w:b/>
          <w:bCs/>
          <w:color w:val="1F3864"/>
          <w:sz w:val="36"/>
          <w:szCs w:val="36"/>
        </w:rPr>
        <w:t xml:space="preserve">10. Dropped Analysis — Destination Gap</w:t>
      </w:r>
    </w:p>
    <w:p>
      <w:pPr>
        <w:spacing w:before="80" w:after="80" w:line="280"/>
        <w:jc w:val="both"/>
      </w:pPr>
      <w:r>
        <w:rPr>
          <w:rFonts w:ascii="Arial" w:cs="Arial" w:eastAsia="Arial" w:hAnsi="Arial"/>
          <w:b w:val="false"/>
          <w:bCs w:val="false"/>
          <w:i w:val="false"/>
          <w:iCs w:val="false"/>
          <w:color w:val="000000"/>
          <w:sz w:val="22"/>
          <w:szCs w:val="22"/>
        </w:rPr>
        <w:t xml:space="preserve">A destination gap analysis was designed and partially built but deliberately excluded from the final portfolio. The analysis intended to measure access to seven destination categories (Healthcare, Education, Food Access, Recreation, Social Services, Culture, and Worship) and compare access quality across equity quintiles.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Item</w:t>
            </w:r>
          </w:p>
        </w:tc>
        <w:tc>
          <w:tcPr>
            <w:tcW w:type="dxa" w:w="7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Details</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Layer built</w:t>
            </w:r>
          </w:p>
        </w:tc>
        <w:tc>
          <w:tcPr>
            <w:tcW w:type="dxa" w:w="7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Destinations_Pg (3,260 features): Healthcare 66, Education 269, Food_Access 536, Recreation 1,790, Social 122, Culture 59, Worship 418</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Source</w:t>
            </w:r>
          </w:p>
        </w:tc>
        <w:tc>
          <w:tcPr>
            <w:tcW w:type="dxa" w:w="7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Points_Of_Interest_Pg + Places_Of_Worship_Pg (both from OpenStreetMap)</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Reason for exclusion</w:t>
            </w:r>
          </w:p>
        </w:tc>
        <w:tc>
          <w:tcPr>
            <w:tcW w:type="dxa" w:w="7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OSM destination data is systematically under-mapped in low-income neighborhoods. Food stores, clinics, and social services are less consistently recorded in OSM for lower-income areas, which would produce a false finding suggesting worse destination access in low-income tracts due to data gaps rather than actual service deficits.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Decision</w:t>
            </w:r>
          </w:p>
        </w:tc>
        <w:tc>
          <w:tcPr>
            <w:tcW w:type="dxa" w:w="7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Publish no findings rather than publish unreliable findings. Layers retained in geodatabase as Destinations_Pg, Destinations_Served_Pg, Destinations_Gap_Pg for potential future use with authoritative data (HIFLD, Maryland Open Data, etc.)</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Mitigation in report</w:t>
            </w:r>
          </w:p>
        </w:tc>
        <w:tc>
          <w:tcPr>
            <w:tcW w:type="dxa" w:w="7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Cite Johns Hopkins BTEC 2021 report which documents destination access inequity in Baltimore using authoritative data. Note as future work recommendation.</w:t>
            </w:r>
          </w:p>
        </w:tc>
      </w:tr>
    </w:tbl>
    <w:p/>
    <w:p>
      <w:r>
        <w:br w:type="page"/>
      </w:r>
    </w:p>
    <w:p>
      <w:pPr>
        <w:pStyle w:val="Heading1"/>
      </w:pPr>
      <w:r>
        <w:rPr>
          <w:rFonts w:ascii="Arial" w:cs="Arial" w:eastAsia="Arial" w:hAnsi="Arial"/>
          <w:b/>
          <w:bCs/>
          <w:color w:val="1F3864"/>
          <w:sz w:val="36"/>
          <w:szCs w:val="36"/>
        </w:rPr>
        <w:t xml:space="preserve">11. Map Production</w:t>
      </w:r>
    </w:p>
    <w:p>
      <w:pPr>
        <w:spacing w:before="80" w:after="80" w:line="280"/>
        <w:jc w:val="both"/>
      </w:pPr>
      <w:r>
        <w:rPr>
          <w:rFonts w:ascii="Arial" w:cs="Arial" w:eastAsia="Arial" w:hAnsi="Arial"/>
          <w:b w:val="false"/>
          <w:bCs w:val="false"/>
          <w:i w:val="false"/>
          <w:iCs w:val="false"/>
          <w:color w:val="000000"/>
          <w:sz w:val="22"/>
          <w:szCs w:val="22"/>
        </w:rPr>
        <w:t xml:space="preserve">All 12 maps were produced in ArcGIS Pro using a standardized layout template ('MapTemplate', 8.5 x 11 inch). Each map was exported at 300 DPI in both PNG and PDF formats. All map exports were scripted using arcpy.mp.</w:t>
      </w:r>
    </w:p>
    <w:p/>
    <w:p>
      <w:pPr>
        <w:spacing w:before="80" w:after="80" w:line="280"/>
        <w:jc w:val="both"/>
      </w:pPr>
      <w:r>
        <w:rPr>
          <w:rFonts w:ascii="Arial" w:cs="Arial" w:eastAsia="Arial" w:hAnsi="Arial"/>
          <w:b/>
          <w:bCs/>
          <w:i w:val="false"/>
          <w:iCs w:val="false"/>
          <w:color w:val="000000"/>
          <w:sz w:val="22"/>
          <w:szCs w:val="22"/>
        </w:rPr>
        <w:t xml:space="preserve">Output paths: </w:t>
      </w:r>
      <w:r>
        <w:rPr>
          <w:rFonts w:ascii="Arial" w:cs="Arial" w:eastAsia="Arial" w:hAnsi="Arial"/>
          <w:b w:val="false"/>
          <w:bCs w:val="false"/>
          <w:i w:val="false"/>
          <w:iCs w:val="false"/>
          <w:color w:val="000000"/>
          <w:sz w:val="22"/>
          <w:szCs w:val="22"/>
        </w:rPr>
        <w:t xml:space="preserve">PNG: C:\Users\kojoa\Documents\ArcGIS\Projects\MyProject\outputs\maps\image\  |  PDF: C:\Users\kojoa\Documents\ArcGIS\Projects\MyProject\outputs\maps\pdf\</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200"/>
        <w:gridCol w:w="1600"/>
        <w:gridCol w:w="3200"/>
      </w:tblGrid>
      <w:tr>
        <w:trPr>
          <w:tblHeader/>
        </w:trPr>
        <w:tc>
          <w:tcPr>
            <w:tcW w:type="dxa" w:w="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Map</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Title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Layer</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Symbolized</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Finding Shown</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Study Area Overview</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GTFS_Routes_Baltimore_Ln + Boundary</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Network extent across Baltimore</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02</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Network</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GTFS_Routes_Baltimore_Ln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 (unique values)</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433 routes across 5 modes</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 Area Coverage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ServiceArea_Rings + Gap_Zones_Pg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ToBreak (5/10 min)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87.6% city covered within 10-min walk</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04</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Transit Desert Zones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Gap_Zones_Pg + SA_Dissolved_Pg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 vs Served area</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10.04 sq mi (12.4%) unserved — Title VI</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Composite Equity Index</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Frequency_Tracts_Pg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Equity_Level</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Vulnerability distribution across city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Service Frequency</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Frequency_Tracts_Pg + Stops</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Avg_Headway</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paradox — poor areas served more frequently</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Gap Zones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Freq_Gap_Tracts_Pg + Combined_Gap</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Gap zones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18 infrequent tracts — mostly wealthy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08</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Commute Burden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Frequency_Tracts_Pg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Avg_Travel_Time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Strongest finding: 57% longer commutes for low income</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09</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Modal Access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Mode_Access_Tracts_Pg + Rail layers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Has_Rail</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95.8% bus dependent; rail in 10.5% of tracts</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10</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Network Connectivity</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Connectivity_Tracts_Pg + Transfer_Pt</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Avg_Routes</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No connectivity disparity (p=0.567)</w:t>
            </w:r>
          </w:p>
        </w:tc>
      </w:tr>
      <w:tr>
        <w:tc>
          <w:tcPr>
            <w:tcW w:type="dxa" w:w="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Title VI Findings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CensusTracts_Demographics_Pg + Gaps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Pct_Minority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Two Title VI findings mapped spatially</w:t>
            </w:r>
          </w:p>
        </w:tc>
      </w:tr>
      <w:tr>
        <w:tc>
          <w:tcPr>
            <w:tcW w:type="dxa" w:w="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12</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Composite Equity Story</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CensusTracts_Demographics_Pg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Equity_Score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All findings synthesized in one summary map</w:t>
            </w:r>
          </w:p>
        </w:tc>
      </w:tr>
    </w:tbl>
    <w:p/>
    <w:p>
      <w:r>
        <w:br w:type="page"/>
      </w:r>
    </w:p>
    <w:p>
      <w:pPr>
        <w:pStyle w:val="Heading1"/>
      </w:pPr>
      <w:r>
        <w:rPr>
          <w:rFonts w:ascii="Arial" w:cs="Arial" w:eastAsia="Arial" w:hAnsi="Arial"/>
          <w:b/>
          <w:bCs/>
          <w:color w:val="1F3864"/>
          <w:sz w:val="36"/>
          <w:szCs w:val="36"/>
        </w:rPr>
        <w:t xml:space="preserve">12. Summary of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Analysis</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Statistic</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Interpretation</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Title VI</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Spatial Coverage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87.6% covered, 10.04 sq mi gap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Good overall coverage but significant desert zones remain</w:t>
            </w:r>
          </w:p>
        </w:tc>
        <w:tc>
          <w:tcPr>
            <w:tcW w:type="dxa" w:w="2360"/>
            <w:tcBorders>
              <w:top w:val="single" w:color="BFBFBF" w:sz="4"/>
              <w:left w:val="single" w:color="BFBFBF" w:sz="4"/>
              <w:bottom w:val="single" w:color="BFBFBF" w:sz="4"/>
              <w:right w:val="single" w:color="BFBFBF" w:sz="4"/>
            </w:tcBorders>
            <w:shd w:fill="FAEBD7" w:val="clear"/>
            <w:tcMar>
              <w:top w:type="dxa" w:w="60"/>
              <w:left w:type="dxa" w:w="120"/>
              <w:bottom w:type="dxa" w:w="60"/>
              <w:right w:type="dxa" w:w="120"/>
            </w:tcMar>
          </w:tcPr>
          <w:p>
            <w:r>
              <w:rPr>
                <w:rFonts w:ascii="Arial" w:cs="Arial" w:eastAsia="Arial" w:hAnsi="Arial"/>
                <w:b/>
                <w:bCs/>
                <w:i w:val="false"/>
                <w:iCs w:val="false"/>
                <w:color w:val="9B2335"/>
                <w:sz w:val="20"/>
                <w:szCs w:val="20"/>
              </w:rPr>
              <w:t xml:space="preserve">Hispanic 1.54x — FINDING</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 = -0.356, Q1 25.3 vs Q5 17.2 min</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MTA inverts expectations: vulnerable neighborhoods served more frequently</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1E5631"/>
                <w:sz w:val="20"/>
                <w:szCs w:val="20"/>
              </w:rPr>
              <w:t xml:space="preserve">0.62x — No finding</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Gaps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18 tracts &gt;30 min, 61% in Q1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Frequency gaps concentrated in wealthy outer suburbs, not poor areas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1E5631"/>
                <w:sz w:val="20"/>
                <w:szCs w:val="20"/>
              </w:rPr>
              <w:t xml:space="preserve">0.62x — No finding</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Commute Burden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r = +0.605, Q1 19.7 vs Q5 30.9 min</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STRONGEST FINDING. Low income commute 57% longer. Monotonic gradient.</w:t>
            </w:r>
          </w:p>
        </w:tc>
        <w:tc>
          <w:tcPr>
            <w:tcW w:type="dxa" w:w="2360"/>
            <w:tcBorders>
              <w:top w:val="single" w:color="BFBFBF" w:sz="4"/>
              <w:left w:val="single" w:color="BFBFBF" w:sz="4"/>
              <w:bottom w:val="single" w:color="BFBFBF" w:sz="4"/>
              <w:right w:val="single" w:color="BFBFBF" w:sz="4"/>
            </w:tcBorders>
            <w:shd w:fill="FAEBD7" w:val="clear"/>
            <w:tcMar>
              <w:top w:type="dxa" w:w="60"/>
              <w:left w:type="dxa" w:w="120"/>
              <w:bottom w:type="dxa" w:w="60"/>
              <w:right w:type="dxa" w:w="120"/>
            </w:tcMar>
          </w:tcPr>
          <w:p>
            <w:r>
              <w:rPr>
                <w:rFonts w:ascii="Arial" w:cs="Arial" w:eastAsia="Arial" w:hAnsi="Arial"/>
                <w:b/>
                <w:bCs/>
                <w:i w:val="false"/>
                <w:iCs w:val="false"/>
                <w:color w:val="9B2335"/>
                <w:sz w:val="20"/>
                <w:szCs w:val="20"/>
              </w:rPr>
              <w:t xml:space="preserve">Minority 1.36x — FINDING</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Modal Access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95.8% bus, 10.5% tracts have rail</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Bus-dependent city. No modal equity disparity by income.</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888888"/>
                <w:sz w:val="20"/>
                <w:szCs w:val="20"/>
              </w:rPr>
              <w:t xml:space="preserve">No test conducted</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Connectivity</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p = 0.567, Q1 1.46 vs Q5 1.54 r/stop</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No statistically significant connectivity gap.</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Arial" w:cs="Arial" w:eastAsia="Arial" w:hAnsi="Arial"/>
                <w:b w:val="false"/>
                <w:bCs w:val="false"/>
                <w:i w:val="false"/>
                <w:iCs w:val="false"/>
                <w:color w:val="1E5631"/>
                <w:sz w:val="20"/>
                <w:szCs w:val="20"/>
              </w:rPr>
              <w:t xml:space="preserve">No finding</w:t>
            </w:r>
          </w:p>
        </w:tc>
      </w:tr>
    </w:tbl>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single" w:color="9B2335" w:sz="12"/>
              <w:left w:val="single" w:color="9B2335" w:sz="12"/>
              <w:bottom w:val="single" w:color="9B2335" w:sz="12"/>
              <w:right w:val="none"/>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9B2335"/>
                <w:sz w:val="18"/>
                <w:szCs w:val="18"/>
              </w:rPr>
              <w:t xml:space="preserve">OVERALL NARRATIVE</w:t>
            </w:r>
          </w:p>
        </w:tc>
        <w:tc>
          <w:tcPr>
            <w:tcW w:type="dxa" w:w="8760"/>
            <w:tcBorders>
              <w:top w:val="single" w:color="9B2335" w:sz="12"/>
              <w:left w:val="none"/>
              <w:bottom w:val="single" w:color="9B2335" w:sz="12"/>
              <w:right w:val="single" w:color="9B2335" w:sz="12"/>
            </w:tcBorders>
            <w:shd w:fill="FCE4D6"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Baltimore's transit equity challenge is not frequency or spatial coverage for minority residents — the MTA actually serves vulnerable neighborhoods more frequently. The real equity concern is commute burden: low income residents face 57% longer commutes (r=+0.605, p&lt;0.001). Two Title VI findings: Hispanic spatial gap (1.54x) and minority commute burden (1.36x). Baltimore remains 95.8% bus dependent with rail serving only 21 of 199 tracts.</w:t>
            </w:r>
          </w:p>
        </w:tc>
      </w:tr>
    </w:tbl>
    <w:p>
      <w:pPr>
        <w:pStyle w:val="Heading1"/>
      </w:pPr>
      <w:r>
        <w:rPr>
          <w:rFonts w:ascii="Arial" w:cs="Arial" w:eastAsia="Arial" w:hAnsi="Arial"/>
          <w:b/>
          <w:bCs/>
          <w:color w:val="1F3864"/>
          <w:sz w:val="36"/>
          <w:szCs w:val="36"/>
        </w:rPr>
        <w:t xml:space="preserve">12. Analysis Pipeline — Python Script Documentation</w:t>
      </w:r>
    </w:p>
    <w:p>
      <w:pPr>
        <w:spacing w:before="80" w:after="80" w:line="280"/>
        <w:jc w:val="both"/>
      </w:pPr>
      <w:r>
        <w:rPr>
          <w:rFonts w:ascii="Arial" w:cs="Arial" w:eastAsia="Arial" w:hAnsi="Arial"/>
          <w:b w:val="false"/>
          <w:bCs w:val="false"/>
          <w:i w:val="false"/>
          <w:iCs w:val="false"/>
          <w:color w:val="000000"/>
          <w:sz w:val="22"/>
          <w:szCs w:val="22"/>
        </w:rPr>
        <w:t xml:space="preserve">The Baltimore Transit Equity Analysis was executed through a sequenced pipeline of 14 Python scripts stored in the project scripts\ directory (C:\Users\kojoa\Documents\ArcGIS\Projects\MyProject\scripts\). All scripts use the arcpy library and operate against the project geodatabase (MyProject.gdb) and the GTFS database (GTFS_Database.gdb). Scripts are numbered to enforce execution order. Stages 01–07 constitute the data preparation phase; Stages 08–13 are the completed analysis stages; Stage 14 is a planned extension requiring additional data acquisition.</w:t>
      </w:r>
    </w:p>
    <w:p>
      <w:pPr>
        <w:pStyle w:val="Heading2"/>
      </w:pPr>
      <w:r>
        <w:rPr>
          <w:rFonts w:ascii="Arial" w:cs="Arial" w:eastAsia="Arial" w:hAnsi="Arial"/>
          <w:b/>
          <w:bCs/>
          <w:color w:val="2E75B6"/>
          <w:sz w:val="28"/>
          <w:szCs w:val="28"/>
        </w:rPr>
        <w:t xml:space="preserve">12.1 Script Reference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CellMar>
          <w:top w:type="dxa" w:w="80"/>
          <w:left w:type="dxa" w:w="100"/>
          <w:bottom w:type="dxa" w:w="80"/>
          <w:right w:type="dxa" w:w="100"/>
        </w:tblCellMar>
      </w:tblPr>
      <w:tblGrid>
        <w:gridCol w:w="480"/>
        <w:gridCol w:w="2040"/>
        <w:gridCol w:w="720"/>
        <w:gridCol w:w="2640"/>
        <w:gridCol w:w="2760"/>
        <w:gridCol w:w="720"/>
      </w:tblGrid>
      <w:tr>
        <w:tc>
          <w:tcPr>
            <w:tcW w:type="dxa" w:w="480"/>
            <w:tcBorders>
              <w:top w:val="single" w:color="BFBFBF" w:sz="4"/>
              <w:left w:val="single" w:color="BFBFBF" w:sz="4"/>
              <w:bottom w:val="single" w:color="BFBFBF" w:sz="4"/>
              <w:right w:val="single" w:color="BFBFBF" w:sz="4"/>
            </w:tcBorders>
            <w:shd w:fill="1F3864" w:val="clear"/>
            <w:tcMar>
              <w:top w:type="dxa" w:w="100"/>
              <w:left w:type="dxa" w:w="100"/>
              <w:bottom w:type="dxa" w:w="100"/>
              <w:right w:type="dxa" w:w="100"/>
            </w:tcMar>
          </w:tcPr>
          <w:p>
            <w:r>
              <w:rPr>
                <w:rFonts w:ascii="Arial" w:cs="Arial" w:hAnsi="Arial"/>
                <w:b/>
                <w:bCs/>
                <w:color w:val="FFFFFF"/>
                <w:sz w:val="18"/>
                <w:szCs w:val="18"/>
              </w:rPr>
              <w:t xml:space="preserve">Stage</w:t>
            </w:r>
          </w:p>
        </w:tc>
        <w:tc>
          <w:tcPr>
            <w:tcW w:type="dxa" w:w="2040"/>
            <w:tcBorders>
              <w:top w:val="single" w:color="BFBFBF" w:sz="4"/>
              <w:left w:val="single" w:color="BFBFBF" w:sz="4"/>
              <w:bottom w:val="single" w:color="BFBFBF" w:sz="4"/>
              <w:right w:val="single" w:color="BFBFBF" w:sz="4"/>
            </w:tcBorders>
            <w:shd w:fill="1F3864" w:val="clear"/>
            <w:tcMar>
              <w:top w:type="dxa" w:w="100"/>
              <w:left w:type="dxa" w:w="100"/>
              <w:bottom w:type="dxa" w:w="100"/>
              <w:right w:type="dxa" w:w="100"/>
            </w:tcMar>
          </w:tcPr>
          <w:p>
            <w:r>
              <w:rPr>
                <w:rFonts w:ascii="Arial" w:cs="Arial" w:hAnsi="Arial"/>
                <w:b/>
                <w:bCs/>
                <w:color w:val="FFFFFF"/>
                <w:sz w:val="18"/>
                <w:szCs w:val="18"/>
              </w:rPr>
              <w:t xml:space="preserve">Script Filename</w:t>
            </w:r>
          </w:p>
        </w:tc>
        <w:tc>
          <w:tcPr>
            <w:tcW w:type="dxa" w:w="720"/>
            <w:tcBorders>
              <w:top w:val="single" w:color="BFBFBF" w:sz="4"/>
              <w:left w:val="single" w:color="BFBFBF" w:sz="4"/>
              <w:bottom w:val="single" w:color="BFBFBF" w:sz="4"/>
              <w:right w:val="single" w:color="BFBFBF" w:sz="4"/>
            </w:tcBorders>
            <w:shd w:fill="1F3864" w:val="clear"/>
            <w:tcMar>
              <w:top w:type="dxa" w:w="100"/>
              <w:left w:type="dxa" w:w="100"/>
              <w:bottom w:type="dxa" w:w="100"/>
              <w:right w:type="dxa" w:w="100"/>
            </w:tcMar>
          </w:tcPr>
          <w:p>
            <w:r>
              <w:rPr>
                <w:rFonts w:ascii="Arial" w:cs="Arial" w:hAnsi="Arial"/>
                <w:b/>
                <w:bCs/>
                <w:color w:val="FFFFFF"/>
                <w:sz w:val="18"/>
                <w:szCs w:val="18"/>
              </w:rPr>
              <w:t xml:space="preserve">Phase</w:t>
            </w:r>
          </w:p>
        </w:tc>
        <w:tc>
          <w:tcPr>
            <w:tcW w:type="dxa" w:w="2640"/>
            <w:tcBorders>
              <w:top w:val="single" w:color="BFBFBF" w:sz="4"/>
              <w:left w:val="single" w:color="BFBFBF" w:sz="4"/>
              <w:bottom w:val="single" w:color="BFBFBF" w:sz="4"/>
              <w:right w:val="single" w:color="BFBFBF" w:sz="4"/>
            </w:tcBorders>
            <w:shd w:fill="1F3864" w:val="clear"/>
            <w:tcMar>
              <w:top w:type="dxa" w:w="100"/>
              <w:left w:type="dxa" w:w="100"/>
              <w:bottom w:type="dxa" w:w="100"/>
              <w:right w:type="dxa" w:w="100"/>
            </w:tcMar>
          </w:tcPr>
          <w:p>
            <w:r>
              <w:rPr>
                <w:rFonts w:ascii="Arial" w:cs="Arial" w:hAnsi="Arial"/>
                <w:b/>
                <w:bCs/>
                <w:color w:val="FFFFFF"/>
                <w:sz w:val="18"/>
                <w:szCs w:val="18"/>
              </w:rPr>
              <w:t xml:space="preserve">Purpose</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00"/>
              <w:bottom w:type="dxa" w:w="100"/>
              <w:right w:type="dxa" w:w="100"/>
            </w:tcMar>
          </w:tcPr>
          <w:p>
            <w:r>
              <w:rPr>
                <w:rFonts w:ascii="Arial" w:cs="Arial" w:hAnsi="Arial"/>
                <w:b/>
                <w:bCs/>
                <w:color w:val="FFFFFF"/>
                <w:sz w:val="18"/>
                <w:szCs w:val="18"/>
              </w:rPr>
              <w:t xml:space="preserve">Key Inputs / Outputs</w:t>
            </w:r>
          </w:p>
        </w:tc>
        <w:tc>
          <w:tcPr>
            <w:tcW w:type="dxa" w:w="720"/>
            <w:tcBorders>
              <w:top w:val="single" w:color="BFBFBF" w:sz="4"/>
              <w:left w:val="single" w:color="BFBFBF" w:sz="4"/>
              <w:bottom w:val="single" w:color="BFBFBF" w:sz="4"/>
              <w:right w:val="single" w:color="BFBFBF" w:sz="4"/>
            </w:tcBorders>
            <w:shd w:fill="1F3864" w:val="clear"/>
            <w:tcMar>
              <w:top w:type="dxa" w:w="100"/>
              <w:left w:type="dxa" w:w="100"/>
              <w:bottom w:type="dxa" w:w="100"/>
              <w:right w:type="dxa" w:w="100"/>
            </w:tcMar>
          </w:tcPr>
          <w:p>
            <w:r>
              <w:rPr>
                <w:rFonts w:ascii="Arial" w:cs="Arial" w:hAnsi="Arial"/>
                <w:b/>
                <w:bCs/>
                <w:color w:val="FFFFFF"/>
                <w:sz w:val="18"/>
                <w:szCs w:val="18"/>
              </w:rPr>
              <w:t xml:space="preserve">Status</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01</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01_gtfs_conversion.py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Converts raw GTFS .txt files to GDB feature classes for all 5 MTA modes.</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stops.txt, trips.txt, routes.txt, stop_times.txt (5 GTFS folders) | OUT: GTFS_BusStops_Baltimore_Pt, GTFS_Routes_Baltimore_Ln (GTFS_Database.gdb)</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02</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02_walktime_calculation.py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Runs Network Analyst Service Area solve at 5 and 10-minute walk cutoffs from all stops at 3 mph on OSM pedestrian network.</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Baltimore_Walk_ND, GTFS_BusStops_Baltimore_Pt | OUT: ServiceArea_Rings_Clean_Pg_5min_10min, SA_Dissolved_Pg</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03</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03_census_extraction.py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Downloads and processes ACS 2020 5-year estimates for 12 Census table groups covering demographics, income, poverty, disability, language, tenure, vehicles, and commute.</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Census API or pre-downloaded ACS 2020 CSV/xlsx (Tables B02001, B03001, B17001, B01001, B18101, B16004, B05001, B25003, B25044, B19013, B08301, B08013) | OUT: Cleaned ACS tables ready for merge</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04</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04_census_master_merge.py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Joins all 12 ACS tables onto the spatial layer by GEOID / TRACTCE to create the master demographic feature class.</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CensusTracts_Demographics_Pg (geometry), cleaned ACS tables | OUT: CensusTracts_Demographics_Pg with all raw ACS fields appended</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05</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05_tractce_format_fix.py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Fixes TRACTCE field formatting issues: adds leading zeros, standardises GEOID to 11-digit format, ensures join keys are consistent across all GDB layers.</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CensusTracts_Demographics_Pg | OUT: Corrected GEOID / TRACTCE join keys; validated against census boundary file</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06</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06_equity_index_build.py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Constructs the composite Equity Score (0-100) from 19 normalised ACS indicators using min-max scaling and unweighted mean aggregation. Assigns quintile rank (Q1-Q5).</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CensusTracts_Demographics_Pg with raw ACS fields | OUT: Equity_Score (0-100), Equity_Quintile (Q1-Q5) fields added to CensusTracts_Demographics_Pg</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07</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07_new_fields_calculation.py</w:t>
            </w:r>
          </w:p>
        </w:tc>
        <w:tc>
          <w:tcPr>
            <w:tcW w:type="dxa" w:w="720"/>
            <w:tcBorders>
              <w:top w:val="single" w:color="BFBFBF" w:sz="4"/>
              <w:left w:val="single" w:color="BFBFBF" w:sz="4"/>
              <w:bottom w:val="single" w:color="BFBFBF" w:sz="4"/>
              <w:right w:val="single" w:color="BFBFBF" w:sz="4"/>
            </w:tcBorders>
            <w:shd w:fill="D6E4F0" w:val="clear"/>
            <w:tcMar>
              <w:top w:type="dxa" w:w="80"/>
              <w:left w:type="dxa" w:w="100"/>
              <w:bottom w:type="dxa" w:w="80"/>
              <w:right w:type="dxa" w:w="100"/>
            </w:tcMar>
          </w:tcPr>
          <w:p>
            <w:r>
              <w:rPr>
                <w:rFonts w:ascii="Arial" w:cs="Arial" w:hAnsi="Arial"/>
                <w:b/>
                <w:bCs/>
                <w:i w:val="false"/>
                <w:iCs w:val="false"/>
                <w:color w:val="000000"/>
                <w:sz w:val="18"/>
                <w:szCs w:val="18"/>
              </w:rPr>
              <w:t xml:space="preserve">Data Prep</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Calculates all derived percentage and rate fields (Pct_Minority, Pct_ZeroVeh, Pct_Poverty, etc.) from raw ACS count fields. Also calculates Avg_TravelTime from B08013/B08301.</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CensusTracts_Demographics_Pg with raw ACS counts | OUT: 19 derived percentage fields; Avg_TravelTime field ready for Analysis 10</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08</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08_gap_analysis.py</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000000"/>
                <w:sz w:val="18"/>
                <w:szCs w:val="18"/>
              </w:rPr>
              <w:t xml:space="preserve">Analysis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Spatial gap (transit desert) analysis. Erases SA_Dissolved_Pg from Baltimore_City_Land_Only to identify unserved land. Runs Title VI spatial demographic overlay.</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SA_Dissolved_Pg, Baltimore_City_Land_Only, CensusTracts_Demographics_Pg | OUT: Gap_Zones_Pg, Combined_Gap_Zones_Pg (10.04 sq mi / 12.4% gap; Hispanic 1.54x TITLE VI FINDING)</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09</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09_desert_demographics.py</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000000"/>
                <w:sz w:val="18"/>
                <w:szCs w:val="18"/>
              </w:rPr>
              <w:t xml:space="preserve">Analysis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Spatial join of gap zones with census tracts. Calculates demographic profiles of gap-affected vs. served tracts. Produces frequency gap layer.</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Gap_Zones_Pg, CensusTracts_Demographics_Pg, Frequency_Stops_Baltimore_Pt | OUT: Freq_Gap_Tracts_Pg, Frequency_Gap_Zones_Pg (18 gap tracts identified)</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10</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10_travel_time_by_equity.py</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000000"/>
                <w:sz w:val="18"/>
                <w:szCs w:val="18"/>
              </w:rPr>
              <w:t xml:space="preserve">Analysis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Correlates census commute time (Avg_TravelTime) with Equity_Score. Calculates Q1-Q5 quintile means and Pearson r. Tests minority vs. non-minority travel time disparity for Title VI.</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CensusTracts_Demographics_Pg (Avg_TravelTime, Equity_Score, Pct_Minority) | OUT: r=+0.605, p&lt;0.001, R2=0.367; Minority 1.36x TITLE VI FINDING; Q1=19.7 min vs Q5=30.9 min</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11</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11_mode_stops_export.py</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000000"/>
                <w:sz w:val="18"/>
                <w:szCs w:val="18"/>
              </w:rPr>
              <w:t xml:space="preserve">Analysis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Classifies rail stations by mode (Metro, Light Rail, MARC). Spatial join to tracts to flag rail-accessible tracts. Counts stops per mode per tract.</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Rail_Stations_Baltimore_Pt, CensusTracts_Demographics_Pg, GTFS_BusStops_Baltimore_Pt | OUT: Rail_Stations_Clean_Pt (57 stations), Mode_Access_Tracts_Pg (21 tracts with rail = 10.5%)</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12</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12_connectivity_analysis.py</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000000"/>
                <w:sz w:val="18"/>
                <w:szCs w:val="18"/>
              </w:rPr>
              <w:t xml:space="preserve">Analysis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Counts routes per stop from GTFS stop_times across all 5 modes. Identifies transfer points (2+ routes). Aggregates to tract level for equity testing.</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GTFS_BusStops_Baltimore_Pt, stop_times.txt across all 5 modes | OUT: Transfer_Points_Pt (1,107), Connectivity_Tracts_Pg (avg routes/stop 1.46 Q1 vs 1.54 Q5, p=0.567 NS)</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13</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13_frequency_analysis.py</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000000"/>
                <w:sz w:val="18"/>
                <w:szCs w:val="18"/>
              </w:rPr>
              <w:t xml:space="preserve">Analysis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Calculates per-stop headway from stop_times.txt for all modes. Classifies stops by frequency tier. Aggregates median headway to tract level. Produces Frequency_Stops layer.</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stop_times.txt (all 5 GTFS folders), GTFS_BusStops_Baltimore_Pt | OUT: Frequency_Stops_Baltimore_Pt (Headway_Min, Freq_Class), Frequency_Tracts_Pg (r=-0.356 p&lt;0.001)</w:t>
            </w:r>
          </w:p>
        </w:tc>
        <w:tc>
          <w:tcPr>
            <w:tcW w:type="dxa" w:w="7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Arial" w:cs="Arial" w:hAnsi="Arial"/>
                <w:b/>
                <w:bCs/>
                <w:i w:val="false"/>
                <w:iCs w:val="false"/>
                <w:color w:val="1F7A4E"/>
                <w:sz w:val="18"/>
                <w:szCs w:val="18"/>
              </w:rPr>
              <w:t xml:space="preserve">COMPLETE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val="false"/>
                <w:iCs w:val="false"/>
                <w:color w:val="1F3864"/>
                <w:sz w:val="18"/>
                <w:szCs w:val="18"/>
              </w:rPr>
              <w:t xml:space="preserve">14</w:t>
            </w:r>
          </w:p>
        </w:tc>
        <w:tc>
          <w:tcPr>
            <w:tcW w:type="dxa" w:w="20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Arial" w:cs="Arial" w:hAnsi="Arial"/>
                <w:b/>
                <w:bCs/>
                <w:i/>
                <w:iCs/>
                <w:color w:val="000000"/>
                <w:sz w:val="18"/>
                <w:szCs w:val="18"/>
              </w:rPr>
              <w:t xml:space="preserve">14_job_access_analysis.py</w:t>
            </w:r>
          </w:p>
        </w:tc>
        <w:tc>
          <w:tcPr>
            <w:tcW w:type="dxa" w:w="72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r>
              <w:rPr>
                <w:rFonts w:ascii="Arial" w:cs="Arial" w:hAnsi="Arial"/>
                <w:b/>
                <w:bCs/>
                <w:i w:val="false"/>
                <w:iCs w:val="false"/>
                <w:color w:val="000000"/>
                <w:sz w:val="18"/>
                <w:szCs w:val="18"/>
              </w:rPr>
              <w:t xml:space="preserve">Planned</w:t>
            </w:r>
          </w:p>
        </w:tc>
        <w:tc>
          <w:tcPr>
            <w:tcW w:type="dxa" w:w="26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Arial" w:cs="Arial" w:hAnsi="Arial"/>
                <w:b w:val="false"/>
                <w:bCs w:val="false"/>
                <w:i w:val="false"/>
                <w:iCs w:val="false"/>
                <w:color w:val="000000"/>
                <w:sz w:val="18"/>
                <w:szCs w:val="18"/>
              </w:rPr>
              <w:t xml:space="preserve">Measures job accessibility by transit: number of jobs reachable from each tract centroid within 30, 45, and 60 minutes. Requires LEHD LODES employment data. Planned extension analysis.</w:t>
            </w:r>
          </w:p>
        </w:tc>
        <w:tc>
          <w:tcPr>
            <w:tcW w:type="dxa" w:w="276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rFonts w:ascii="Arial" w:cs="Arial" w:hAnsi="Arial"/>
                <w:b w:val="false"/>
                <w:bCs w:val="false"/>
                <w:i w:val="false"/>
                <w:iCs w:val="false"/>
                <w:color w:val="404040"/>
                <w:sz w:val="18"/>
                <w:szCs w:val="18"/>
              </w:rPr>
              <w:t xml:space="preserve">IN: LEHD LODES 2020 block-level employment data, Network dataset, CensusTracts_Demographics_Pg | OUT: Job_Access_Tracts_Pg (jobs reachable at 30/45/60 min thresholds, by equity quintile)</w:t>
            </w:r>
          </w:p>
        </w:tc>
        <w:tc>
          <w:tcPr>
            <w:tcW w:type="dxa" w:w="72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r>
              <w:rPr>
                <w:rFonts w:ascii="Arial" w:cs="Arial" w:hAnsi="Arial"/>
                <w:b/>
                <w:bCs/>
                <w:i w:val="false"/>
                <w:iCs w:val="false"/>
                <w:color w:val="7B3F00"/>
                <w:sz w:val="18"/>
                <w:szCs w:val="18"/>
              </w:rPr>
              <w:t xml:space="preserve">PLANNED</w:t>
            </w:r>
          </w:p>
        </w:tc>
      </w:tr>
    </w:tbl>
    <w:p>
      <w:pPr>
        <w:spacing w:before="80" w:after="80" w:line="280"/>
        <w:jc w:val="both"/>
      </w:pPr>
      <w:r>
        <w:rPr>
          <w:rFonts w:ascii="Arial" w:cs="Arial" w:eastAsia="Arial" w:hAnsi="Arial"/>
          <w:b w:val="false"/>
          <w:bCs w:val="false"/>
          <w:i/>
          <w:iCs/>
          <w:color w:val="595959"/>
          <w:sz w:val="18"/>
          <w:szCs w:val="18"/>
        </w:rPr>
        <w:t xml:space="preserve">Phase colour coding: Data Prep (blue) = Stages 01–07, data ingestion and index construction; Analysis (green) = Stages 08–13, completed equity analyses; Planned (yellow) = Stage 14, requires LEHD LODES employment data acquisition.</w:t>
      </w:r>
    </w:p>
    <w:p>
      <w:pPr>
        <w:pStyle w:val="Heading2"/>
      </w:pPr>
      <w:r>
        <w:rPr>
          <w:rFonts w:ascii="Arial" w:cs="Arial" w:eastAsia="Arial" w:hAnsi="Arial"/>
          <w:b/>
          <w:bCs/>
          <w:color w:val="2E75B6"/>
          <w:sz w:val="28"/>
          <w:szCs w:val="28"/>
        </w:rPr>
        <w:t xml:space="preserve">12.2 Script Execution Notes</w:t>
      </w:r>
    </w:p>
    <w:p>
      <w:pPr>
        <w:spacing w:before="80" w:after="80" w:line="280"/>
        <w:jc w:val="both"/>
      </w:pPr>
      <w:r>
        <w:rPr>
          <w:rFonts w:ascii="Arial" w:cs="Arial" w:eastAsia="Arial" w:hAnsi="Arial"/>
          <w:b w:val="false"/>
          <w:bCs w:val="false"/>
          <w:i w:val="false"/>
          <w:iCs w:val="false"/>
          <w:color w:val="000000"/>
          <w:sz w:val="22"/>
          <w:szCs w:val="22"/>
        </w:rPr>
        <w:t xml:space="preserve">All scripts were executed from the ArcGIS Pro Python console or via the ArcGIS Pro Notebook interface using the default ArcGIS Pro conda environment (arcgispro-py3). The coordinate reference system EPSG 2248 (NAD 1983 StatePlane Maryland FIPS 1900) was enforced throughout via arcpy.env.outputCoordinateSystem. Scripts 01–07 must be run in order before any analysis script, as each builds on the output of its predecessor. Scripts 08–13 are largely independent of one another once the data preparation phase is complete, though Script 13 (frequency analysis) produces the Frequency_Stops_Baltimore_Pt layer used in Scripts 08–09. Script 14 (job access analysis) is documented here for completeness but requires LEHD LODES 2020 block-level employment data to be downloaded from the U.S. Census Bureau’s OnTheMap tool before execution.</w:t>
      </w:r>
    </w:p>
    <w:p/>
    <w:p>
      <w:pPr>
        <w:pStyle w:val="Heading1"/>
      </w:pPr>
      <w:r>
        <w:rPr>
          <w:rFonts w:ascii="Arial" w:cs="Arial" w:eastAsia="Arial" w:hAnsi="Arial"/>
          <w:b/>
          <w:bCs/>
          <w:color w:val="1F3864"/>
          <w:sz w:val="36"/>
          <w:szCs w:val="36"/>
        </w:rPr>
        <w:t xml:space="preserve">References</w:t>
      </w:r>
    </w:p>
    <w:p>
      <w:pPr>
        <w:spacing w:before="80" w:after="80" w:line="280"/>
        <w:jc w:val="both"/>
      </w:pPr>
      <w:r>
        <w:rPr>
          <w:rFonts w:ascii="Arial" w:cs="Arial" w:eastAsia="Arial" w:hAnsi="Arial"/>
          <w:b w:val="false"/>
          <w:bCs w:val="false"/>
          <w:i w:val="false"/>
          <w:iCs w:val="false"/>
          <w:color w:val="000000"/>
          <w:sz w:val="22"/>
          <w:szCs w:val="22"/>
        </w:rPr>
        <w:t xml:space="preserve">Federal Transit Administration. (2012). Title VI Requirements and Guidelines for Federal Transit Administration Recipients. FTA Circular 4702.1B. Washington, DC: U.S. Department of Transportation.</w:t>
      </w:r>
    </w:p>
    <w:p>
      <w:pPr>
        <w:spacing w:before="80" w:after="80" w:line="280"/>
        <w:jc w:val="both"/>
      </w:pPr>
      <w:r>
        <w:rPr>
          <w:rFonts w:ascii="Arial" w:cs="Arial" w:eastAsia="Arial" w:hAnsi="Arial"/>
          <w:b w:val="false"/>
          <w:bCs w:val="false"/>
          <w:i w:val="false"/>
          <w:iCs w:val="false"/>
          <w:color w:val="000000"/>
          <w:sz w:val="22"/>
          <w:szCs w:val="22"/>
        </w:rPr>
        <w:t xml:space="preserve">Latshaw, M. and Jordan, S. (2021). Transit Equity in Baltimore City. Baltimore Transit Equity Coalition / Johns Hopkins Bloomberg School of Public Health.</w:t>
      </w:r>
    </w:p>
    <w:p>
      <w:pPr>
        <w:spacing w:before="80" w:after="80" w:line="280"/>
        <w:jc w:val="both"/>
      </w:pPr>
      <w:r>
        <w:rPr>
          <w:rFonts w:ascii="Arial" w:cs="Arial" w:eastAsia="Arial" w:hAnsi="Arial"/>
          <w:b w:val="false"/>
          <w:bCs w:val="false"/>
          <w:i w:val="false"/>
          <w:iCs w:val="false"/>
          <w:color w:val="000000"/>
          <w:sz w:val="22"/>
          <w:szCs w:val="22"/>
        </w:rPr>
        <w:t xml:space="preserve">Maryland Transit Administration. (2024). MTA GTFS Feed — Local Bus, Metro, Light Rail, Commuter Bus, MARC. Retrieved from transitfeeds.com and Maryland Open Data.</w:t>
      </w:r>
    </w:p>
    <w:p>
      <w:pPr>
        <w:spacing w:before="80" w:after="80" w:line="280"/>
        <w:jc w:val="both"/>
      </w:pPr>
      <w:r>
        <w:rPr>
          <w:rFonts w:ascii="Arial" w:cs="Arial" w:eastAsia="Arial" w:hAnsi="Arial"/>
          <w:b w:val="false"/>
          <w:bCs w:val="false"/>
          <w:i w:val="false"/>
          <w:iCs w:val="false"/>
          <w:color w:val="000000"/>
          <w:sz w:val="22"/>
          <w:szCs w:val="22"/>
        </w:rPr>
        <w:t xml:space="preserve">US Census Bureau. (2021). American Community Survey 5-Year Estimates 2016-2020. Tables B02001, B03002, B08136, B08013, B08301, B08201, B17001, B01001, B18101, B16004, B05001, B25003, B25044, B19013. Washington, DC.</w:t>
      </w:r>
    </w:p>
    <w:p>
      <w:pPr>
        <w:spacing w:before="80" w:after="80" w:line="280"/>
        <w:jc w:val="both"/>
      </w:pPr>
      <w:r>
        <w:rPr>
          <w:rFonts w:ascii="Arial" w:cs="Arial" w:eastAsia="Arial" w:hAnsi="Arial"/>
          <w:b w:val="false"/>
          <w:bCs w:val="false"/>
          <w:i w:val="false"/>
          <w:iCs w:val="false"/>
          <w:color w:val="000000"/>
          <w:sz w:val="22"/>
          <w:szCs w:val="22"/>
        </w:rPr>
        <w:t xml:space="preserve">OpenStreetMap Contributors. (2024). Baltimore City Pedestrian Network and Points of Interest. Retrieved via OSM API.</w:t>
      </w:r>
    </w:p>
    <w:p>
      <w:pPr>
        <w:spacing w:before="80" w:after="80" w:line="280"/>
        <w:jc w:val="both"/>
      </w:pPr>
      <w:r>
        <w:rPr>
          <w:rFonts w:ascii="Arial" w:cs="Arial" w:eastAsia="Arial" w:hAnsi="Arial"/>
          <w:b w:val="false"/>
          <w:bCs w:val="false"/>
          <w:i w:val="false"/>
          <w:iCs w:val="false"/>
          <w:color w:val="000000"/>
          <w:sz w:val="22"/>
          <w:szCs w:val="22"/>
        </w:rPr>
        <w:t xml:space="preserve">Transportation Research Board. (2013). TCRP Report 165: Transit Capacity and Quality of Service Manual (3rd ed.). Washington, DC: National Academies Press.</w:t>
      </w:r>
    </w:p>
    <w:p>
      <w:pPr>
        <w:spacing w:before="80" w:after="80" w:line="280"/>
        <w:jc w:val="both"/>
      </w:pPr>
      <w:r>
        <w:rPr>
          <w:rFonts w:ascii="Arial" w:cs="Arial" w:eastAsia="Arial" w:hAnsi="Arial"/>
          <w:b w:val="false"/>
          <w:bCs w:val="false"/>
          <w:i w:val="false"/>
          <w:iCs w:val="false"/>
          <w:color w:val="000000"/>
          <w:sz w:val="22"/>
          <w:szCs w:val="22"/>
        </w:rPr>
        <w:t xml:space="preserve">ESRI. (2024). ArcGIS Pro 3.x with Network Analyst Extension. Redlands, CA: Environmental Systems Research Institute.</w:t>
      </w:r>
    </w:p>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pBdr>
      <w:tabs>
        <w:tab w:val="right" w:pos="9360"/>
      </w:tabs>
      <w:spacing w:before="60"/>
    </w:pPr>
    <w:r>
      <w:rPr>
        <w:rFonts w:ascii="Arial" w:cs="Arial" w:eastAsia="Arial" w:hAnsi="Arial"/>
        <w:b w:val="false"/>
        <w:bCs w:val="false"/>
        <w:i w:val="false"/>
        <w:iCs w:val="false"/>
        <w:color w:val="888888"/>
        <w:sz w:val="16"/>
        <w:szCs w:val="16"/>
      </w:rPr>
      <w:t xml:space="preserve">Confidential — Portfolio Document</w:t>
    </w:r>
    <w:r>
      <w:rPr>
        <w:rFonts w:ascii="Arial" w:cs="Arial" w:eastAsia="Arial" w:hAnsi="Arial"/>
      </w:rPr>
      <w:t xml:space="preserve">	</w:t>
    </w: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pBdr>
      <w:spacing w:after="60"/>
    </w:pPr>
    <w:r>
      <w:rPr>
        <w:rFonts w:ascii="Arial" w:cs="Arial" w:eastAsia="Arial" w:hAnsi="Arial"/>
        <w:b/>
        <w:bCs/>
        <w:i w:val="false"/>
        <w:iCs w:val="false"/>
        <w:color w:val="2E5496"/>
        <w:sz w:val="18"/>
        <w:szCs w:val="18"/>
      </w:rPr>
      <w:t xml:space="preserve">Baltimore City Transit Equity Analysis — Methodology</w:t>
    </w:r>
    <w:r>
      <w:rPr>
        <w:rFonts w:ascii="Arial" w:cs="Arial" w:eastAsia="Arial" w:hAnsi="Arial"/>
        <w:b w:val="false"/>
        <w:bCs w:val="false"/>
        <w:i w:val="false"/>
        <w:iCs w:val="false"/>
        <w:color w:val="888888"/>
        <w:sz w:val="16"/>
        <w:szCs w:val="16"/>
      </w:rPr>
      <w:t xml:space="preserve">   |   Nathaniel K.A. Stephens, Morgan State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496" w:sz="6"/>
      </w:pBd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2026-03-09T11:08:45.689Z</dcterms:created>
  <dcterms:modified xsi:type="dcterms:W3CDTF">2026-03-09T11:08:45.691Z</dcterms:modified>
</cp:coreProperties>
</file>

<file path=docProps/custom.xml><?xml version="1.0" encoding="utf-8"?>
<Properties xmlns="http://schemas.openxmlformats.org/officeDocument/2006/custom-properties" xmlns:vt="http://schemas.openxmlformats.org/officeDocument/2006/docPropsVTypes"/>
</file>