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rFonts w:ascii="Times New Roman" w:cs="Times New Roman" w:eastAsia="Times New Roman" w:hAnsi="Times New Roman"/>
        </w:rPr>
      </w:pPr>
      <w:bookmarkStart w:colFirst="0" w:colLast="0" w:name="_heading=h.759uzo5zvmgp" w:id="0"/>
      <w:bookmarkEnd w:id="0"/>
      <w:r w:rsidDel="00000000" w:rsidR="00000000" w:rsidRPr="00000000">
        <w:rPr>
          <w:rFonts w:ascii="Times New Roman" w:cs="Times New Roman" w:eastAsia="Times New Roman" w:hAnsi="Times New Roman"/>
          <w:rtl w:val="0"/>
        </w:rPr>
        <w:t xml:space="preserve">Information Disclosure Rules</w:t>
      </w:r>
    </w:p>
    <w:p w:rsidR="00000000" w:rsidDel="00000000" w:rsidP="00000000" w:rsidRDefault="00000000" w:rsidRPr="00000000" w14:paraId="00000002">
      <w:pPr>
        <w:spacing w:after="40" w:line="360" w:lineRule="auto"/>
        <w:jc w:val="right"/>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sz w:val="18"/>
          <w:szCs w:val="18"/>
          <w:rtl w:val="0"/>
        </w:rPr>
        <w:t xml:space="preserve">Enacted: December 22, 2025</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right"/>
        <w:rPr>
          <w:rFonts w:ascii="Times New Roman" w:cs="Times New Roman" w:eastAsia="Times New Roman" w:hAnsi="Times New Roman"/>
          <w:i w:val="0"/>
          <w:iCs w:val="0"/>
          <w:smallCaps w:val="0"/>
          <w:strike w:val="0"/>
          <w:color w:val="000000"/>
          <w:sz w:val="18"/>
          <w:szCs w:val="18"/>
          <w:u w:val="none"/>
          <w:shd w:fill="auto" w:val="clear"/>
          <w:vertAlign w:val="baseline"/>
        </w:rPr>
      </w:pPr>
      <w:bookmarkStart w:colFirst="0" w:colLast="0" w:name="_heading=h.xzqkfmrphmtq" w:id="1"/>
      <w:bookmarkEnd w:id="1"/>
      <w:r w:rsidDel="00000000" w:rsidR="00000000" w:rsidRPr="00000000">
        <w:rPr>
          <w:rFonts w:ascii="Times New Roman" w:cs="Times New Roman" w:eastAsia="Times New Roman" w:hAnsi="Times New Roman"/>
          <w:sz w:val="18"/>
          <w:szCs w:val="18"/>
          <w:rtl w:val="0"/>
        </w:rPr>
        <w:t xml:space="preserve">[General Rule No. 2]</w:t>
      </w:r>
      <w:r w:rsidDel="00000000" w:rsidR="00000000" w:rsidRPr="00000000">
        <w:rPr>
          <w:rtl w:val="0"/>
        </w:rPr>
      </w:r>
    </w:p>
    <w:p w:rsidR="00000000" w:rsidDel="00000000" w:rsidP="00000000" w:rsidRDefault="00000000" w:rsidRPr="00000000" w14:paraId="00000004">
      <w:pPr>
        <w:pStyle w:val="Heading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Article 1 [Purpose]</w:t>
      </w:r>
      <w:r w:rsidDel="00000000" w:rsidR="00000000" w:rsidRPr="00000000">
        <w:rPr>
          <w:rFonts w:ascii="Times New Roman" w:cs="Times New Roman" w:eastAsia="Times New Roman" w:hAnsi="Times New Roman"/>
          <w:rtl w:val="0"/>
        </w:rPr>
        <w:t xml:space="preserve"> The purpose of these Regulations is to establish the principles for disclosing the Association's information in order to ensure the transparent and responsible activities of this Association and to guarantee the members' right to its operation.</w:t>
      </w:r>
    </w:p>
    <w:p w:rsidR="00000000" w:rsidDel="00000000" w:rsidP="00000000" w:rsidRDefault="00000000" w:rsidRPr="00000000" w14:paraId="0000000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Article 2 [Principle of Information Disclosure]</w:t>
      </w:r>
      <w:sdt>
        <w:sdtPr>
          <w:id w:val="-1054976898"/>
          <w:tag w:val="goog_rdk_0"/>
        </w:sdtPr>
        <w:sdtContent>
          <w:r w:rsidDel="00000000" w:rsidR="00000000" w:rsidRPr="00000000">
            <w:rPr>
              <w:rFonts w:ascii="Gungsuh" w:cs="Gungsuh" w:eastAsia="Gungsuh" w:hAnsi="Gungsuh"/>
              <w:rtl w:val="0"/>
            </w:rPr>
            <w:t xml:space="preserve"> ① The Association and all of its affiliated bodies must disclose to the members, without delay, all information generated in the entirety of the Association's operation and office management. </w:t>
            <w:br w:type="textWrapping"/>
            <w:t xml:space="preserve">② Notwithstanding Clause 1, if disclosure is recognized as likely to cause significant infringement on the information protection of members; if disclosure is recognized as likely to significantly harm the vital interests of the Association; or if there is considerable reason to believe that disclosure of matters in the process of audit, supervision, bidding contracts, or internal review would significantly hinder the fair and smooth performance of duties, only partial disclosure may be permitted. </w:t>
            <w:br w:type="textWrapping"/>
            <w:t xml:space="preserve">③ Notwithstanding Clauses 1 and 2, the disclosure of records shall follow the "Records Management Detailed Rules."</w:t>
          </w:r>
        </w:sdtContent>
      </w:sdt>
    </w:p>
    <w:p w:rsidR="00000000" w:rsidDel="00000000" w:rsidP="00000000" w:rsidRDefault="00000000" w:rsidRPr="00000000" w14:paraId="0000000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Article 3 [Information Disclosure of Deliberative Bodies]</w:t>
      </w:r>
      <w:sdt>
        <w:sdtPr>
          <w:id w:val="-519623888"/>
          <w:tag w:val="goog_rdk_1"/>
        </w:sdtPr>
        <w:sdtContent>
          <w:r w:rsidDel="00000000" w:rsidR="00000000" w:rsidRPr="00000000">
            <w:rPr>
              <w:rFonts w:ascii="Gungsuh" w:cs="Gungsuh" w:eastAsia="Gungsuh" w:hAnsi="Gungsuh"/>
              <w:rtl w:val="0"/>
            </w:rPr>
            <w:t xml:space="preserve"> ① All proceedings of deliberative bodies, such as the General Assembly, the General Student Representative Council, and the Central Steering Committee, must be disclosed. </w:t>
            <w:br w:type="textWrapping"/>
            <w:t xml:space="preserve">② Public notices for the convening of and resolutions from the General Assembly and the General Student Representative Council must also be made via wall posters. At this time, the proceedings may be abbreviated according to the space constraints of the wall poster. </w:t>
            <w:br w:type="textWrapping"/>
            <w:t xml:space="preserve">③ The Association's deliberative bodies have the duty to inform members of significant matters by mobilizing all possible means, such as wall posters, electronic bulletin boards, and email.</w:t>
          </w:r>
        </w:sdtContent>
      </w:sdt>
    </w:p>
    <w:p w:rsidR="00000000" w:rsidDel="00000000" w:rsidP="00000000" w:rsidRDefault="00000000" w:rsidRPr="00000000" w14:paraId="0000000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Article 4 [Information Disclosure of Executive Bodies]</w:t>
      </w:r>
      <w:r w:rsidDel="00000000" w:rsidR="00000000" w:rsidRPr="00000000">
        <w:rPr>
          <w:rFonts w:ascii="Times New Roman" w:cs="Times New Roman" w:eastAsia="Times New Roman" w:hAnsi="Times New Roman"/>
          <w:rtl w:val="0"/>
        </w:rPr>
        <w:t xml:space="preserve"> The Association's executive bodies have the duty to inform members by mobilizing all possible means, such as wall posters, electronic bulletin boards, and email, for the smooth implementation, execution, and promotion of the Association's various affairs.</w:t>
      </w:r>
    </w:p>
    <w:p w:rsidR="00000000" w:rsidDel="00000000" w:rsidP="00000000" w:rsidRDefault="00000000" w:rsidRPr="00000000" w14:paraId="0000000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Article 5 [Information Disclosure of Autonomous, Specialized, Media, and Special Bodies]</w:t>
      </w:r>
      <w:r w:rsidDel="00000000" w:rsidR="00000000" w:rsidRPr="00000000">
        <w:rPr>
          <w:rFonts w:ascii="Times New Roman" w:cs="Times New Roman" w:eastAsia="Times New Roman" w:hAnsi="Times New Roman"/>
          <w:rtl w:val="0"/>
        </w:rPr>
        <w:t xml:space="preserve"> The Association's autonomous bodies, specialized bodies, media bodies, and special bodies have the duty to actively inform members for the smooth implementation, execution, and promotion of said body's affairs.</w:t>
      </w:r>
    </w:p>
    <w:p w:rsidR="00000000" w:rsidDel="00000000" w:rsidP="00000000" w:rsidRDefault="00000000" w:rsidRPr="00000000" w14:paraId="0000000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Article 6 [Information Disclosure of the Central Election Management Committee]</w:t>
      </w:r>
      <w:sdt>
        <w:sdtPr>
          <w:id w:val="-1672194897"/>
          <w:tag w:val="goog_rdk_2"/>
        </w:sdtPr>
        <w:sdtContent>
          <w:r w:rsidDel="00000000" w:rsidR="00000000" w:rsidRPr="00000000">
            <w:rPr>
              <w:rFonts w:ascii="Gungsuh" w:cs="Gungsuh" w:eastAsia="Gungsuh" w:hAnsi="Gungsuh"/>
              <w:rtl w:val="0"/>
            </w:rPr>
            <w:t xml:space="preserve"> ① All proceedings of the Central Election Management Committee must be disclosed. </w:t>
            <w:br w:type="textWrapping"/>
            <w:t xml:space="preserve">② Public notices of the Central Election Management Committee's resolutions must also be made via wall posters. At this time, the proceedings may be abbreviated according to the space constraints of the wall poster. </w:t>
            <w:br w:type="textWrapping"/>
            <w:t xml:space="preserve">③ The Central Election Management Committee has the duty to inform members of matters related to election management by mobilizing all possible means, such as wall posters, electronic bulletin boards, and email.</w:t>
          </w:r>
        </w:sdtContent>
      </w:sdt>
    </w:p>
    <w:p w:rsidR="00000000" w:rsidDel="00000000" w:rsidP="00000000" w:rsidRDefault="00000000" w:rsidRPr="00000000" w14:paraId="0000000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Article 7 [Principles of Public Notice]</w:t>
      </w:r>
      <w:sdt>
        <w:sdtPr>
          <w:id w:val="1730316150"/>
          <w:tag w:val="goog_rdk_3"/>
        </w:sdtPr>
        <w:sdtContent>
          <w:r w:rsidDel="00000000" w:rsidR="00000000" w:rsidRPr="00000000">
            <w:rPr>
              <w:rFonts w:ascii="Gungsuh" w:cs="Gungsuh" w:eastAsia="Gungsuh" w:hAnsi="Gungsuh"/>
              <w:rtl w:val="0"/>
            </w:rPr>
            <w:t xml:space="preserve"> ① When each body of the Association makes a public notice, it must specify the representative of the body or the person responsible for the relevant affair. </w:t>
            <w:br w:type="textWrapping"/>
            <w:t xml:space="preserve">② When making a public notice using a wall poster, the poster must include the posting period and the contact information of the poster's publisher. The posting period cannot exceed one week, and the wall poster must be removed under the responsibility of the poster's publisher once the period expires.</w:t>
          </w:r>
        </w:sdtContent>
      </w:sdt>
    </w:p>
    <w:p w:rsidR="00000000" w:rsidDel="00000000" w:rsidP="00000000" w:rsidRDefault="00000000" w:rsidRPr="00000000" w14:paraId="0000000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Article 8 [Minutes]</w:t>
      </w:r>
      <w:sdt>
        <w:sdtPr>
          <w:id w:val="-446969067"/>
          <w:tag w:val="goog_rdk_4"/>
        </w:sdtPr>
        <w:sdtContent>
          <w:r w:rsidDel="00000000" w:rsidR="00000000" w:rsidRPr="00000000">
            <w:rPr>
              <w:rFonts w:ascii="Gungsuh" w:cs="Gungsuh" w:eastAsia="Gungsuh" w:hAnsi="Gungsuh"/>
              <w:rtl w:val="0"/>
            </w:rPr>
            <w:t xml:space="preserve"> Each body of the Association shall prepare minutes in accordance with all pertinent regulations, including the 「Student Association Constitution」, and disclose them without delay.</w:t>
          </w:r>
        </w:sdtContent>
      </w:sdt>
    </w:p>
    <w:p w:rsidR="00000000" w:rsidDel="00000000" w:rsidP="00000000" w:rsidRDefault="00000000" w:rsidRPr="00000000" w14:paraId="0000000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Article 9 [Information Disclosure Request]</w:t>
      </w:r>
      <w:sdt>
        <w:sdtPr>
          <w:id w:val="912212190"/>
          <w:tag w:val="goog_rdk_5"/>
        </w:sdtPr>
        <w:sdtContent>
          <w:r w:rsidDel="00000000" w:rsidR="00000000" w:rsidRPr="00000000">
            <w:rPr>
              <w:rFonts w:ascii="Gungsuh" w:cs="Gungsuh" w:eastAsia="Gungsuh" w:hAnsi="Gungsuh"/>
              <w:rtl w:val="0"/>
            </w:rPr>
            <w:t xml:space="preserve"> ① Members of the Association have the right to access all records except Non-public Records, and may view and utilize records through an information disclosure request to the Records Management Body. </w:t>
            <w:br w:type="textWrapping"/>
            <w:t xml:space="preserve">② Each body of the Association cannot refuse an information disclosure request from the Records Management Body that has received an information disclosure request from a member of the Association. </w:t>
            <w:br w:type="textWrapping"/>
            <w:t xml:space="preserve">③ Records that are not disclosed online or are missing can be viewed through an information disclosure request to the Records Management Body. </w:t>
            <w:br w:type="textWrapping"/>
            <w:t xml:space="preserve">④ Original printed records stored in the Records Management Body cannot be viewed; records can only be viewed via computer file and copies. </w:t>
            <w:br w:type="textWrapping"/>
            <w:t xml:space="preserve">⑤ If there is an information disclosure request, the Records Management Body shall demand the transfer of the relevant record from the Student Association Presidency and the Central Steering Committee and produce a Metadata Record of the information disclosure. </w:t>
            <w:br w:type="textWrapping"/>
            <w:t xml:space="preserve">⑥ After information is disclosed via an information disclosure request, the relevant record shall be stored together in the related Record File, and the Records Management Body shall produce a Metadata Record concerning it. </w:t>
            <w:br w:type="textWrapping"/>
            <w:t xml:space="preserve">⑦ The Information Disclosure Request form must be filled out according to the form attached in the 「Forms Management Regulations」.</w:t>
          </w:r>
        </w:sdtContent>
      </w:sdt>
    </w:p>
    <w:sectPr>
      <w:footerReference r:id="rId7" w:type="default"/>
      <w:footerReference r:id="rId8" w:type="even"/>
      <w:pgSz w:h="15840" w:w="12240" w:orient="portrait"/>
      <w:pgMar w:bottom="1440" w:top="1701"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Batangche"/>
  <w:font w:name="Georgia"/>
  <w:font w:name="Times New Roman"/>
  <w:font w:name="Gungsuh"/>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E">
    <w:pPr>
      <w:keepNext w:val="0"/>
      <w:keepLines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240" w:before="0" w:line="240" w:lineRule="auto"/>
      <w:ind w:left="0" w:right="0" w:firstLine="0"/>
      <w:jc w:val="center"/>
      <w:rPr>
        <w:rFonts w:ascii="Batangche" w:cs="Batangche" w:eastAsia="Batangche" w:hAnsi="Batangch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240" w:before="0" w:line="240" w:lineRule="auto"/>
      <w:ind w:left="0" w:right="0" w:firstLine="0"/>
      <w:jc w:val="both"/>
      <w:rPr>
        <w:rFonts w:ascii="Batangche" w:cs="Batangche" w:eastAsia="Batangche" w:hAnsi="Batangche"/>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0">
    <w:pPr>
      <w:keepNext w:val="0"/>
      <w:keepLines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240" w:before="0" w:line="240" w:lineRule="auto"/>
      <w:ind w:left="0" w:right="0" w:firstLine="0"/>
      <w:jc w:val="center"/>
      <w:rPr>
        <w:rFonts w:ascii="Batangche" w:cs="Batangche" w:eastAsia="Batangche" w:hAnsi="Batangche"/>
        <w:b w:val="0"/>
        <w:bCs w:val="0"/>
        <w:i w:val="0"/>
        <w:iCs w:val="0"/>
        <w:smallCaps w:val="0"/>
        <w:strike w:val="0"/>
        <w:color w:val="000000"/>
        <w:sz w:val="20"/>
        <w:szCs w:val="20"/>
        <w:u w:val="none"/>
        <w:shd w:fill="auto" w:val="clear"/>
        <w:vertAlign w:val="baseline"/>
      </w:rPr>
    </w:pPr>
    <w:r w:rsidDel="00000000" w:rsidR="00000000" w:rsidRPr="00000000">
      <w:rPr>
        <w:rFonts w:ascii="Batangche" w:cs="Batangche" w:eastAsia="Batangche" w:hAnsi="Batangche"/>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11">
    <w:pPr>
      <w:keepNext w:val="0"/>
      <w:keepLines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240" w:before="0" w:line="240" w:lineRule="auto"/>
      <w:ind w:left="0" w:right="0" w:firstLine="0"/>
      <w:jc w:val="both"/>
      <w:rPr>
        <w:rFonts w:ascii="Batangche" w:cs="Batangche" w:eastAsia="Batangche" w:hAnsi="Batangche"/>
        <w:b w:val="0"/>
        <w:bCs w:val="0"/>
        <w:i w:val="0"/>
        <w:iCs w:val="0"/>
        <w:smallCaps w:val="0"/>
        <w:strike w:val="0"/>
        <w:color w:val="000000"/>
        <w:sz w:val="20"/>
        <w:szCs w:val="20"/>
        <w:u w:val="none"/>
        <w:shd w:fill="auto" w:val="clear"/>
        <w:vertAlign w:val="baseline"/>
      </w:rPr>
    </w:pPr>
    <w:r w:rsidDel="00000000" w:rsidR="00000000" w:rsidRPr="00000000">
      <w:rPr>
        <w:rFonts w:ascii="Batangche" w:cs="Batangche" w:eastAsia="Batangche" w:hAnsi="Batangche"/>
        <w:b w:val="0"/>
        <w:bCs w:val="0"/>
        <w:i w:val="0"/>
        <w:iCs w:val="0"/>
        <w:smallCaps w:val="0"/>
        <w:strike w:val="0"/>
        <w:color w:val="000000"/>
        <w:sz w:val="20"/>
        <w:szCs w:val="20"/>
        <w:u w:val="none"/>
        <w:shd w:fill="auto" w:val="clear"/>
        <w:vertAlign w:val="baseline"/>
        <w:rtl w:val="0"/>
      </w:rPr>
      <w:br w:type="textWrapping"/>
      <w:br w:type="textWrapping"/>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Batangche" w:cs="Batangche" w:eastAsia="Batangche" w:hAnsi="Batangche"/>
        <w:lang w:val="en"/>
      </w:rPr>
    </w:rPrDefault>
    <w:pPrDefault>
      <w:pPr>
        <w:widowControl w:val="0"/>
        <w:spacing w:after="24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360" w:lineRule="auto"/>
    </w:pPr>
    <w:rPr>
      <w:b w:val="1"/>
      <w:bCs w:val="1"/>
      <w:sz w:val="28"/>
      <w:szCs w:val="28"/>
    </w:rPr>
  </w:style>
  <w:style w:type="paragraph" w:styleId="Heading2">
    <w:name w:val="heading 2"/>
    <w:basedOn w:val="Normal"/>
    <w:next w:val="Normal"/>
    <w:pPr/>
    <w:rPr>
      <w:b w:val="1"/>
      <w:bCs w:val="1"/>
      <w:sz w:val="24"/>
      <w:szCs w:val="24"/>
    </w:rPr>
  </w:style>
  <w:style w:type="paragraph" w:styleId="Heading3">
    <w:name w:val="heading 3"/>
    <w:basedOn w:val="Normal"/>
    <w:next w:val="Normal"/>
    <w:pPr>
      <w:spacing w:before="960" w:lineRule="auto"/>
      <w:ind w:left="300" w:hanging="200"/>
    </w:pPr>
    <w:rPr>
      <w:b w:val="1"/>
      <w:bCs w:val="1"/>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120" w:before="240" w:lineRule="auto"/>
      <w:jc w:val="center"/>
    </w:pPr>
    <w:rPr>
      <w:b w:val="1"/>
      <w:bCs w:val="1"/>
      <w:sz w:val="40"/>
      <w:szCs w:val="40"/>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 Id="rId8"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ykwaZmqxrVXUFu1ghroRcbXvBw==">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yDmguNzU5dXpvNXp2bWdwMg5oLnh6cWtmbXJwaG10cTgAciExM24talloTWkxMmpwclU3RXpxdDBtWXZ5dFoxSWhVaV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