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rFonts w:ascii="Times New Roman" w:cs="Times New Roman" w:eastAsia="Times New Roman" w:hAnsi="Times New Roman"/>
          <w:sz w:val="18"/>
          <w:szCs w:val="18"/>
        </w:rPr>
      </w:pPr>
      <w:bookmarkStart w:colFirst="0" w:colLast="0" w:name="_heading=h.1laqbylcd77k" w:id="0"/>
      <w:bookmarkEnd w:id="0"/>
      <w:r w:rsidDel="00000000" w:rsidR="00000000" w:rsidRPr="00000000">
        <w:rPr>
          <w:rFonts w:ascii="Times New Roman" w:cs="Times New Roman" w:eastAsia="Times New Roman" w:hAnsi="Times New Roman"/>
          <w:rtl w:val="0"/>
        </w:rPr>
        <w:t xml:space="preserve">Rules on the Student Referendum</w:t>
      </w:r>
      <w:r w:rsidDel="00000000" w:rsidR="00000000" w:rsidRPr="00000000">
        <w:rPr>
          <w:rtl w:val="0"/>
        </w:rPr>
      </w:r>
    </w:p>
    <w:p w:rsidR="00000000" w:rsidDel="00000000" w:rsidP="00000000" w:rsidRDefault="00000000" w:rsidRPr="00000000" w14:paraId="00000002">
      <w:pPr>
        <w:spacing w:after="40" w:line="360" w:lineRule="auto"/>
        <w:jc w:val="right"/>
        <w:rPr>
          <w:rFonts w:ascii="Times New Roman" w:cs="Times New Roman" w:eastAsia="Times New Roman" w:hAnsi="Times New Roman"/>
          <w:sz w:val="18"/>
          <w:szCs w:val="18"/>
        </w:rPr>
      </w:pPr>
      <w:bookmarkStart w:colFirst="0" w:colLast="0" w:name="_heading=h.ijr3u2m8xmiq" w:id="1"/>
      <w:bookmarkEnd w:id="1"/>
      <w:r w:rsidDel="00000000" w:rsidR="00000000" w:rsidRPr="00000000">
        <w:rPr>
          <w:rtl w:val="0"/>
        </w:rPr>
      </w:r>
    </w:p>
    <w:p w:rsidR="00000000" w:rsidDel="00000000" w:rsidP="00000000" w:rsidRDefault="00000000" w:rsidRPr="00000000" w14:paraId="00000003">
      <w:pPr>
        <w:spacing w:after="40" w:line="360" w:lineRule="auto"/>
        <w:jc w:val="right"/>
        <w:rPr>
          <w:rFonts w:ascii="Times New Roman" w:cs="Times New Roman" w:eastAsia="Times New Roman" w:hAnsi="Times New Roman"/>
          <w:i w:val="1"/>
          <w:iCs w:val="1"/>
          <w:sz w:val="18"/>
          <w:szCs w:val="18"/>
        </w:rPr>
      </w:pPr>
      <w:bookmarkStart w:colFirst="0" w:colLast="0" w:name="_heading=h.wtaez8z5863t" w:id="2"/>
      <w:bookmarkEnd w:id="2"/>
      <w:r w:rsidDel="00000000" w:rsidR="00000000" w:rsidRPr="00000000">
        <w:rPr>
          <w:rFonts w:ascii="Times New Roman" w:cs="Times New Roman" w:eastAsia="Times New Roman" w:hAnsi="Times New Roman"/>
          <w:i w:val="1"/>
          <w:iCs w:val="1"/>
          <w:sz w:val="18"/>
          <w:szCs w:val="18"/>
          <w:rtl w:val="0"/>
        </w:rPr>
        <w:t xml:space="preserve">(Rules on Deliberative Bodies No. 1)</w:t>
      </w:r>
    </w:p>
    <w:p w:rsidR="00000000" w:rsidDel="00000000" w:rsidP="00000000" w:rsidRDefault="00000000" w:rsidRPr="00000000" w14:paraId="00000004">
      <w:pPr>
        <w:spacing w:after="40" w:line="36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Enacted: December 22, 2025</w:t>
      </w:r>
    </w:p>
    <w:p w:rsidR="00000000" w:rsidDel="00000000" w:rsidP="00000000" w:rsidRDefault="00000000" w:rsidRPr="00000000" w14:paraId="00000005">
      <w:pPr>
        <w:spacing w:after="0" w:line="360" w:lineRule="auto"/>
        <w:jc w:val="left"/>
        <w:rPr>
          <w:rFonts w:ascii="Times New Roman" w:cs="Times New Roman" w:eastAsia="Times New Roman" w:hAnsi="Times New Roman"/>
          <w:b w:val="1"/>
          <w:bCs w:val="1"/>
        </w:rPr>
      </w:pPr>
      <w:bookmarkStart w:colFirst="0" w:colLast="0" w:name="_heading=h.72h2286otjhx" w:id="3"/>
      <w:bookmarkEnd w:id="3"/>
      <w:r w:rsidDel="00000000" w:rsidR="00000000" w:rsidRPr="00000000">
        <w:rPr>
          <w:rtl w:val="0"/>
        </w:rPr>
      </w:r>
    </w:p>
    <w:p w:rsidR="00000000" w:rsidDel="00000000" w:rsidP="00000000" w:rsidRDefault="00000000" w:rsidRPr="00000000" w14:paraId="00000006">
      <w:pPr>
        <w:spacing w:before="240" w:line="360" w:lineRule="auto"/>
        <w:jc w:val="left"/>
        <w:rPr>
          <w:rFonts w:ascii="Times New Roman" w:cs="Times New Roman" w:eastAsia="Times New Roman" w:hAnsi="Times New Roman"/>
          <w:sz w:val="24"/>
          <w:szCs w:val="24"/>
        </w:rPr>
      </w:pPr>
      <w:bookmarkStart w:colFirst="0" w:colLast="0" w:name="_heading=h.e0r1ma7blbsa" w:id="4"/>
      <w:bookmarkEnd w:id="4"/>
      <w:r w:rsidDel="00000000" w:rsidR="00000000" w:rsidRPr="00000000">
        <w:rPr>
          <w:rFonts w:ascii="Times New Roman" w:cs="Times New Roman" w:eastAsia="Times New Roman" w:hAnsi="Times New Roman"/>
          <w:b w:val="1"/>
          <w:bCs w:val="1"/>
          <w:sz w:val="28"/>
          <w:szCs w:val="28"/>
          <w:rtl w:val="0"/>
        </w:rPr>
        <w:t xml:space="preserve">Article 1 (Purpose)</w:t>
      </w:r>
      <w:r w:rsidDel="00000000" w:rsidR="00000000" w:rsidRPr="00000000">
        <w:rPr>
          <w:rFonts w:ascii="Times New Roman" w:cs="Times New Roman" w:eastAsia="Times New Roman" w:hAnsi="Times New Roman"/>
          <w:sz w:val="24"/>
          <w:szCs w:val="24"/>
          <w:rtl w:val="0"/>
        </w:rPr>
        <w:br w:type="textWrapping"/>
        <w:t xml:space="preserve"> The purpose of these Rules is to prescribe detailed procedures for conducting the Student Referendum so that decisions made through the referendum are democratic, fair, and efficient.</w:t>
      </w:r>
    </w:p>
    <w:p w:rsidR="00000000" w:rsidDel="00000000" w:rsidP="00000000" w:rsidRDefault="00000000" w:rsidRPr="00000000" w14:paraId="00000007">
      <w:pPr>
        <w:spacing w:before="24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2 (Public Notice of Referendum)</w:t>
      </w:r>
    </w:p>
    <w:p w:rsidR="00000000" w:rsidDel="00000000" w:rsidP="00000000" w:rsidRDefault="00000000" w:rsidRPr="00000000" w14:paraId="00000008">
      <w:pPr>
        <w:numPr>
          <w:ilvl w:val="0"/>
          <w:numId w:val="2"/>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Chair of the Student General Assembly shall, at least one week prior to the referendum, give public notice including the following:</w:t>
        <w:br w:type="textWrapping"/>
        <w:t xml:space="preserve"> (1) Date and time of the referendum;</w:t>
        <w:br w:type="textWrapping"/>
        <w:t xml:space="preserve"> (2) Locations of polling stations;</w:t>
        <w:br w:type="textWrapping"/>
        <w:t xml:space="preserve"> (3) The agenda item(s) and explanations thereof.</w:t>
        <w:br w:type="textWrapping"/>
      </w:r>
    </w:p>
    <w:p w:rsidR="00000000" w:rsidDel="00000000" w:rsidP="00000000" w:rsidRDefault="00000000" w:rsidRPr="00000000" w14:paraId="00000009">
      <w:pPr>
        <w:numPr>
          <w:ilvl w:val="0"/>
          <w:numId w:val="2"/>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agenda item not publicly noticed under paragraph 1 may not be decided by referendum.</w:t>
        <w:br w:type="textWrapping"/>
      </w:r>
    </w:p>
    <w:p w:rsidR="00000000" w:rsidDel="00000000" w:rsidP="00000000" w:rsidRDefault="00000000" w:rsidRPr="00000000" w14:paraId="0000000A">
      <w:pPr>
        <w:spacing w:before="24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3 (Voting Period)</w:t>
      </w:r>
    </w:p>
    <w:p w:rsidR="00000000" w:rsidDel="00000000" w:rsidP="00000000" w:rsidRDefault="00000000" w:rsidRPr="00000000" w14:paraId="0000000B">
      <w:pPr>
        <w:numPr>
          <w:ilvl w:val="0"/>
          <w:numId w:val="3"/>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voting period shall be set by the Referendum Management Committee within a range of up to two (2) days.</w:t>
        <w:br w:type="textWrapping"/>
      </w:r>
    </w:p>
    <w:p w:rsidR="00000000" w:rsidDel="00000000" w:rsidP="00000000" w:rsidRDefault="00000000" w:rsidRPr="00000000" w14:paraId="0000000C">
      <w:pPr>
        <w:numPr>
          <w:ilvl w:val="0"/>
          <w:numId w:val="3"/>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upon the end of the voting period, turnout does not exceed 50%, the Referendum Management Committee may, by resolution, extend the voting period once, by up to one (1) day.</w:t>
        <w:br w:type="textWrapping"/>
      </w:r>
    </w:p>
    <w:p w:rsidR="00000000" w:rsidDel="00000000" w:rsidP="00000000" w:rsidRDefault="00000000" w:rsidRPr="00000000" w14:paraId="0000000D">
      <w:pPr>
        <w:spacing w:before="240" w:line="36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4 (Voting Methods)</w:t>
      </w:r>
    </w:p>
    <w:p w:rsidR="00000000" w:rsidDel="00000000" w:rsidP="00000000" w:rsidRDefault="00000000" w:rsidRPr="00000000" w14:paraId="0000000E">
      <w:pPr>
        <w:numPr>
          <w:ilvl w:val="0"/>
          <w:numId w:val="1"/>
        </w:numPr>
        <w:spacing w:after="0" w:before="24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rule, voting shall be by marking a ballot.</w:t>
        <w:br w:type="textWrapping"/>
      </w:r>
    </w:p>
    <w:p w:rsidR="00000000" w:rsidDel="00000000" w:rsidP="00000000" w:rsidRDefault="00000000" w:rsidRPr="00000000" w14:paraId="0000000F">
      <w:pPr>
        <w:numPr>
          <w:ilvl w:val="0"/>
          <w:numId w:val="1"/>
        </w:numPr>
        <w:spacing w:before="0"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facilitate participation and to allow voting by absent members, postal, online, mobile, or other special voting methods may be conducted in parallel. Matters concerning whether and how such special methods are implemented—including eligibility, procedures, and operation—shall be prescribed by the Referendum Management Committee in separate rules.</w:t>
        <w:br w:type="textWrapping"/>
      </w:r>
    </w:p>
    <w:p w:rsidR="00000000" w:rsidDel="00000000" w:rsidP="00000000" w:rsidRDefault="00000000" w:rsidRPr="00000000" w14:paraId="00000010">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5 (Invalidation)</w:t>
      </w:r>
      <w:r w:rsidDel="00000000" w:rsidR="00000000" w:rsidRPr="00000000">
        <w:rPr>
          <w:rFonts w:ascii="Times New Roman" w:cs="Times New Roman" w:eastAsia="Times New Roman" w:hAnsi="Times New Roman"/>
          <w:sz w:val="24"/>
          <w:szCs w:val="24"/>
          <w:rtl w:val="0"/>
        </w:rPr>
        <w:br w:type="textWrapping"/>
        <w:t xml:space="preserve"> If the discrepancy between (i) the total number of voters recorded on the roll as having voted and (ii) the total number of ballot papers exceeds three percent (3%) of the number recorded on the roll as having voted, the referendum shall be invalid.</w:t>
      </w:r>
    </w:p>
    <w:p w:rsidR="00000000" w:rsidDel="00000000" w:rsidP="00000000" w:rsidRDefault="00000000" w:rsidRPr="00000000" w14:paraId="00000011">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6 (Public Notice of Results)</w:t>
      </w:r>
      <w:r w:rsidDel="00000000" w:rsidR="00000000" w:rsidRPr="00000000">
        <w:rPr>
          <w:rFonts w:ascii="Times New Roman" w:cs="Times New Roman" w:eastAsia="Times New Roman" w:hAnsi="Times New Roman"/>
          <w:sz w:val="24"/>
          <w:szCs w:val="24"/>
          <w:rtl w:val="0"/>
        </w:rPr>
        <w:br w:type="textWrapping"/>
        <w:t xml:space="preserve"> Within twenty-four (24) hours from the close of counting after the referendum ends, the Referendum Management Committee shall publicly announce the turnout and the results. Notwithstanding Article 20(2) of the Regulations on Deliberative Bodies, the final turnout so announced shall be calculated based on the total number of ballot papers.</w:t>
      </w:r>
    </w:p>
    <w:p w:rsidR="00000000" w:rsidDel="00000000" w:rsidP="00000000" w:rsidRDefault="00000000" w:rsidRPr="00000000" w14:paraId="00000012">
      <w:pPr>
        <w:spacing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Article 7 (Detailed Matters)</w:t>
      </w:r>
      <w:r w:rsidDel="00000000" w:rsidR="00000000" w:rsidRPr="00000000">
        <w:rPr>
          <w:rFonts w:ascii="Times New Roman" w:cs="Times New Roman" w:eastAsia="Times New Roman" w:hAnsi="Times New Roman"/>
          <w:sz w:val="24"/>
          <w:szCs w:val="24"/>
          <w:rtl w:val="0"/>
        </w:rPr>
        <w:br w:type="textWrapping"/>
        <w:t xml:space="preserve"> Other detailed matters relating to the Student Referendum shall be governed mutatis mutandis by the provisions on voting and counting in the Detailed Rules for Election Administration.</w:t>
      </w:r>
    </w:p>
    <w:p w:rsidR="00000000" w:rsidDel="00000000" w:rsidP="00000000" w:rsidRDefault="00000000" w:rsidRPr="00000000" w14:paraId="00000013">
      <w:pPr>
        <w:spacing w:after="0" w:line="360" w:lineRule="auto"/>
        <w:jc w:val="left"/>
        <w:rPr>
          <w:rFonts w:ascii="Times New Roman" w:cs="Times New Roman" w:eastAsia="Times New Roman" w:hAnsi="Times New Roman"/>
          <w:b w:val="1"/>
          <w:bCs w:val="1"/>
        </w:rPr>
      </w:pPr>
      <w:r w:rsidDel="00000000" w:rsidR="00000000" w:rsidRPr="00000000">
        <w:rPr>
          <w:rtl w:val="0"/>
        </w:rPr>
      </w:r>
    </w:p>
    <w:sectPr>
      <w:footerReference r:id="rId7" w:type="default"/>
      <w:footerReference r:id="rId8" w:type="even"/>
      <w:pgSz w:h="15840" w:w="12240" w:orient="portrait"/>
      <w:pgMar w:bottom="1440" w:top="17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br w:type="textWrapping"/>
      <w:br w:type="textWrapp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
      </w:rPr>
    </w:rPrDefault>
    <w:pPrDefault>
      <w:pPr>
        <w:widowControl w:val="0"/>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pPr>
    <w:rPr>
      <w:b w:val="1"/>
      <w:bCs w:val="1"/>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spacing w:before="960" w:lineRule="auto"/>
      <w:ind w:left="300" w:hanging="200"/>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spacing w:after="120" w:before="240" w:lineRule="auto"/>
      <w:jc w:val="center"/>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NEozcAlL4IeGFmnVwfnvqMM5kg==">CgMxLjAyDmguMWxhcWJ5bGNkNzdrMg5oLmlqcjN1Mm04eG1pcTIOaC53dGFlejh6NTg2M3QyDmguNzJoMjI4Nm90amh4Mg5oLmUwcjFtYTdibGJzYTgAciExNkx3LWhwQkp4SEI3VkJaMHptRWZYbWl1VGNlUWhFZWU=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