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left"/>
        <w:rPr/>
      </w:pPr>
      <w:bookmarkStart w:colFirst="0" w:colLast="0" w:name="_heading=h.fww1xyb5hw" w:id="0"/>
      <w:bookmarkEnd w:id="0"/>
      <w:r w:rsidDel="00000000" w:rsidR="00000000" w:rsidRPr="00000000">
        <w:rPr>
          <w:rFonts w:ascii="Times New Roman" w:cs="Times New Roman" w:eastAsia="Times New Roman" w:hAnsi="Times New Roman"/>
          <w:rtl w:val="0"/>
        </w:rPr>
        <w:t xml:space="preserve">Rules of the Bylaws Interpretation Committee</w:t>
      </w:r>
      <w:r w:rsidDel="00000000" w:rsidR="00000000" w:rsidRPr="00000000">
        <w:rPr>
          <w:rtl w:val="0"/>
        </w:rPr>
      </w:r>
    </w:p>
    <w:p w:rsidR="00000000" w:rsidDel="00000000" w:rsidP="00000000" w:rsidRDefault="00000000" w:rsidRPr="00000000" w14:paraId="00000002">
      <w:pPr>
        <w:spacing w:after="40" w:line="360" w:lineRule="auto"/>
        <w:jc w:val="left"/>
        <w:rPr>
          <w:rFonts w:ascii="Times New Roman" w:cs="Times New Roman" w:eastAsia="Times New Roman" w:hAnsi="Times New Roman"/>
          <w:sz w:val="18"/>
          <w:szCs w:val="18"/>
        </w:rPr>
      </w:pPr>
      <w:bookmarkStart w:colFirst="0" w:colLast="0" w:name="_heading=h.ru65toz1sryq"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360" w:lineRule="auto"/>
        <w:ind w:left="0" w:right="0" w:firstLine="0"/>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(Rules on Deliberative Bodies No. 4)</w:t>
      </w:r>
    </w:p>
    <w:p w:rsidR="00000000" w:rsidDel="00000000" w:rsidP="00000000" w:rsidRDefault="00000000" w:rsidRPr="00000000" w14:paraId="00000004">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360" w:lineRule="auto"/>
        <w:ind w:left="0" w:right="0" w:firstLine="0"/>
        <w:jc w:val="right"/>
        <w:rPr>
          <w:rFonts w:ascii="Times New Roman" w:cs="Times New Roman" w:eastAsia="Times New Roman" w:hAnsi="Times New Roman"/>
          <w:sz w:val="18"/>
          <w:szCs w:val="18"/>
        </w:rPr>
      </w:pPr>
      <w:bookmarkStart w:colFirst="0" w:colLast="0" w:name="_heading=h.a6jsrxj4ic77" w:id="2"/>
      <w:bookmarkEnd w:id="2"/>
      <w:r w:rsidDel="00000000" w:rsidR="00000000" w:rsidRPr="00000000">
        <w:rPr>
          <w:rtl w:val="0"/>
        </w:rPr>
      </w:r>
    </w:p>
    <w:p w:rsidR="00000000" w:rsidDel="00000000" w:rsidP="00000000" w:rsidRDefault="00000000" w:rsidRPr="00000000" w14:paraId="00000006">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 (Purpose)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These Rules prescribe the principles for interpreting the Association’s Bylaws and, in particular, aim to adopt a uniform interpretation when issues arise in interpretation.</w:t>
      </w:r>
    </w:p>
    <w:p w:rsidR="00000000" w:rsidDel="00000000" w:rsidP="00000000" w:rsidRDefault="00000000" w:rsidRPr="00000000" w14:paraId="00000007">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2 (Principles of Interpretation of the Bylaws)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In interpreting and applying the Bylaws, care shall be taken—considering the contextual meaning of the relevant provision and the logical coherence of the Bylaws as a whole—so that the democratic operation of the Association is not impeded and members’ rights are not unduly infringed.</w:t>
      </w:r>
    </w:p>
    <w:p w:rsidR="00000000" w:rsidDel="00000000" w:rsidP="00000000" w:rsidRDefault="00000000" w:rsidRPr="00000000" w14:paraId="00000008">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3 (Composition)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All members of the Central Executive Committee shall serve as members of the Bylaws Interpretation Committee, and the President of the Association shall serve as its Chair. Other matters concerning composition shall be governed mutatis mutandis by Articles 5 and 40 of the Regulations on Deliberative Bodies.</w:t>
      </w:r>
    </w:p>
    <w:p w:rsidR="00000000" w:rsidDel="00000000" w:rsidP="00000000" w:rsidRDefault="00000000" w:rsidRPr="00000000" w14:paraId="00000009">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 (Convening)</w:t>
      </w:r>
    </w:p>
    <w:p w:rsidR="00000000" w:rsidDel="00000000" w:rsidP="00000000" w:rsidRDefault="00000000" w:rsidRPr="00000000" w14:paraId="0000000A">
      <w:pPr>
        <w:numPr>
          <w:ilvl w:val="0"/>
          <w:numId w:val="1"/>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issue concerning the interpretation of the Bylaws arises, the Chair of the Central Executive Committee shall convene the Bylaws Interpretation Committee without delay.</w:t>
        <w:br w:type="textWrapping"/>
      </w:r>
    </w:p>
    <w:p w:rsidR="00000000" w:rsidDel="00000000" w:rsidP="00000000" w:rsidRDefault="00000000" w:rsidRPr="00000000" w14:paraId="0000000B">
      <w:pPr>
        <w:numPr>
          <w:ilvl w:val="0"/>
          <w:numId w:val="1"/>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of convening shall be given at least three (3) days prior to the meeting, and, at that time, the Bylaws provision at issue and each party’s interpretation thereof shall be disclosed. Provided, however, that in urgent matters, the notice requirement may be omitted with the consent of at least two-thirds of the incumbent members of the Bylaws Interpretation Committee.</w:t>
        <w:br w:type="textWrapping"/>
      </w:r>
    </w:p>
    <w:p w:rsidR="00000000" w:rsidDel="00000000" w:rsidP="00000000" w:rsidRDefault="00000000" w:rsidRPr="00000000" w14:paraId="0000000C">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5 (Quorum and Voting Requirements)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With respect to composition and operation, the quorum and voting requirements of the Bylaws Interpretation Committee shall be governed mutatis mutandis by Article 44(1) and (2) concerning the Central Executive Committee in the Regulations on Deliberative Bodies.</w:t>
      </w:r>
    </w:p>
    <w:p w:rsidR="00000000" w:rsidDel="00000000" w:rsidP="00000000" w:rsidRDefault="00000000" w:rsidRPr="00000000" w14:paraId="0000000D">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6 (Consultation)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Where necessary in relation to an agenda item, or upon request of a member, the Chair of the Bylaws Interpretation Committee may have experts attend the Committee to speak or may request submission of written statements or explanatory materials in the expert’s name.</w:t>
      </w:r>
    </w:p>
    <w:p w:rsidR="00000000" w:rsidDel="00000000" w:rsidP="00000000" w:rsidRDefault="00000000" w:rsidRPr="00000000" w14:paraId="0000000E">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7 (Public Hearing)</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For important matters of the Association and for interpretations of Bylaws provisions concerning members’ rights and obligations, a public hearing may be held to solicit opinions from the members.</w:t>
      </w:r>
    </w:p>
    <w:p w:rsidR="00000000" w:rsidDel="00000000" w:rsidP="00000000" w:rsidRDefault="00000000" w:rsidRPr="00000000" w14:paraId="0000000F">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8 (Adopted Interpretation of the Bylaws)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When the Bylaws Interpretation Committee adopts an interpretation of a provision, the deliberation process and the content of the interpretation shall be appended to the latter part of the Bylaws and shall at all times be made available for inspection together with the Bylaws.</w:t>
      </w:r>
    </w:p>
    <w:p w:rsidR="00000000" w:rsidDel="00000000" w:rsidP="00000000" w:rsidRDefault="00000000" w:rsidRPr="00000000" w14:paraId="00000010">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9 (Detailed Rules and Rules)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These Rules shall apply mutatis mutandis to detailed rules and rules. Provided, however, that in the case of autonomous bodies, specialized bodies, and media bodies, the Bylaws Interpretation Committee may issue an authoritative interpretation only upon the request of the relevant body.</w:t>
      </w:r>
    </w:p>
    <w:p w:rsidR="00000000" w:rsidDel="00000000" w:rsidP="00000000" w:rsidRDefault="00000000" w:rsidRPr="00000000" w14:paraId="00000011">
      <w:pPr>
        <w:spacing w:line="360" w:lineRule="auto"/>
        <w:jc w:val="left"/>
        <w:rPr>
          <w:rFonts w:ascii="Times New Roman" w:cs="Times New Roman" w:eastAsia="Times New Roman" w:hAnsi="Times New Roman"/>
          <w:b w:val="1"/>
          <w:bCs w:val="1"/>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oM2Jxmyt2xiAYklHaDbWG6XeQ==">CgMxLjAyDGguZnd3MXh5YjVodzIOaC5ydTY1dG96MXNyeXEyDmguYTZqc3J4ajRpYzc3OAByITFZYWtIcHFVcC13UXlidURrbEJxNWhfZVRDWkhKYWdXWA==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