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A3B8" w14:textId="77777777" w:rsidR="00B90651" w:rsidRPr="00624744" w:rsidRDefault="00000000" w:rsidP="00624744">
      <w:pPr>
        <w:pStyle w:val="Title"/>
        <w:jc w:val="both"/>
        <w:rPr>
          <w:rFonts w:ascii="Arial" w:hAnsi="Arial" w:cs="Arial"/>
          <w:color w:val="auto"/>
          <w:sz w:val="24"/>
          <w:szCs w:val="24"/>
        </w:rPr>
      </w:pPr>
      <w:r w:rsidRPr="00624744">
        <w:rPr>
          <w:rFonts w:ascii="Arial" w:hAnsi="Arial" w:cs="Arial"/>
          <w:color w:val="auto"/>
          <w:sz w:val="24"/>
          <w:szCs w:val="24"/>
        </w:rPr>
        <w:t>Task 2: Values Audit — JurisCom RegTech</w:t>
      </w:r>
    </w:p>
    <w:p w14:paraId="07D1A87B" w14:textId="77777777" w:rsidR="00B90651" w:rsidRPr="00624744" w:rsidRDefault="00000000" w:rsidP="00624744">
      <w:pPr>
        <w:spacing w:after="120"/>
        <w:jc w:val="both"/>
        <w:rPr>
          <w:rFonts w:cs="Arial"/>
          <w:sz w:val="24"/>
          <w:szCs w:val="24"/>
        </w:rPr>
      </w:pPr>
      <w:r w:rsidRPr="00624744">
        <w:rPr>
          <w:rFonts w:cs="Arial"/>
          <w:sz w:val="24"/>
          <w:szCs w:val="24"/>
        </w:rPr>
        <w:t>Wong Joon Hoong | G2505242K | joonhoongwong@yahoo.com</w:t>
      </w:r>
    </w:p>
    <w:p w14:paraId="357732FF" w14:textId="77777777" w:rsidR="00B90651" w:rsidRPr="00624744" w:rsidRDefault="00000000" w:rsidP="00624744">
      <w:pPr>
        <w:pStyle w:val="Heading1"/>
        <w:spacing w:after="120"/>
        <w:jc w:val="both"/>
        <w:rPr>
          <w:rFonts w:ascii="Arial" w:hAnsi="Arial" w:cs="Arial"/>
          <w:color w:val="auto"/>
          <w:sz w:val="24"/>
          <w:szCs w:val="24"/>
        </w:rPr>
      </w:pPr>
      <w:r w:rsidRPr="00624744">
        <w:rPr>
          <w:rFonts w:ascii="Arial" w:hAnsi="Arial" w:cs="Arial"/>
          <w:color w:val="auto"/>
          <w:sz w:val="24"/>
          <w:szCs w:val="24"/>
        </w:rPr>
        <w:t>Question 1: What is your company's mission statement? Tell me more about your hypothetical company and the core values you uphold. What is your company good at? What stage is the company at? How big is it and what are its aspirations for revenue, costs and geographical coverage?</w:t>
      </w:r>
    </w:p>
    <w:p w14:paraId="38EC312F" w14:textId="77777777" w:rsidR="00B90651" w:rsidRPr="00624744" w:rsidRDefault="00000000" w:rsidP="00624744">
      <w:pPr>
        <w:pStyle w:val="Heading2"/>
        <w:spacing w:after="120"/>
        <w:jc w:val="both"/>
        <w:rPr>
          <w:rFonts w:ascii="Arial" w:hAnsi="Arial" w:cs="Arial"/>
          <w:color w:val="auto"/>
          <w:sz w:val="24"/>
          <w:szCs w:val="24"/>
        </w:rPr>
      </w:pPr>
      <w:r w:rsidRPr="00624744">
        <w:rPr>
          <w:rFonts w:ascii="Arial" w:hAnsi="Arial" w:cs="Arial"/>
          <w:color w:val="auto"/>
          <w:sz w:val="24"/>
          <w:szCs w:val="24"/>
        </w:rPr>
        <w:t>Mission statement</w:t>
      </w:r>
    </w:p>
    <w:p w14:paraId="5C243979" w14:textId="77777777" w:rsidR="00624744" w:rsidRPr="00624744" w:rsidRDefault="00624744" w:rsidP="00624744">
      <w:pPr>
        <w:spacing w:after="120"/>
        <w:jc w:val="both"/>
        <w:rPr>
          <w:rFonts w:cs="Arial"/>
          <w:sz w:val="24"/>
          <w:szCs w:val="24"/>
          <w:lang w:val="en-GB"/>
        </w:rPr>
      </w:pPr>
      <w:proofErr w:type="spellStart"/>
      <w:r w:rsidRPr="00624744">
        <w:rPr>
          <w:rFonts w:cs="Arial"/>
          <w:sz w:val="24"/>
          <w:szCs w:val="24"/>
          <w:lang w:val="en-GB"/>
        </w:rPr>
        <w:t>JurisCom</w:t>
      </w:r>
      <w:proofErr w:type="spellEnd"/>
      <w:r w:rsidRPr="00624744">
        <w:rPr>
          <w:rFonts w:cs="Arial"/>
          <w:sz w:val="24"/>
          <w:szCs w:val="24"/>
          <w:lang w:val="en-GB"/>
        </w:rPr>
        <w:t xml:space="preserve"> </w:t>
      </w:r>
      <w:proofErr w:type="spellStart"/>
      <w:r w:rsidRPr="00624744">
        <w:rPr>
          <w:rFonts w:cs="Arial"/>
          <w:sz w:val="24"/>
          <w:szCs w:val="24"/>
          <w:lang w:val="en-GB"/>
        </w:rPr>
        <w:t>RegTech’s</w:t>
      </w:r>
      <w:proofErr w:type="spellEnd"/>
      <w:r w:rsidRPr="00624744">
        <w:rPr>
          <w:rFonts w:cs="Arial"/>
          <w:sz w:val="24"/>
          <w:szCs w:val="24"/>
          <w:lang w:val="en-GB"/>
        </w:rPr>
        <w:t xml:space="preserve"> mission is to deliver “jurisdiction-aware compliance, by design.” The company seeks to make regulatory rules legible and operationally usable so that compliance professionals can focus on professional judgement rather than manual regulatory translation.</w:t>
      </w:r>
    </w:p>
    <w:p w14:paraId="6658CB16" w14:textId="4F7DDA8E" w:rsidR="00624744" w:rsidRPr="00624744" w:rsidRDefault="00624744" w:rsidP="00624744">
      <w:pPr>
        <w:spacing w:after="120"/>
        <w:jc w:val="both"/>
        <w:rPr>
          <w:rFonts w:cs="Arial"/>
          <w:sz w:val="24"/>
          <w:szCs w:val="24"/>
          <w:lang w:val="en-GB"/>
        </w:rPr>
      </w:pPr>
      <w:r w:rsidRPr="00624744">
        <w:rPr>
          <w:rFonts w:cs="Arial"/>
          <w:sz w:val="24"/>
          <w:szCs w:val="24"/>
          <w:lang w:val="en-GB"/>
        </w:rPr>
        <w:t xml:space="preserve">This mission reflects the company’s core thesis: many compliance technology platforms are initially designed around a single jurisdiction and later adapted for other legal environments. Such adaptation may create configuration debt, inconsistent rule application, and compliance blind spots. </w:t>
      </w:r>
      <w:proofErr w:type="spellStart"/>
      <w:r w:rsidRPr="00624744">
        <w:rPr>
          <w:rFonts w:cs="Arial"/>
          <w:sz w:val="24"/>
          <w:szCs w:val="24"/>
          <w:lang w:val="en-GB"/>
        </w:rPr>
        <w:t>JurisCom</w:t>
      </w:r>
      <w:proofErr w:type="spellEnd"/>
      <w:r w:rsidRPr="00624744">
        <w:rPr>
          <w:rFonts w:cs="Arial"/>
          <w:sz w:val="24"/>
          <w:szCs w:val="24"/>
          <w:lang w:val="en-GB"/>
        </w:rPr>
        <w:t xml:space="preserve"> positions itself as a specialist provider of jurisdiction-specific compliance logic rather than as a general-purpose enterprise transaction monitoring platform</w:t>
      </w:r>
      <w:r w:rsidRPr="00624744">
        <w:rPr>
          <w:rFonts w:cs="Arial"/>
          <w:sz w:val="24"/>
          <w:szCs w:val="24"/>
          <w:lang w:val="en-GB"/>
        </w:rPr>
        <w:t>.</w:t>
      </w:r>
    </w:p>
    <w:p w14:paraId="07653E39" w14:textId="1B174257" w:rsidR="00B90651" w:rsidRPr="00624744" w:rsidRDefault="00000000" w:rsidP="00624744">
      <w:pPr>
        <w:pStyle w:val="Heading2"/>
        <w:spacing w:after="120"/>
        <w:jc w:val="both"/>
        <w:rPr>
          <w:rFonts w:ascii="Arial" w:hAnsi="Arial" w:cs="Arial"/>
          <w:color w:val="auto"/>
          <w:sz w:val="24"/>
          <w:szCs w:val="24"/>
        </w:rPr>
      </w:pPr>
      <w:r w:rsidRPr="00624744">
        <w:rPr>
          <w:rFonts w:ascii="Arial" w:hAnsi="Arial" w:cs="Arial"/>
          <w:color w:val="auto"/>
          <w:sz w:val="24"/>
          <w:szCs w:val="24"/>
        </w:rPr>
        <w:t>Company profile</w:t>
      </w:r>
    </w:p>
    <w:p w14:paraId="719610D7" w14:textId="77777777" w:rsidR="00624744" w:rsidRPr="00624744" w:rsidRDefault="00624744" w:rsidP="00624744">
      <w:pPr>
        <w:spacing w:after="120"/>
        <w:jc w:val="both"/>
        <w:rPr>
          <w:rFonts w:cs="Arial"/>
          <w:sz w:val="24"/>
          <w:szCs w:val="24"/>
          <w:lang w:val="en-GB"/>
        </w:rPr>
      </w:pPr>
      <w:proofErr w:type="spellStart"/>
      <w:r w:rsidRPr="00624744">
        <w:rPr>
          <w:rFonts w:cs="Arial"/>
          <w:sz w:val="24"/>
          <w:szCs w:val="24"/>
          <w:lang w:val="en-GB"/>
        </w:rPr>
        <w:t>JurisCom</w:t>
      </w:r>
      <w:proofErr w:type="spellEnd"/>
      <w:r w:rsidRPr="00624744">
        <w:rPr>
          <w:rFonts w:cs="Arial"/>
          <w:sz w:val="24"/>
          <w:szCs w:val="24"/>
          <w:lang w:val="en-GB"/>
        </w:rPr>
        <w:t xml:space="preserve"> </w:t>
      </w:r>
      <w:proofErr w:type="spellStart"/>
      <w:r w:rsidRPr="00624744">
        <w:rPr>
          <w:rFonts w:cs="Arial"/>
          <w:sz w:val="24"/>
          <w:szCs w:val="24"/>
          <w:lang w:val="en-GB"/>
        </w:rPr>
        <w:t>RegTech</w:t>
      </w:r>
      <w:proofErr w:type="spellEnd"/>
      <w:r w:rsidRPr="00624744">
        <w:rPr>
          <w:rFonts w:cs="Arial"/>
          <w:sz w:val="24"/>
          <w:szCs w:val="24"/>
          <w:lang w:val="en-GB"/>
        </w:rPr>
        <w:t xml:space="preserve"> is a Singapore-incorporated startup founded in 2023. Its name combines “jurisdiction” and “compliance,” reflecting its focus on cross-border regulatory interpretation. The company completed a Series A fundraising round in January 2024, raising USD 4.5 million from a Singapore-based venture capital fund and an angel investor with prior experience in compliance technology at a global bank.</w:t>
      </w:r>
    </w:p>
    <w:p w14:paraId="25110EAE" w14:textId="77777777" w:rsidR="00624744" w:rsidRPr="00624744" w:rsidRDefault="00624744" w:rsidP="00624744">
      <w:pPr>
        <w:spacing w:after="120"/>
        <w:jc w:val="both"/>
        <w:rPr>
          <w:rFonts w:cs="Arial"/>
          <w:sz w:val="24"/>
          <w:szCs w:val="24"/>
          <w:lang w:val="en-GB"/>
        </w:rPr>
      </w:pPr>
      <w:r w:rsidRPr="00624744">
        <w:rPr>
          <w:rFonts w:cs="Arial"/>
          <w:sz w:val="24"/>
          <w:szCs w:val="24"/>
          <w:lang w:val="en-GB"/>
        </w:rPr>
        <w:t xml:space="preserve">The company has 12 full-time employees. Its founding team consists of two former bank compliance officers, one software engineer with sanctions-screening experience at a regulatory technology vendor, and one data scientist. The remaining employees are distributed across engineering and sales functions. Given this small team size, </w:t>
      </w:r>
      <w:proofErr w:type="spellStart"/>
      <w:r w:rsidRPr="00624744">
        <w:rPr>
          <w:rFonts w:cs="Arial"/>
          <w:sz w:val="24"/>
          <w:szCs w:val="24"/>
          <w:lang w:val="en-GB"/>
        </w:rPr>
        <w:t>JurisCom’s</w:t>
      </w:r>
      <w:proofErr w:type="spellEnd"/>
      <w:r w:rsidRPr="00624744">
        <w:rPr>
          <w:rFonts w:cs="Arial"/>
          <w:sz w:val="24"/>
          <w:szCs w:val="24"/>
          <w:lang w:val="en-GB"/>
        </w:rPr>
        <w:t xml:space="preserve"> operating model necessarily prioritises depth over breadth. The company does not attempt to maintain live regulatory configurations across all major financial jurisdictions. Instead, it launches with deep coverage of the United States and Singapore before expanding into additional markets.</w:t>
      </w:r>
    </w:p>
    <w:p w14:paraId="3263478D" w14:textId="00901542" w:rsidR="00624744" w:rsidRPr="00624744" w:rsidRDefault="00624744">
      <w:pPr>
        <w:rPr>
          <w:rFonts w:cs="Arial"/>
          <w:sz w:val="24"/>
          <w:szCs w:val="24"/>
        </w:rPr>
      </w:pPr>
      <w:r w:rsidRPr="00624744">
        <w:rPr>
          <w:rFonts w:cs="Arial"/>
          <w:sz w:val="24"/>
          <w:szCs w:val="24"/>
        </w:rPr>
        <w:br w:type="page"/>
      </w:r>
    </w:p>
    <w:p w14:paraId="01056FB5" w14:textId="77777777" w:rsidR="00057C4D" w:rsidRPr="00057C4D" w:rsidRDefault="00057C4D" w:rsidP="00057C4D">
      <w:pPr>
        <w:spacing w:after="120"/>
        <w:jc w:val="both"/>
        <w:rPr>
          <w:rFonts w:cs="Arial"/>
          <w:b/>
          <w:bCs/>
          <w:sz w:val="24"/>
          <w:szCs w:val="24"/>
          <w:lang w:val="en-GB"/>
        </w:rPr>
      </w:pPr>
      <w:r w:rsidRPr="00057C4D">
        <w:rPr>
          <w:rFonts w:cs="Arial"/>
          <w:b/>
          <w:bCs/>
          <w:sz w:val="24"/>
          <w:szCs w:val="24"/>
          <w:lang w:val="en-GB"/>
        </w:rPr>
        <w:lastRenderedPageBreak/>
        <w:t>Core Competencies</w:t>
      </w:r>
    </w:p>
    <w:p w14:paraId="489B1931" w14:textId="77777777" w:rsidR="00057C4D" w:rsidRPr="00057C4D" w:rsidRDefault="00057C4D" w:rsidP="00057C4D">
      <w:pPr>
        <w:spacing w:after="120"/>
        <w:jc w:val="both"/>
        <w:rPr>
          <w:rFonts w:cs="Arial"/>
          <w:sz w:val="24"/>
          <w:szCs w:val="24"/>
          <w:lang w:val="en-GB"/>
        </w:rPr>
      </w:pPr>
      <w:proofErr w:type="spellStart"/>
      <w:r w:rsidRPr="00057C4D">
        <w:rPr>
          <w:rFonts w:cs="Arial"/>
          <w:sz w:val="24"/>
          <w:szCs w:val="24"/>
          <w:lang w:val="en-GB"/>
        </w:rPr>
        <w:t>JurisCom’s</w:t>
      </w:r>
      <w:proofErr w:type="spellEnd"/>
      <w:r w:rsidRPr="00057C4D">
        <w:rPr>
          <w:rFonts w:cs="Arial"/>
          <w:sz w:val="24"/>
          <w:szCs w:val="24"/>
          <w:lang w:val="en-GB"/>
        </w:rPr>
        <w:t xml:space="preserve"> principal strengths are threefold. First, it translates complex multi-jurisdictional regulatory requirements into machine-readable and version-controlled configuration files. Second, it builds explainable alert engines in which every alert includes a rule reference and a human-readable rationale. Third, it allows compliance teams to update regulatory posture through configuration amendments rather than full software release cycles.</w:t>
      </w:r>
    </w:p>
    <w:p w14:paraId="01224D9D" w14:textId="77777777" w:rsidR="00057C4D" w:rsidRPr="00057C4D" w:rsidRDefault="00057C4D" w:rsidP="00057C4D">
      <w:pPr>
        <w:spacing w:after="120"/>
        <w:jc w:val="both"/>
        <w:rPr>
          <w:rFonts w:cs="Arial"/>
          <w:sz w:val="24"/>
          <w:szCs w:val="24"/>
          <w:lang w:val="en-GB"/>
        </w:rPr>
      </w:pPr>
      <w:r w:rsidRPr="00057C4D">
        <w:rPr>
          <w:rFonts w:cs="Arial"/>
          <w:sz w:val="24"/>
          <w:szCs w:val="24"/>
          <w:lang w:val="en-GB"/>
        </w:rPr>
        <w:t xml:space="preserve">These competencies are directly aligned with contemporary expectations for explainability, governance, and model-risk control in financial institutions. For example, the Monetary Authority of Singapore’s information paper on artificial intelligence model risk management emphasises governance, monitoring, and fit-for-purpose model use in financial institutions (Monetary Authority of Singapore [MAS], 2024). Similarly, the Office of the Comptroller of the Currency’s revised model risk management guidance highlights model development, use, validation, monitoring, governance, controls, and third-party considerations (Office of the Comptroller of the Currency [OCC], 2026). Although </w:t>
      </w:r>
      <w:proofErr w:type="spellStart"/>
      <w:r w:rsidRPr="00057C4D">
        <w:rPr>
          <w:rFonts w:cs="Arial"/>
          <w:sz w:val="24"/>
          <w:szCs w:val="24"/>
          <w:lang w:val="en-GB"/>
        </w:rPr>
        <w:t>JurisCom’s</w:t>
      </w:r>
      <w:proofErr w:type="spellEnd"/>
      <w:r w:rsidRPr="00057C4D">
        <w:rPr>
          <w:rFonts w:cs="Arial"/>
          <w:sz w:val="24"/>
          <w:szCs w:val="24"/>
          <w:lang w:val="en-GB"/>
        </w:rPr>
        <w:t xml:space="preserve"> core engine is rules-based rather than machine-learning driven, these regulatory expectations remain relevant because banks must understand, monitor, and evidence the operation of compliance technology.</w:t>
      </w:r>
    </w:p>
    <w:p w14:paraId="1C0832B0" w14:textId="77777777" w:rsidR="00057C4D" w:rsidRPr="00057C4D" w:rsidRDefault="00057C4D" w:rsidP="00057C4D">
      <w:pPr>
        <w:spacing w:after="120"/>
        <w:jc w:val="both"/>
        <w:rPr>
          <w:rFonts w:cs="Arial"/>
          <w:b/>
          <w:bCs/>
          <w:sz w:val="24"/>
          <w:szCs w:val="24"/>
          <w:lang w:val="en-GB"/>
        </w:rPr>
      </w:pPr>
      <w:r w:rsidRPr="00057C4D">
        <w:rPr>
          <w:rFonts w:cs="Arial"/>
          <w:b/>
          <w:bCs/>
          <w:sz w:val="24"/>
          <w:szCs w:val="24"/>
          <w:lang w:val="en-GB"/>
        </w:rPr>
        <w:t>Capability Limitations</w:t>
      </w:r>
    </w:p>
    <w:p w14:paraId="018D5BB1" w14:textId="77777777" w:rsidR="00057C4D" w:rsidRPr="00057C4D" w:rsidRDefault="00057C4D" w:rsidP="00057C4D">
      <w:pPr>
        <w:spacing w:after="120"/>
        <w:jc w:val="both"/>
        <w:rPr>
          <w:rFonts w:cs="Arial"/>
          <w:sz w:val="24"/>
          <w:szCs w:val="24"/>
          <w:lang w:val="en-GB"/>
        </w:rPr>
      </w:pPr>
      <w:proofErr w:type="spellStart"/>
      <w:r w:rsidRPr="00057C4D">
        <w:rPr>
          <w:rFonts w:cs="Arial"/>
          <w:sz w:val="24"/>
          <w:szCs w:val="24"/>
          <w:lang w:val="en-GB"/>
        </w:rPr>
        <w:t>JurisCom’s</w:t>
      </w:r>
      <w:proofErr w:type="spellEnd"/>
      <w:r w:rsidRPr="00057C4D">
        <w:rPr>
          <w:rFonts w:cs="Arial"/>
          <w:sz w:val="24"/>
          <w:szCs w:val="24"/>
          <w:lang w:val="en-GB"/>
        </w:rPr>
        <w:t xml:space="preserve"> limitations are equally important to the values audit. The company does not claim to provide production-grade machine-learning typology detection because it has not developed a labelled training dataset sufficient for such use. It also does not provide real-time payment blocking because its integration model is designed for batch or near-real-time monitoring rather than point-of-transaction interdiction. Further, the company’s jurisdictional coverage is initially limited to the United States and Singapore.</w:t>
      </w:r>
    </w:p>
    <w:p w14:paraId="2703346F" w14:textId="42D22C9C" w:rsidR="00057C4D" w:rsidRDefault="00057C4D" w:rsidP="00057C4D">
      <w:pPr>
        <w:spacing w:after="120"/>
        <w:jc w:val="both"/>
        <w:rPr>
          <w:rFonts w:cs="Arial"/>
          <w:sz w:val="24"/>
          <w:szCs w:val="24"/>
          <w:lang w:val="en-GB"/>
        </w:rPr>
      </w:pPr>
      <w:r w:rsidRPr="00057C4D">
        <w:rPr>
          <w:rFonts w:cs="Arial"/>
          <w:sz w:val="24"/>
          <w:szCs w:val="24"/>
          <w:lang w:val="en-GB"/>
        </w:rPr>
        <w:t>These limitations are not merely commercial constraints; they shape the company’s ethical and technical posture. A 12-person team cannot responsibly maintain accurate live configurations across dozens of jurisdictions. This constraint supports the company’s central architectural choice: configuration over hard-coded rules. It also explains why machine-learning tools, such as Isolation Forest and SHAP-based prioritisation, are framed as analyst-prioritisation aids rather than automated suspicious activity or suspicious transaction filing mechanisms.</w:t>
      </w:r>
    </w:p>
    <w:p w14:paraId="140629C7" w14:textId="77777777" w:rsidR="00057C4D" w:rsidRDefault="00057C4D">
      <w:pPr>
        <w:rPr>
          <w:rFonts w:cs="Arial"/>
          <w:sz w:val="24"/>
          <w:szCs w:val="24"/>
          <w:lang w:val="en-GB"/>
        </w:rPr>
      </w:pPr>
      <w:r>
        <w:rPr>
          <w:rFonts w:cs="Arial"/>
          <w:sz w:val="24"/>
          <w:szCs w:val="24"/>
          <w:lang w:val="en-GB"/>
        </w:rPr>
        <w:br w:type="page"/>
      </w:r>
    </w:p>
    <w:p w14:paraId="65A18BB3" w14:textId="77777777" w:rsidR="00057C4D" w:rsidRPr="00057C4D" w:rsidRDefault="00057C4D" w:rsidP="00057C4D">
      <w:pPr>
        <w:spacing w:after="120"/>
        <w:jc w:val="both"/>
        <w:rPr>
          <w:rFonts w:cs="Arial"/>
          <w:b/>
          <w:bCs/>
          <w:sz w:val="24"/>
          <w:szCs w:val="24"/>
          <w:lang w:val="en-GB"/>
        </w:rPr>
      </w:pPr>
      <w:r w:rsidRPr="00057C4D">
        <w:rPr>
          <w:rFonts w:cs="Arial"/>
          <w:b/>
          <w:bCs/>
          <w:sz w:val="24"/>
          <w:szCs w:val="24"/>
          <w:lang w:val="en-GB"/>
        </w:rPr>
        <w:lastRenderedPageBreak/>
        <w:t>Commercial Model and Growth Aspirations</w:t>
      </w:r>
    </w:p>
    <w:p w14:paraId="017930E4" w14:textId="77777777" w:rsidR="00057C4D" w:rsidRPr="00057C4D" w:rsidRDefault="00057C4D" w:rsidP="00057C4D">
      <w:pPr>
        <w:spacing w:after="120"/>
        <w:jc w:val="both"/>
        <w:rPr>
          <w:rFonts w:cs="Arial"/>
          <w:sz w:val="24"/>
          <w:szCs w:val="24"/>
          <w:lang w:val="en-GB"/>
        </w:rPr>
      </w:pPr>
      <w:proofErr w:type="spellStart"/>
      <w:r w:rsidRPr="00057C4D">
        <w:rPr>
          <w:rFonts w:cs="Arial"/>
          <w:sz w:val="24"/>
          <w:szCs w:val="24"/>
          <w:lang w:val="en-GB"/>
        </w:rPr>
        <w:t>JurisCom’s</w:t>
      </w:r>
      <w:proofErr w:type="spellEnd"/>
      <w:r w:rsidRPr="00057C4D">
        <w:rPr>
          <w:rFonts w:cs="Arial"/>
          <w:sz w:val="24"/>
          <w:szCs w:val="24"/>
          <w:lang w:val="en-GB"/>
        </w:rPr>
        <w:t xml:space="preserve"> revenue model is based on an annual software-as-a-service licence, priced by booking entity and jurisdiction configuration. The company targets annual recurring revenue of USD 3 million by the end of Year 2 and USD 12 million by Year 4. Its primary cost drivers are regulatory research and engineering headcount. Once the company reaches more than 10 clients, it targets gross margins of approximately 70%, on the assumption that configuration maintenance costs do not scale linearly with the number of clients.</w:t>
      </w:r>
    </w:p>
    <w:p w14:paraId="21554CA8" w14:textId="77777777" w:rsidR="00057C4D" w:rsidRPr="00057C4D" w:rsidRDefault="00057C4D" w:rsidP="00057C4D">
      <w:pPr>
        <w:spacing w:after="120"/>
        <w:jc w:val="both"/>
        <w:rPr>
          <w:rFonts w:cs="Arial"/>
          <w:sz w:val="24"/>
          <w:szCs w:val="24"/>
          <w:lang w:val="en-GB"/>
        </w:rPr>
      </w:pPr>
      <w:r w:rsidRPr="00057C4D">
        <w:rPr>
          <w:rFonts w:cs="Arial"/>
          <w:sz w:val="24"/>
          <w:szCs w:val="24"/>
          <w:lang w:val="en-GB"/>
        </w:rPr>
        <w:t>The company’s initial markets are the United States and Singapore. These launch markets align with the needs of globally booked banks that conduct activities such as correspondent banking, trade finance, foreign exchange, private banking, and cross-border customer due diligence. In Year 2, the company plans to expand into Hong Kong and the United Kingdom. By Year 4, it aims to add the United Arab Emirates and Australia. The company deliberately does not target the European Union at launch because the interaction among the Sixth Anti-Money Laundering Directive, the forthcoming Anti-Money Laundering Authority, and member-state implementation requirements would require deeper legal research investment than the current team can support.</w:t>
      </w:r>
    </w:p>
    <w:p w14:paraId="3874823E" w14:textId="4B7D673F" w:rsidR="00057C4D" w:rsidRDefault="00057C4D">
      <w:pPr>
        <w:rPr>
          <w:rFonts w:cs="Arial"/>
          <w:sz w:val="24"/>
          <w:szCs w:val="24"/>
          <w:lang w:val="en-GB"/>
        </w:rPr>
      </w:pPr>
      <w:r>
        <w:rPr>
          <w:rFonts w:cs="Arial"/>
          <w:sz w:val="24"/>
          <w:szCs w:val="24"/>
          <w:lang w:val="en-GB"/>
        </w:rPr>
        <w:br w:type="page"/>
      </w:r>
    </w:p>
    <w:p w14:paraId="68B5604F" w14:textId="77777777" w:rsidR="00B90651" w:rsidRPr="00624744" w:rsidRDefault="00000000" w:rsidP="00624744">
      <w:pPr>
        <w:pStyle w:val="Heading1"/>
        <w:spacing w:after="120"/>
        <w:jc w:val="both"/>
        <w:rPr>
          <w:rFonts w:ascii="Arial" w:hAnsi="Arial" w:cs="Arial"/>
          <w:color w:val="auto"/>
          <w:sz w:val="24"/>
          <w:szCs w:val="24"/>
        </w:rPr>
      </w:pPr>
      <w:r w:rsidRPr="00624744">
        <w:rPr>
          <w:rFonts w:ascii="Arial" w:hAnsi="Arial" w:cs="Arial"/>
          <w:color w:val="auto"/>
          <w:sz w:val="24"/>
          <w:szCs w:val="24"/>
        </w:rPr>
        <w:lastRenderedPageBreak/>
        <w:t>Question 2: Whose perspective does your tool serve? The paying client (CCO), the regulator, the consumer, or some concept of national/public good? Are there tensions or conflicts already between the perspectives of these different stakeholders based on your research?</w:t>
      </w:r>
    </w:p>
    <w:p w14:paraId="113CA419" w14:textId="77777777" w:rsidR="00B90651" w:rsidRPr="00624744" w:rsidRDefault="00000000" w:rsidP="00624744">
      <w:pPr>
        <w:pStyle w:val="Heading2"/>
        <w:spacing w:after="120"/>
        <w:jc w:val="both"/>
        <w:rPr>
          <w:rFonts w:ascii="Arial" w:hAnsi="Arial" w:cs="Arial"/>
          <w:color w:val="auto"/>
          <w:sz w:val="24"/>
          <w:szCs w:val="24"/>
        </w:rPr>
      </w:pPr>
      <w:r w:rsidRPr="00624744">
        <w:rPr>
          <w:rFonts w:ascii="Arial" w:hAnsi="Arial" w:cs="Arial"/>
          <w:color w:val="auto"/>
          <w:sz w:val="24"/>
          <w:szCs w:val="24"/>
        </w:rPr>
        <w:t>Primary stakeholder: the paying client (CCO / Chief Compliance Officer)</w:t>
      </w:r>
    </w:p>
    <w:p w14:paraId="3EE1089C" w14:textId="77777777" w:rsidR="006A685C" w:rsidRPr="006A685C" w:rsidRDefault="006A685C" w:rsidP="006A685C">
      <w:pPr>
        <w:spacing w:after="120"/>
        <w:jc w:val="both"/>
        <w:rPr>
          <w:rFonts w:cs="Arial"/>
          <w:sz w:val="24"/>
          <w:szCs w:val="24"/>
        </w:rPr>
      </w:pPr>
      <w:proofErr w:type="spellStart"/>
      <w:r w:rsidRPr="006A685C">
        <w:rPr>
          <w:rFonts w:cs="Arial"/>
          <w:sz w:val="24"/>
          <w:szCs w:val="24"/>
        </w:rPr>
        <w:t>JurisCom</w:t>
      </w:r>
      <w:proofErr w:type="spellEnd"/>
      <w:r w:rsidRPr="006A685C">
        <w:rPr>
          <w:rFonts w:cs="Arial"/>
          <w:sz w:val="24"/>
          <w:szCs w:val="24"/>
        </w:rPr>
        <w:t xml:space="preserve"> primarily serves the bank’s compliance function, especially the chief compliance officer and the anti-money laundering team. The paying client is the financial institution, but the functional user is the compliance professional responsible for interpreting regulatory obligations, maintaining current controls, and producing audit-ready evidence.</w:t>
      </w:r>
    </w:p>
    <w:p w14:paraId="5A14183F" w14:textId="77777777" w:rsidR="006A685C" w:rsidRPr="006A685C" w:rsidRDefault="006A685C" w:rsidP="006A685C">
      <w:pPr>
        <w:spacing w:after="120"/>
        <w:jc w:val="both"/>
        <w:rPr>
          <w:rFonts w:cs="Arial"/>
          <w:sz w:val="24"/>
          <w:szCs w:val="24"/>
        </w:rPr>
      </w:pPr>
      <w:r w:rsidRPr="006A685C">
        <w:rPr>
          <w:rFonts w:cs="Arial"/>
          <w:sz w:val="24"/>
          <w:szCs w:val="24"/>
        </w:rPr>
        <w:t>The chief compliance officer is prioritised as the primary stakeholder for three reasons. First, global and regional banks maintain dedicated compliance technology budgets, making the chief compliance officer a commercially viable buyer. Second, the compliance officer’s incentive structure is aligned with genuine risk reduction because regulatory failures may lead to institutional penalties and, in some cases, individual accountability. Third, business-to-business software sales into compliance functions are generally more feasible for a startup than selling directly to regulators through public-sector procurement channels.</w:t>
      </w:r>
    </w:p>
    <w:p w14:paraId="1C072E0A" w14:textId="085C531F" w:rsidR="00B90651" w:rsidRPr="00624744" w:rsidRDefault="00000000" w:rsidP="00624744">
      <w:pPr>
        <w:pStyle w:val="Heading2"/>
        <w:spacing w:after="120"/>
        <w:jc w:val="both"/>
        <w:rPr>
          <w:rFonts w:ascii="Arial" w:hAnsi="Arial" w:cs="Arial"/>
          <w:color w:val="auto"/>
          <w:sz w:val="24"/>
          <w:szCs w:val="24"/>
        </w:rPr>
      </w:pPr>
      <w:r w:rsidRPr="00624744">
        <w:rPr>
          <w:rFonts w:ascii="Arial" w:hAnsi="Arial" w:cs="Arial"/>
          <w:color w:val="auto"/>
          <w:sz w:val="24"/>
          <w:szCs w:val="24"/>
        </w:rPr>
        <w:t xml:space="preserve">Secondary stakeholder: </w:t>
      </w:r>
      <w:r w:rsidR="006A685C">
        <w:rPr>
          <w:rFonts w:ascii="Arial" w:hAnsi="Arial" w:cs="Arial"/>
          <w:color w:val="auto"/>
          <w:sz w:val="24"/>
          <w:szCs w:val="24"/>
        </w:rPr>
        <w:t>Regulator</w:t>
      </w:r>
    </w:p>
    <w:p w14:paraId="7AEB4655" w14:textId="77777777" w:rsidR="006A685C" w:rsidRPr="006A685C" w:rsidRDefault="006A685C" w:rsidP="006A685C">
      <w:pPr>
        <w:spacing w:after="120"/>
        <w:jc w:val="both"/>
        <w:rPr>
          <w:rFonts w:cs="Arial"/>
          <w:sz w:val="24"/>
          <w:szCs w:val="24"/>
        </w:rPr>
      </w:pPr>
      <w:r w:rsidRPr="006A685C">
        <w:rPr>
          <w:rFonts w:cs="Arial"/>
          <w:sz w:val="24"/>
          <w:szCs w:val="24"/>
        </w:rPr>
        <w:t xml:space="preserve">Although </w:t>
      </w:r>
      <w:proofErr w:type="spellStart"/>
      <w:r w:rsidRPr="006A685C">
        <w:rPr>
          <w:rFonts w:cs="Arial"/>
          <w:sz w:val="24"/>
          <w:szCs w:val="24"/>
        </w:rPr>
        <w:t>JurisCom</w:t>
      </w:r>
      <w:proofErr w:type="spellEnd"/>
      <w:r w:rsidRPr="006A685C">
        <w:rPr>
          <w:rFonts w:cs="Arial"/>
          <w:sz w:val="24"/>
          <w:szCs w:val="24"/>
        </w:rPr>
        <w:t xml:space="preserve"> does not sell directly to regulators, regulators are an important secondary stakeholder. The tool is designed so that each alert log includes the relevant rule reference, transaction details, alert classification, and action taken. This design enables a bank to present a machine-generated audit trail during regulatory examination.</w:t>
      </w:r>
    </w:p>
    <w:p w14:paraId="2EF616DA" w14:textId="77777777" w:rsidR="006A685C" w:rsidRDefault="006A685C" w:rsidP="006A685C">
      <w:pPr>
        <w:spacing w:after="120"/>
        <w:jc w:val="both"/>
        <w:rPr>
          <w:rFonts w:cs="Arial"/>
          <w:sz w:val="24"/>
          <w:szCs w:val="24"/>
        </w:rPr>
      </w:pPr>
      <w:r w:rsidRPr="006A685C">
        <w:rPr>
          <w:rFonts w:cs="Arial"/>
          <w:sz w:val="24"/>
          <w:szCs w:val="24"/>
        </w:rPr>
        <w:t xml:space="preserve">Regulatory acceptance of </w:t>
      </w:r>
      <w:proofErr w:type="spellStart"/>
      <w:r w:rsidRPr="006A685C">
        <w:rPr>
          <w:rFonts w:cs="Arial"/>
          <w:sz w:val="24"/>
          <w:szCs w:val="24"/>
        </w:rPr>
        <w:t>JurisCom’s</w:t>
      </w:r>
      <w:proofErr w:type="spellEnd"/>
      <w:r w:rsidRPr="006A685C">
        <w:rPr>
          <w:rFonts w:cs="Arial"/>
          <w:sz w:val="24"/>
          <w:szCs w:val="24"/>
        </w:rPr>
        <w:t xml:space="preserve"> output format is therefore a strategic business objective. If regulators view the alert logs as reliable compliance evidence, the tool becomes more valuable to banks and creates switching costs. However, this also means that </w:t>
      </w:r>
      <w:proofErr w:type="spellStart"/>
      <w:r w:rsidRPr="006A685C">
        <w:rPr>
          <w:rFonts w:cs="Arial"/>
          <w:sz w:val="24"/>
          <w:szCs w:val="24"/>
        </w:rPr>
        <w:t>JurisCom</w:t>
      </w:r>
      <w:proofErr w:type="spellEnd"/>
      <w:r w:rsidRPr="006A685C">
        <w:rPr>
          <w:rFonts w:cs="Arial"/>
          <w:sz w:val="24"/>
          <w:szCs w:val="24"/>
        </w:rPr>
        <w:t xml:space="preserve"> must avoid designing the tool merely to document compliance after the fact. The tool’s credibility depends on whether it supports substantive risk detection and not merely examination defensibility.</w:t>
      </w:r>
    </w:p>
    <w:p w14:paraId="0865E709" w14:textId="77777777" w:rsidR="006A685C" w:rsidRPr="006A685C" w:rsidRDefault="006A685C" w:rsidP="006A685C">
      <w:pPr>
        <w:spacing w:after="120"/>
        <w:jc w:val="both"/>
        <w:rPr>
          <w:rFonts w:cs="Arial"/>
          <w:b/>
          <w:bCs/>
          <w:sz w:val="24"/>
          <w:szCs w:val="24"/>
          <w:lang w:val="en-GB"/>
        </w:rPr>
      </w:pPr>
      <w:r w:rsidRPr="006A685C">
        <w:rPr>
          <w:rFonts w:cs="Arial"/>
          <w:b/>
          <w:bCs/>
          <w:sz w:val="24"/>
          <w:szCs w:val="24"/>
          <w:lang w:val="en-GB"/>
        </w:rPr>
        <w:t>Consumer and Public-Interest Stakeholders</w:t>
      </w:r>
    </w:p>
    <w:p w14:paraId="485D02FC" w14:textId="77777777" w:rsidR="006A685C" w:rsidRPr="006A685C" w:rsidRDefault="006A685C" w:rsidP="006A685C">
      <w:pPr>
        <w:spacing w:after="120"/>
        <w:jc w:val="both"/>
        <w:rPr>
          <w:rFonts w:cs="Arial"/>
          <w:sz w:val="24"/>
          <w:szCs w:val="24"/>
          <w:lang w:val="en-GB"/>
        </w:rPr>
      </w:pPr>
      <w:r w:rsidRPr="006A685C">
        <w:rPr>
          <w:rFonts w:cs="Arial"/>
          <w:sz w:val="24"/>
          <w:szCs w:val="24"/>
          <w:lang w:val="en-GB"/>
        </w:rPr>
        <w:t>Consumers and the wider public are indirect but important stakeholders. Anti-money laundering tools process sensitive financial information and may result in suspicious activity reports, suspicious transaction reports, account restrictions, or enhanced monitoring. Customers may not be informed that they have been reported because tipping-off prohibitions restrict disclosure. This creates an information asymmetry in which the bank and authorities possess information that the customer cannot access.</w:t>
      </w:r>
    </w:p>
    <w:p w14:paraId="334858A9" w14:textId="77777777" w:rsidR="006A685C" w:rsidRPr="006A685C" w:rsidRDefault="006A685C" w:rsidP="006A685C">
      <w:pPr>
        <w:spacing w:after="120"/>
        <w:jc w:val="both"/>
        <w:rPr>
          <w:rFonts w:cs="Arial"/>
          <w:sz w:val="24"/>
          <w:szCs w:val="24"/>
          <w:lang w:val="en-GB"/>
        </w:rPr>
      </w:pPr>
      <w:r w:rsidRPr="006A685C">
        <w:rPr>
          <w:rFonts w:cs="Arial"/>
          <w:sz w:val="24"/>
          <w:szCs w:val="24"/>
          <w:lang w:val="en-GB"/>
        </w:rPr>
        <w:t>The public-interest rationale for anti-money laundering controls is the prevention and detection of financial crime, corruption, sanctions evasion, terrorist financing, and related harms. However, public-interest objectives must be balanced against privacy, proportionality, discrimination risk, and procedural fairness.</w:t>
      </w:r>
    </w:p>
    <w:p w14:paraId="77B9A253" w14:textId="6939753F" w:rsidR="006A685C" w:rsidRPr="00ED5A89" w:rsidRDefault="006A685C" w:rsidP="00ED5A89">
      <w:pPr>
        <w:pStyle w:val="Heading2"/>
        <w:spacing w:after="120"/>
        <w:jc w:val="both"/>
        <w:rPr>
          <w:rFonts w:ascii="Arial" w:hAnsi="Arial" w:cs="Arial"/>
          <w:color w:val="auto"/>
          <w:sz w:val="24"/>
          <w:szCs w:val="24"/>
        </w:rPr>
      </w:pPr>
      <w:r w:rsidRPr="00ED5A89">
        <w:rPr>
          <w:rFonts w:ascii="Arial" w:hAnsi="Arial" w:cs="Arial"/>
          <w:color w:val="auto"/>
          <w:sz w:val="24"/>
          <w:szCs w:val="24"/>
        </w:rPr>
        <w:lastRenderedPageBreak/>
        <w:t>Stakeholder tensions</w:t>
      </w:r>
    </w:p>
    <w:p w14:paraId="3792E628" w14:textId="77777777" w:rsidR="006A685C" w:rsidRPr="006A685C" w:rsidRDefault="006A685C" w:rsidP="00ED5A89">
      <w:pPr>
        <w:jc w:val="both"/>
        <w:rPr>
          <w:rFonts w:cs="Arial"/>
          <w:b/>
          <w:bCs/>
          <w:sz w:val="24"/>
          <w:szCs w:val="24"/>
          <w:lang w:val="en-GB"/>
        </w:rPr>
      </w:pPr>
      <w:r w:rsidRPr="006A685C">
        <w:rPr>
          <w:rFonts w:cs="Arial"/>
          <w:b/>
          <w:bCs/>
          <w:sz w:val="24"/>
          <w:szCs w:val="24"/>
          <w:lang w:val="en-GB"/>
        </w:rPr>
        <w:t>False Positives Versus Regulatory Coverage</w:t>
      </w:r>
    </w:p>
    <w:p w14:paraId="199460C1" w14:textId="77777777" w:rsidR="006A685C" w:rsidRPr="006A685C" w:rsidRDefault="006A685C" w:rsidP="00ED5A89">
      <w:pPr>
        <w:spacing w:after="120"/>
        <w:jc w:val="both"/>
        <w:rPr>
          <w:rFonts w:cs="Arial"/>
          <w:sz w:val="24"/>
          <w:szCs w:val="24"/>
          <w:lang w:val="en-GB"/>
        </w:rPr>
      </w:pPr>
      <w:r w:rsidRPr="006A685C">
        <w:rPr>
          <w:rFonts w:cs="Arial"/>
          <w:sz w:val="24"/>
          <w:szCs w:val="24"/>
          <w:lang w:val="en-GB"/>
        </w:rPr>
        <w:t>The most significant tension in anti-money laundering tooling is the conflict between reducing false positives and maintaining comprehensive risk coverage. Banks seek to reduce operational burden because high false-positive rates consume analyst capacity and may produce alert fatigue. Regulators, by contrast, are primarily concerned with missed suspicious activity, inadequate escalation, and under-reporting.</w:t>
      </w:r>
    </w:p>
    <w:p w14:paraId="6C5085E1" w14:textId="77777777" w:rsidR="006A685C" w:rsidRPr="006A685C" w:rsidRDefault="006A685C" w:rsidP="00ED5A89">
      <w:pPr>
        <w:spacing w:after="120"/>
        <w:jc w:val="both"/>
        <w:rPr>
          <w:rFonts w:cs="Arial"/>
          <w:sz w:val="24"/>
          <w:szCs w:val="24"/>
          <w:lang w:val="en-GB"/>
        </w:rPr>
      </w:pPr>
      <w:proofErr w:type="spellStart"/>
      <w:r w:rsidRPr="006A685C">
        <w:rPr>
          <w:rFonts w:cs="Arial"/>
          <w:sz w:val="24"/>
          <w:szCs w:val="24"/>
          <w:lang w:val="en-GB"/>
        </w:rPr>
        <w:t>JurisCom</w:t>
      </w:r>
      <w:proofErr w:type="spellEnd"/>
      <w:r w:rsidRPr="006A685C">
        <w:rPr>
          <w:rFonts w:cs="Arial"/>
          <w:sz w:val="24"/>
          <w:szCs w:val="24"/>
          <w:lang w:val="en-GB"/>
        </w:rPr>
        <w:t xml:space="preserve"> addresses this tension by avoiding silent suppression of alerts. Thresholds and rule parameters are exposed through documented configurations. If a client changes a threshold or suppresses a category of alerts, the change is documented and owned by the client. This design promotes accountability, although it does not eliminate the possibility that a bank may tune the system too aggressively.</w:t>
      </w:r>
    </w:p>
    <w:p w14:paraId="17FA5B6D" w14:textId="77777777" w:rsidR="006A685C" w:rsidRPr="006A685C" w:rsidRDefault="006A685C" w:rsidP="00ED5A89">
      <w:pPr>
        <w:jc w:val="both"/>
        <w:rPr>
          <w:rFonts w:cs="Arial"/>
          <w:b/>
          <w:bCs/>
          <w:sz w:val="24"/>
          <w:szCs w:val="24"/>
          <w:lang w:val="en-GB"/>
        </w:rPr>
      </w:pPr>
      <w:r w:rsidRPr="006A685C">
        <w:rPr>
          <w:rFonts w:cs="Arial"/>
          <w:b/>
          <w:bCs/>
          <w:sz w:val="24"/>
          <w:szCs w:val="24"/>
          <w:lang w:val="en-GB"/>
        </w:rPr>
        <w:t>Consumer Privacy Versus Reporting Obligations</w:t>
      </w:r>
    </w:p>
    <w:p w14:paraId="54222682" w14:textId="77777777" w:rsidR="006A685C" w:rsidRPr="006A685C" w:rsidRDefault="006A685C" w:rsidP="00ED5A89">
      <w:pPr>
        <w:jc w:val="both"/>
        <w:rPr>
          <w:rFonts w:cs="Arial"/>
          <w:sz w:val="24"/>
          <w:szCs w:val="24"/>
          <w:lang w:val="en-GB"/>
        </w:rPr>
      </w:pPr>
      <w:r w:rsidRPr="006A685C">
        <w:rPr>
          <w:rFonts w:cs="Arial"/>
          <w:sz w:val="24"/>
          <w:szCs w:val="24"/>
          <w:lang w:val="en-GB"/>
        </w:rPr>
        <w:t>Suspicious activity and suspicious transaction reports involve the disclosure of customer financial information to authorities. In many circumstances, the customer is not informed. This creates a privacy and fairness concern, particularly where alerts are generated from broad risk indicators such as country exposure or unusual transaction descriptions.</w:t>
      </w:r>
    </w:p>
    <w:p w14:paraId="653267D7" w14:textId="77777777" w:rsidR="006A685C" w:rsidRPr="006A685C" w:rsidRDefault="006A685C" w:rsidP="00ED5A89">
      <w:pPr>
        <w:jc w:val="both"/>
        <w:rPr>
          <w:rFonts w:cs="Arial"/>
          <w:sz w:val="24"/>
          <w:szCs w:val="24"/>
          <w:lang w:val="en-GB"/>
        </w:rPr>
      </w:pPr>
      <w:proofErr w:type="spellStart"/>
      <w:r w:rsidRPr="006A685C">
        <w:rPr>
          <w:rFonts w:cs="Arial"/>
          <w:sz w:val="24"/>
          <w:szCs w:val="24"/>
          <w:lang w:val="en-GB"/>
        </w:rPr>
        <w:t>JurisCom’s</w:t>
      </w:r>
      <w:proofErr w:type="spellEnd"/>
      <w:r w:rsidRPr="006A685C">
        <w:rPr>
          <w:rFonts w:cs="Arial"/>
          <w:sz w:val="24"/>
          <w:szCs w:val="24"/>
          <w:lang w:val="en-GB"/>
        </w:rPr>
        <w:t xml:space="preserve"> design position is that the tool should not expand surveillance beyond legally relevant risk indicators. It does not recommend the use of demographic or behavioural variables that are not required for compliance and that may increase discrimination risk. This restraint is important because adding more variables may improve detection performance while simultaneously increasing privacy and fairness concerns.</w:t>
      </w:r>
    </w:p>
    <w:p w14:paraId="322F397F" w14:textId="77777777" w:rsidR="006A685C" w:rsidRPr="006A685C" w:rsidRDefault="006A685C" w:rsidP="00ED5A89">
      <w:pPr>
        <w:jc w:val="both"/>
        <w:rPr>
          <w:rFonts w:cs="Arial"/>
          <w:b/>
          <w:bCs/>
          <w:sz w:val="24"/>
          <w:szCs w:val="24"/>
          <w:lang w:val="en-GB"/>
        </w:rPr>
      </w:pPr>
      <w:r w:rsidRPr="006A685C">
        <w:rPr>
          <w:rFonts w:cs="Arial"/>
          <w:b/>
          <w:bCs/>
          <w:sz w:val="24"/>
          <w:szCs w:val="24"/>
          <w:lang w:val="en-GB"/>
        </w:rPr>
        <w:t>Client Reputational Risk Versus Compliance Accuracy</w:t>
      </w:r>
    </w:p>
    <w:p w14:paraId="7A89DB2E" w14:textId="77777777" w:rsidR="006A685C" w:rsidRPr="006A685C" w:rsidRDefault="006A685C" w:rsidP="00ED5A89">
      <w:pPr>
        <w:jc w:val="both"/>
        <w:rPr>
          <w:rFonts w:cs="Arial"/>
          <w:sz w:val="24"/>
          <w:szCs w:val="24"/>
          <w:lang w:val="en-GB"/>
        </w:rPr>
      </w:pPr>
      <w:r w:rsidRPr="006A685C">
        <w:rPr>
          <w:rFonts w:cs="Arial"/>
          <w:sz w:val="24"/>
          <w:szCs w:val="24"/>
          <w:lang w:val="en-GB"/>
        </w:rPr>
        <w:t xml:space="preserve">Banks may face internal pressure to avoid filing reports or blocking transactions involving high-value clients. Standard </w:t>
      </w:r>
      <w:proofErr w:type="spellStart"/>
      <w:r w:rsidRPr="006A685C">
        <w:rPr>
          <w:rFonts w:cs="Arial"/>
          <w:sz w:val="24"/>
          <w:szCs w:val="24"/>
          <w:lang w:val="en-GB"/>
        </w:rPr>
        <w:t>Chartered’s</w:t>
      </w:r>
      <w:proofErr w:type="spellEnd"/>
      <w:r w:rsidRPr="006A685C">
        <w:rPr>
          <w:rFonts w:cs="Arial"/>
          <w:sz w:val="24"/>
          <w:szCs w:val="24"/>
          <w:lang w:val="en-GB"/>
        </w:rPr>
        <w:t xml:space="preserve"> historical enforcement record illustrates the serious consequences of inadequate sanctions and anti-money laundering controls, including substantial penalties arising from sanctions violations and control failures (New York State Department of Financial Services [NYDFS], 2012; U.S. Department of Justice [DOJ], 2019).</w:t>
      </w:r>
    </w:p>
    <w:p w14:paraId="73805051" w14:textId="1C3958C3" w:rsidR="00ED5A89" w:rsidRPr="00ED5A89" w:rsidRDefault="006A685C" w:rsidP="00ED5A89">
      <w:pPr>
        <w:jc w:val="both"/>
        <w:rPr>
          <w:rFonts w:cs="Arial"/>
          <w:sz w:val="24"/>
          <w:szCs w:val="24"/>
          <w:lang w:val="en-GB"/>
        </w:rPr>
      </w:pPr>
      <w:proofErr w:type="spellStart"/>
      <w:r w:rsidRPr="00ED5A89">
        <w:rPr>
          <w:rFonts w:cs="Arial"/>
          <w:sz w:val="24"/>
          <w:szCs w:val="24"/>
          <w:lang w:val="en-GB"/>
        </w:rPr>
        <w:t>JurisCom’s</w:t>
      </w:r>
      <w:proofErr w:type="spellEnd"/>
      <w:r w:rsidRPr="00ED5A89">
        <w:rPr>
          <w:rFonts w:cs="Arial"/>
          <w:sz w:val="24"/>
          <w:szCs w:val="24"/>
          <w:lang w:val="en-GB"/>
        </w:rPr>
        <w:t xml:space="preserve"> design reduces discretionary suppression for statutory threshold-based alerts. For example, a transaction that exceeds a mandatory reporting threshold is treated deterministically. For risk-based suspicious activity or suspicious transaction alerts, the system records the alert rationale and requires human sign-off for filing or non-filing decisions. This design preserves professional judgement while creating an accountability trail.</w:t>
      </w:r>
    </w:p>
    <w:p w14:paraId="5F0F0236" w14:textId="77777777" w:rsidR="00ED5A89" w:rsidRDefault="00ED5A89">
      <w:pPr>
        <w:rPr>
          <w:lang w:val="en-GB"/>
        </w:rPr>
      </w:pPr>
      <w:r>
        <w:rPr>
          <w:lang w:val="en-GB"/>
        </w:rPr>
        <w:br w:type="page"/>
      </w:r>
    </w:p>
    <w:p w14:paraId="3CB9CA6D" w14:textId="77777777" w:rsidR="00ED5A89" w:rsidRPr="00ED5A89" w:rsidRDefault="00ED5A89" w:rsidP="00ED5A89">
      <w:pPr>
        <w:jc w:val="both"/>
        <w:rPr>
          <w:b/>
          <w:bCs/>
          <w:sz w:val="24"/>
          <w:szCs w:val="24"/>
          <w:lang w:val="en-GB"/>
        </w:rPr>
      </w:pPr>
      <w:r w:rsidRPr="00ED5A89">
        <w:rPr>
          <w:b/>
          <w:bCs/>
          <w:sz w:val="24"/>
          <w:szCs w:val="24"/>
          <w:lang w:val="en-GB"/>
        </w:rPr>
        <w:lastRenderedPageBreak/>
        <w:t>Market Positioning and Competitive Landscape</w:t>
      </w:r>
    </w:p>
    <w:p w14:paraId="3E979D93" w14:textId="77777777" w:rsidR="00ED5A89" w:rsidRPr="00ED5A89" w:rsidRDefault="00ED5A89" w:rsidP="00ED5A89">
      <w:pPr>
        <w:jc w:val="both"/>
        <w:rPr>
          <w:b/>
          <w:bCs/>
          <w:sz w:val="24"/>
          <w:szCs w:val="24"/>
          <w:lang w:val="en-GB"/>
        </w:rPr>
      </w:pPr>
      <w:r w:rsidRPr="00ED5A89">
        <w:rPr>
          <w:b/>
          <w:bCs/>
          <w:sz w:val="24"/>
          <w:szCs w:val="24"/>
          <w:lang w:val="en-GB"/>
        </w:rPr>
        <w:t>Addressable Market</w:t>
      </w:r>
    </w:p>
    <w:p w14:paraId="5984F268" w14:textId="77777777" w:rsidR="00ED5A89" w:rsidRPr="00ED5A89" w:rsidRDefault="00ED5A89" w:rsidP="00ED5A89">
      <w:pPr>
        <w:jc w:val="both"/>
        <w:rPr>
          <w:sz w:val="24"/>
          <w:szCs w:val="24"/>
          <w:lang w:val="en-GB"/>
        </w:rPr>
      </w:pPr>
      <w:proofErr w:type="spellStart"/>
      <w:r w:rsidRPr="00ED5A89">
        <w:rPr>
          <w:sz w:val="24"/>
          <w:szCs w:val="24"/>
          <w:lang w:val="en-GB"/>
        </w:rPr>
        <w:t>JurisCom’s</w:t>
      </w:r>
      <w:proofErr w:type="spellEnd"/>
      <w:r w:rsidRPr="00ED5A89">
        <w:rPr>
          <w:sz w:val="24"/>
          <w:szCs w:val="24"/>
          <w:lang w:val="en-GB"/>
        </w:rPr>
        <w:t xml:space="preserve"> target market consists of global banks with meaningful United States and Singapore operations. This is a niche but defensible market. The Federal Reserve publishes structure and share data for United States offices of foreign banks, while MAS’s financial institutions directory identifies the number and categories of licensed banks in Singapore (Board of Governors of the Federal Reserve System, 2026; MAS, n.d.). Cross-referencing such sources allows a bottom-up estimate of institutions that may require dual-jurisdiction compliance configuration.</w:t>
      </w:r>
    </w:p>
    <w:p w14:paraId="5C547019" w14:textId="77777777" w:rsidR="00ED5A89" w:rsidRPr="00ED5A89" w:rsidRDefault="00ED5A89" w:rsidP="00ED5A89">
      <w:pPr>
        <w:jc w:val="both"/>
        <w:rPr>
          <w:sz w:val="24"/>
          <w:szCs w:val="24"/>
          <w:lang w:val="en-GB"/>
        </w:rPr>
      </w:pPr>
      <w:r w:rsidRPr="00ED5A89">
        <w:rPr>
          <w:sz w:val="24"/>
          <w:szCs w:val="24"/>
          <w:lang w:val="en-GB"/>
        </w:rPr>
        <w:t>The company estimates a total addressable market of approximately USD 10 million to USD 60 million, assuming around 200 relevant banking groups and annual contract values ranging from USD 50,000 to USD 300,000. The estimate is sensitive to both institution count and pricing assumptions. Applying a sensitivity band of ±25% to those inputs produces a broader defensible range of approximately USD 6 million to USD 94 million.</w:t>
      </w:r>
    </w:p>
    <w:p w14:paraId="2E5D53A3" w14:textId="77777777" w:rsidR="00ED5A89" w:rsidRPr="00ED5A89" w:rsidRDefault="00ED5A89" w:rsidP="00ED5A89">
      <w:pPr>
        <w:jc w:val="both"/>
        <w:rPr>
          <w:b/>
          <w:bCs/>
          <w:sz w:val="24"/>
          <w:szCs w:val="24"/>
          <w:lang w:val="en-GB"/>
        </w:rPr>
      </w:pPr>
      <w:r w:rsidRPr="00ED5A89">
        <w:rPr>
          <w:b/>
          <w:bCs/>
          <w:sz w:val="24"/>
          <w:szCs w:val="24"/>
          <w:lang w:val="en-GB"/>
        </w:rPr>
        <w:t>Incumbent Providers</w:t>
      </w:r>
    </w:p>
    <w:p w14:paraId="71A89239" w14:textId="77777777" w:rsidR="002A5BB2" w:rsidRDefault="00ED5A89" w:rsidP="00ED5A89">
      <w:pPr>
        <w:jc w:val="both"/>
        <w:rPr>
          <w:sz w:val="24"/>
          <w:szCs w:val="24"/>
          <w:lang w:val="en-GB"/>
        </w:rPr>
      </w:pPr>
      <w:proofErr w:type="spellStart"/>
      <w:r w:rsidRPr="00ED5A89">
        <w:rPr>
          <w:sz w:val="24"/>
          <w:szCs w:val="24"/>
          <w:lang w:val="en-GB"/>
        </w:rPr>
        <w:t>JurisCom</w:t>
      </w:r>
      <w:proofErr w:type="spellEnd"/>
      <w:r w:rsidRPr="00ED5A89">
        <w:rPr>
          <w:sz w:val="24"/>
          <w:szCs w:val="24"/>
          <w:lang w:val="en-GB"/>
        </w:rPr>
        <w:t xml:space="preserve"> does not position itself as a replacement for enterprise financial-crime platforms. Instead, it positions itself as a thin jurisdictional rule layer that can operate alongside incumbent systems. The competitive landscape includes NICE Actimize, LSEG/Refinitiv, Oracle Financial Crime and Compliance Management, FIS, SAS, </w:t>
      </w:r>
      <w:proofErr w:type="spellStart"/>
      <w:r w:rsidRPr="00ED5A89">
        <w:rPr>
          <w:sz w:val="24"/>
          <w:szCs w:val="24"/>
          <w:lang w:val="en-GB"/>
        </w:rPr>
        <w:t>ComplyAdvantage</w:t>
      </w:r>
      <w:proofErr w:type="spellEnd"/>
      <w:r w:rsidRPr="00ED5A89">
        <w:rPr>
          <w:sz w:val="24"/>
          <w:szCs w:val="24"/>
          <w:lang w:val="en-GB"/>
        </w:rPr>
        <w:t xml:space="preserve">, and </w:t>
      </w:r>
    </w:p>
    <w:p w14:paraId="5F4E660E" w14:textId="77777777" w:rsidR="002A5BB2" w:rsidRDefault="002A5BB2">
      <w:pPr>
        <w:rPr>
          <w:b/>
          <w:bCs/>
          <w:sz w:val="24"/>
          <w:szCs w:val="24"/>
          <w:lang w:val="en-GB"/>
        </w:rPr>
      </w:pPr>
      <w:r>
        <w:rPr>
          <w:b/>
          <w:bCs/>
          <w:sz w:val="24"/>
          <w:szCs w:val="24"/>
          <w:lang w:val="en-GB"/>
        </w:rPr>
        <w:br w:type="page"/>
      </w:r>
    </w:p>
    <w:p w14:paraId="109A9CC5" w14:textId="377D5C65" w:rsidR="00B90651" w:rsidRPr="002A5BB2" w:rsidRDefault="002A5BB2" w:rsidP="00ED5A89">
      <w:pPr>
        <w:jc w:val="both"/>
        <w:rPr>
          <w:b/>
          <w:bCs/>
          <w:sz w:val="24"/>
          <w:szCs w:val="24"/>
          <w:lang w:val="en-GB"/>
        </w:rPr>
      </w:pPr>
      <w:r w:rsidRPr="002A5BB2">
        <w:rPr>
          <w:b/>
          <w:bCs/>
          <w:sz w:val="24"/>
          <w:szCs w:val="24"/>
          <w:lang w:val="en-GB"/>
        </w:rPr>
        <w:lastRenderedPageBreak/>
        <w:t xml:space="preserve">Competitive Positioning of </w:t>
      </w:r>
      <w:proofErr w:type="spellStart"/>
      <w:r w:rsidRPr="002A5BB2">
        <w:rPr>
          <w:b/>
          <w:bCs/>
          <w:sz w:val="24"/>
          <w:szCs w:val="24"/>
          <w:lang w:val="en-GB"/>
        </w:rPr>
        <w:t>JurisCom</w:t>
      </w:r>
      <w:proofErr w:type="spellEnd"/>
      <w:r w:rsidRPr="002A5BB2">
        <w:rPr>
          <w:b/>
          <w:bCs/>
          <w:sz w:val="24"/>
          <w:szCs w:val="24"/>
          <w:lang w:val="en-GB"/>
        </w:rPr>
        <w:t xml:space="preserve"> </w:t>
      </w:r>
      <w:proofErr w:type="spellStart"/>
      <w:r w:rsidRPr="002A5BB2">
        <w:rPr>
          <w:b/>
          <w:bCs/>
          <w:sz w:val="24"/>
          <w:szCs w:val="24"/>
          <w:lang w:val="en-GB"/>
        </w:rPr>
        <w:t>RegTech</w:t>
      </w:r>
      <w:proofErr w:type="spellEnd"/>
    </w:p>
    <w:tbl>
      <w:tblPr>
        <w:tblStyle w:val="TableGrid"/>
        <w:tblW w:w="0" w:type="auto"/>
        <w:tblLook w:val="04A0" w:firstRow="1" w:lastRow="0" w:firstColumn="1" w:lastColumn="0" w:noHBand="0" w:noVBand="1"/>
      </w:tblPr>
      <w:tblGrid>
        <w:gridCol w:w="2510"/>
        <w:gridCol w:w="2693"/>
        <w:gridCol w:w="4733"/>
      </w:tblGrid>
      <w:tr w:rsidR="00624744" w:rsidRPr="00624744" w14:paraId="4E9EB7BA" w14:textId="77777777" w:rsidTr="00ED5A89">
        <w:tc>
          <w:tcPr>
            <w:tcW w:w="2510" w:type="dxa"/>
            <w:shd w:val="clear" w:color="auto" w:fill="EAF2F8"/>
            <w:tcMar>
              <w:top w:w="80" w:type="dxa"/>
              <w:left w:w="100" w:type="dxa"/>
              <w:bottom w:w="80" w:type="dxa"/>
              <w:right w:w="100" w:type="dxa"/>
            </w:tcMar>
          </w:tcPr>
          <w:p w14:paraId="167CDD41" w14:textId="77777777" w:rsidR="00B90651" w:rsidRPr="00624744" w:rsidRDefault="00000000" w:rsidP="00624744">
            <w:pPr>
              <w:jc w:val="both"/>
              <w:rPr>
                <w:rFonts w:cs="Arial"/>
                <w:sz w:val="24"/>
                <w:szCs w:val="24"/>
              </w:rPr>
            </w:pPr>
            <w:r w:rsidRPr="00624744">
              <w:rPr>
                <w:rFonts w:cs="Arial"/>
                <w:b/>
                <w:sz w:val="24"/>
                <w:szCs w:val="24"/>
              </w:rPr>
              <w:t>Incumbent</w:t>
            </w:r>
          </w:p>
        </w:tc>
        <w:tc>
          <w:tcPr>
            <w:tcW w:w="2693" w:type="dxa"/>
            <w:shd w:val="clear" w:color="auto" w:fill="EAF2F8"/>
            <w:tcMar>
              <w:top w:w="80" w:type="dxa"/>
              <w:left w:w="100" w:type="dxa"/>
              <w:bottom w:w="80" w:type="dxa"/>
              <w:right w:w="100" w:type="dxa"/>
            </w:tcMar>
          </w:tcPr>
          <w:p w14:paraId="4F40B61E" w14:textId="77777777" w:rsidR="00B90651" w:rsidRPr="00624744" w:rsidRDefault="00000000" w:rsidP="00624744">
            <w:pPr>
              <w:jc w:val="both"/>
              <w:rPr>
                <w:rFonts w:cs="Arial"/>
                <w:sz w:val="24"/>
                <w:szCs w:val="24"/>
              </w:rPr>
            </w:pPr>
            <w:r w:rsidRPr="00624744">
              <w:rPr>
                <w:rFonts w:cs="Arial"/>
                <w:b/>
                <w:sz w:val="24"/>
                <w:szCs w:val="24"/>
              </w:rPr>
              <w:t>Strengths</w:t>
            </w:r>
          </w:p>
        </w:tc>
        <w:tc>
          <w:tcPr>
            <w:tcW w:w="4733" w:type="dxa"/>
            <w:shd w:val="clear" w:color="auto" w:fill="EAF2F8"/>
            <w:tcMar>
              <w:top w:w="80" w:type="dxa"/>
              <w:left w:w="100" w:type="dxa"/>
              <w:bottom w:w="80" w:type="dxa"/>
              <w:right w:w="100" w:type="dxa"/>
            </w:tcMar>
          </w:tcPr>
          <w:p w14:paraId="00977CE3" w14:textId="458365DC" w:rsidR="00B90651" w:rsidRPr="00624744" w:rsidRDefault="008A677E" w:rsidP="00624744">
            <w:pPr>
              <w:jc w:val="both"/>
              <w:rPr>
                <w:rFonts w:cs="Arial"/>
                <w:sz w:val="24"/>
                <w:szCs w:val="24"/>
              </w:rPr>
            </w:pPr>
            <w:r>
              <w:rPr>
                <w:rFonts w:cs="Arial"/>
                <w:b/>
                <w:sz w:val="24"/>
                <w:szCs w:val="24"/>
              </w:rPr>
              <w:t>Jurisdiction-aware gap</w:t>
            </w:r>
          </w:p>
        </w:tc>
      </w:tr>
      <w:tr w:rsidR="00624744" w:rsidRPr="00624744" w14:paraId="6F1465B9" w14:textId="77777777" w:rsidTr="00ED5A89">
        <w:tc>
          <w:tcPr>
            <w:tcW w:w="2510" w:type="dxa"/>
            <w:tcMar>
              <w:top w:w="80" w:type="dxa"/>
              <w:left w:w="100" w:type="dxa"/>
              <w:bottom w:w="80" w:type="dxa"/>
              <w:right w:w="100" w:type="dxa"/>
            </w:tcMar>
          </w:tcPr>
          <w:p w14:paraId="39FB3B4E" w14:textId="01579DC5" w:rsidR="00B90651" w:rsidRPr="00624744" w:rsidRDefault="00ED5A89" w:rsidP="00624744">
            <w:pPr>
              <w:jc w:val="both"/>
              <w:rPr>
                <w:rFonts w:cs="Arial"/>
                <w:sz w:val="24"/>
                <w:szCs w:val="24"/>
              </w:rPr>
            </w:pPr>
            <w:r w:rsidRPr="00ED5A89">
              <w:rPr>
                <w:rFonts w:cs="Arial"/>
                <w:sz w:val="24"/>
                <w:szCs w:val="24"/>
              </w:rPr>
              <w:t>NICE Actimize</w:t>
            </w:r>
          </w:p>
        </w:tc>
        <w:tc>
          <w:tcPr>
            <w:tcW w:w="2693" w:type="dxa"/>
            <w:tcMar>
              <w:top w:w="80" w:type="dxa"/>
              <w:left w:w="100" w:type="dxa"/>
              <w:bottom w:w="80" w:type="dxa"/>
              <w:right w:w="100" w:type="dxa"/>
            </w:tcMar>
          </w:tcPr>
          <w:p w14:paraId="761EF161" w14:textId="43DD1D1A" w:rsidR="00B90651" w:rsidRPr="00624744" w:rsidRDefault="00ED5A89" w:rsidP="002A5BB2">
            <w:pPr>
              <w:rPr>
                <w:rFonts w:cs="Arial"/>
                <w:sz w:val="24"/>
                <w:szCs w:val="24"/>
              </w:rPr>
            </w:pPr>
            <w:r w:rsidRPr="00ED5A89">
              <w:rPr>
                <w:rFonts w:cs="Arial"/>
                <w:sz w:val="24"/>
                <w:szCs w:val="24"/>
              </w:rPr>
              <w:t>Established transaction monitoring, sanctions screening, case management, and enterprise financial-crime controls</w:t>
            </w:r>
          </w:p>
        </w:tc>
        <w:tc>
          <w:tcPr>
            <w:tcW w:w="4733" w:type="dxa"/>
            <w:tcMar>
              <w:top w:w="80" w:type="dxa"/>
              <w:left w:w="100" w:type="dxa"/>
              <w:bottom w:w="80" w:type="dxa"/>
              <w:right w:w="100" w:type="dxa"/>
            </w:tcMar>
          </w:tcPr>
          <w:p w14:paraId="1C1F1279" w14:textId="77777777" w:rsidR="00B90651" w:rsidRPr="00624744" w:rsidRDefault="00000000" w:rsidP="00624744">
            <w:pPr>
              <w:jc w:val="both"/>
              <w:rPr>
                <w:rFonts w:cs="Arial"/>
                <w:sz w:val="24"/>
                <w:szCs w:val="24"/>
              </w:rPr>
            </w:pPr>
            <w:r w:rsidRPr="00624744">
              <w:rPr>
                <w:rFonts w:cs="Arial"/>
                <w:sz w:val="24"/>
                <w:szCs w:val="24"/>
              </w:rPr>
              <w:t>US-calibrated rule library at core; jurisdiction extensions are professional-services projects, not config swaps. Re-tuning for SG MAS Notice 626 specifics (domestic PEP EDD, risk-based STR, "reasonable measures" BO) is a multi-month engagement, not a JSON file diff.</w:t>
            </w:r>
          </w:p>
        </w:tc>
      </w:tr>
      <w:tr w:rsidR="00624744" w:rsidRPr="00624744" w14:paraId="19123FF8" w14:textId="77777777" w:rsidTr="00ED5A89">
        <w:tc>
          <w:tcPr>
            <w:tcW w:w="2510" w:type="dxa"/>
            <w:tcMar>
              <w:top w:w="80" w:type="dxa"/>
              <w:left w:w="100" w:type="dxa"/>
              <w:bottom w:w="80" w:type="dxa"/>
              <w:right w:w="100" w:type="dxa"/>
            </w:tcMar>
          </w:tcPr>
          <w:p w14:paraId="7C8F6C21" w14:textId="77777777" w:rsidR="00B90651" w:rsidRPr="00624744" w:rsidRDefault="00000000" w:rsidP="00624744">
            <w:pPr>
              <w:jc w:val="both"/>
              <w:rPr>
                <w:rFonts w:cs="Arial"/>
                <w:sz w:val="24"/>
                <w:szCs w:val="24"/>
              </w:rPr>
            </w:pPr>
            <w:r w:rsidRPr="00624744">
              <w:rPr>
                <w:rFonts w:cs="Arial"/>
                <w:sz w:val="24"/>
                <w:szCs w:val="24"/>
              </w:rPr>
              <w:t>LSEG/Refinitiv World-Check + Due Diligence</w:t>
            </w:r>
          </w:p>
        </w:tc>
        <w:tc>
          <w:tcPr>
            <w:tcW w:w="2693" w:type="dxa"/>
            <w:tcMar>
              <w:top w:w="80" w:type="dxa"/>
              <w:left w:w="100" w:type="dxa"/>
              <w:bottom w:w="80" w:type="dxa"/>
              <w:right w:w="100" w:type="dxa"/>
            </w:tcMar>
          </w:tcPr>
          <w:p w14:paraId="25342CFE" w14:textId="77777777" w:rsidR="00B90651" w:rsidRPr="00624744" w:rsidRDefault="00000000" w:rsidP="002A5BB2">
            <w:pPr>
              <w:rPr>
                <w:rFonts w:cs="Arial"/>
                <w:sz w:val="24"/>
                <w:szCs w:val="24"/>
              </w:rPr>
            </w:pPr>
            <w:r w:rsidRPr="00624744">
              <w:rPr>
                <w:rFonts w:cs="Arial"/>
                <w:sz w:val="24"/>
                <w:szCs w:val="24"/>
              </w:rPr>
              <w:t>Industry-standard sanctions/PEP data feed; alias and transliteration coverage; supplier-of-record at most global banks</w:t>
            </w:r>
          </w:p>
        </w:tc>
        <w:tc>
          <w:tcPr>
            <w:tcW w:w="4733" w:type="dxa"/>
            <w:tcMar>
              <w:top w:w="80" w:type="dxa"/>
              <w:left w:w="100" w:type="dxa"/>
              <w:bottom w:w="80" w:type="dxa"/>
              <w:right w:w="100" w:type="dxa"/>
            </w:tcMar>
          </w:tcPr>
          <w:p w14:paraId="5DAEE19E" w14:textId="77777777" w:rsidR="00B90651" w:rsidRPr="00624744" w:rsidRDefault="00000000" w:rsidP="00624744">
            <w:pPr>
              <w:jc w:val="both"/>
              <w:rPr>
                <w:rFonts w:cs="Arial"/>
                <w:sz w:val="24"/>
                <w:szCs w:val="24"/>
              </w:rPr>
            </w:pPr>
            <w:r w:rsidRPr="00624744">
              <w:rPr>
                <w:rFonts w:cs="Arial"/>
                <w:sz w:val="24"/>
                <w:szCs w:val="24"/>
              </w:rPr>
              <w:t>Data layer, not a rule engine — does not handle CTR / CDD / STR threshold logic. JurisCom is complementary, not competitive: we consume World-Check style data and add the jurisdictional rule layer on top.</w:t>
            </w:r>
          </w:p>
        </w:tc>
      </w:tr>
      <w:tr w:rsidR="00624744" w:rsidRPr="00624744" w14:paraId="56029B77" w14:textId="77777777" w:rsidTr="00ED5A89">
        <w:tc>
          <w:tcPr>
            <w:tcW w:w="2510" w:type="dxa"/>
            <w:tcMar>
              <w:top w:w="80" w:type="dxa"/>
              <w:left w:w="100" w:type="dxa"/>
              <w:bottom w:w="80" w:type="dxa"/>
              <w:right w:w="100" w:type="dxa"/>
            </w:tcMar>
          </w:tcPr>
          <w:p w14:paraId="6C2CD134" w14:textId="77777777" w:rsidR="00B90651" w:rsidRPr="00624744" w:rsidRDefault="00000000" w:rsidP="00624744">
            <w:pPr>
              <w:jc w:val="both"/>
              <w:rPr>
                <w:rFonts w:cs="Arial"/>
                <w:sz w:val="24"/>
                <w:szCs w:val="24"/>
              </w:rPr>
            </w:pPr>
            <w:r w:rsidRPr="00624744">
              <w:rPr>
                <w:rFonts w:cs="Arial"/>
                <w:sz w:val="24"/>
                <w:szCs w:val="24"/>
              </w:rPr>
              <w:t>Oracle FCCM (incl. FCCM Cloud)</w:t>
            </w:r>
          </w:p>
        </w:tc>
        <w:tc>
          <w:tcPr>
            <w:tcW w:w="2693" w:type="dxa"/>
            <w:tcMar>
              <w:top w:w="80" w:type="dxa"/>
              <w:left w:w="100" w:type="dxa"/>
              <w:bottom w:w="80" w:type="dxa"/>
              <w:right w:w="100" w:type="dxa"/>
            </w:tcMar>
          </w:tcPr>
          <w:p w14:paraId="0E629601" w14:textId="77777777" w:rsidR="00B90651" w:rsidRPr="00624744" w:rsidRDefault="00000000" w:rsidP="002A5BB2">
            <w:pPr>
              <w:rPr>
                <w:rFonts w:cs="Arial"/>
                <w:sz w:val="24"/>
                <w:szCs w:val="24"/>
              </w:rPr>
            </w:pPr>
            <w:r w:rsidRPr="00624744">
              <w:rPr>
                <w:rFonts w:cs="Arial"/>
                <w:sz w:val="24"/>
                <w:szCs w:val="24"/>
              </w:rPr>
              <w:t>Tight integration with Oracle core banking; reasonable jurisdiction libraries; ERP-anchored audit</w:t>
            </w:r>
          </w:p>
        </w:tc>
        <w:tc>
          <w:tcPr>
            <w:tcW w:w="4733" w:type="dxa"/>
            <w:tcMar>
              <w:top w:w="80" w:type="dxa"/>
              <w:left w:w="100" w:type="dxa"/>
              <w:bottom w:w="80" w:type="dxa"/>
              <w:right w:w="100" w:type="dxa"/>
            </w:tcMar>
          </w:tcPr>
          <w:p w14:paraId="77215D3B" w14:textId="77777777" w:rsidR="00B90651" w:rsidRPr="00624744" w:rsidRDefault="00000000" w:rsidP="00624744">
            <w:pPr>
              <w:jc w:val="both"/>
              <w:rPr>
                <w:rFonts w:cs="Arial"/>
                <w:sz w:val="24"/>
                <w:szCs w:val="24"/>
              </w:rPr>
            </w:pPr>
            <w:r w:rsidRPr="00624744">
              <w:rPr>
                <w:rFonts w:cs="Arial"/>
                <w:sz w:val="24"/>
                <w:szCs w:val="24"/>
              </w:rPr>
              <w:t xml:space="preserve">Heavy implementation </w:t>
            </w:r>
            <w:proofErr w:type="gramStart"/>
            <w:r w:rsidRPr="00624744">
              <w:rPr>
                <w:rFonts w:cs="Arial"/>
                <w:sz w:val="24"/>
                <w:szCs w:val="24"/>
              </w:rPr>
              <w:t>footprint;</w:t>
            </w:r>
            <w:proofErr w:type="gramEnd"/>
            <w:r w:rsidRPr="00624744">
              <w:rPr>
                <w:rFonts w:cs="Arial"/>
                <w:sz w:val="24"/>
                <w:szCs w:val="24"/>
              </w:rPr>
              <w:t xml:space="preserve"> rule changes typically gated by an Oracle release cycle. Banks running non-Oracle cores get less benefit.</w:t>
            </w:r>
          </w:p>
        </w:tc>
      </w:tr>
      <w:tr w:rsidR="00624744" w:rsidRPr="00624744" w14:paraId="52399CB7" w14:textId="77777777" w:rsidTr="00ED5A89">
        <w:tc>
          <w:tcPr>
            <w:tcW w:w="2510" w:type="dxa"/>
            <w:tcMar>
              <w:top w:w="80" w:type="dxa"/>
              <w:left w:w="100" w:type="dxa"/>
              <w:bottom w:w="80" w:type="dxa"/>
              <w:right w:w="100" w:type="dxa"/>
            </w:tcMar>
          </w:tcPr>
          <w:p w14:paraId="3D1307F6" w14:textId="77777777" w:rsidR="00B90651" w:rsidRPr="00624744" w:rsidRDefault="00000000" w:rsidP="00624744">
            <w:pPr>
              <w:jc w:val="both"/>
              <w:rPr>
                <w:rFonts w:cs="Arial"/>
                <w:sz w:val="24"/>
                <w:szCs w:val="24"/>
              </w:rPr>
            </w:pPr>
            <w:r w:rsidRPr="00624744">
              <w:rPr>
                <w:rFonts w:cs="Arial"/>
                <w:sz w:val="24"/>
                <w:szCs w:val="24"/>
              </w:rPr>
              <w:t xml:space="preserve">FIS </w:t>
            </w:r>
            <w:proofErr w:type="spellStart"/>
            <w:r w:rsidRPr="00624744">
              <w:rPr>
                <w:rFonts w:cs="Arial"/>
                <w:sz w:val="24"/>
                <w:szCs w:val="24"/>
              </w:rPr>
              <w:t>Protegent</w:t>
            </w:r>
            <w:proofErr w:type="spellEnd"/>
            <w:r w:rsidRPr="00624744">
              <w:rPr>
                <w:rFonts w:cs="Arial"/>
                <w:sz w:val="24"/>
                <w:szCs w:val="24"/>
              </w:rPr>
              <w:t xml:space="preserve"> / SAS AML</w:t>
            </w:r>
          </w:p>
        </w:tc>
        <w:tc>
          <w:tcPr>
            <w:tcW w:w="2693" w:type="dxa"/>
            <w:tcMar>
              <w:top w:w="80" w:type="dxa"/>
              <w:left w:w="100" w:type="dxa"/>
              <w:bottom w:w="80" w:type="dxa"/>
              <w:right w:w="100" w:type="dxa"/>
            </w:tcMar>
          </w:tcPr>
          <w:p w14:paraId="1E253924" w14:textId="77777777" w:rsidR="00B90651" w:rsidRPr="00624744" w:rsidRDefault="00000000" w:rsidP="002A5BB2">
            <w:pPr>
              <w:rPr>
                <w:rFonts w:cs="Arial"/>
                <w:sz w:val="24"/>
                <w:szCs w:val="24"/>
              </w:rPr>
            </w:pPr>
            <w:r w:rsidRPr="00624744">
              <w:rPr>
                <w:rFonts w:cs="Arial"/>
                <w:sz w:val="24"/>
                <w:szCs w:val="24"/>
              </w:rPr>
              <w:t>Strong analytics and reporting; established procurement relationships</w:t>
            </w:r>
          </w:p>
        </w:tc>
        <w:tc>
          <w:tcPr>
            <w:tcW w:w="4733" w:type="dxa"/>
            <w:tcMar>
              <w:top w:w="80" w:type="dxa"/>
              <w:left w:w="100" w:type="dxa"/>
              <w:bottom w:w="80" w:type="dxa"/>
              <w:right w:w="100" w:type="dxa"/>
            </w:tcMar>
          </w:tcPr>
          <w:p w14:paraId="150DEC94" w14:textId="77777777" w:rsidR="00B90651" w:rsidRPr="00624744" w:rsidRDefault="00000000" w:rsidP="00624744">
            <w:pPr>
              <w:jc w:val="both"/>
              <w:rPr>
                <w:rFonts w:cs="Arial"/>
                <w:sz w:val="24"/>
                <w:szCs w:val="24"/>
              </w:rPr>
            </w:pPr>
            <w:r w:rsidRPr="00624744">
              <w:rPr>
                <w:rFonts w:cs="Arial"/>
                <w:sz w:val="24"/>
                <w:szCs w:val="24"/>
              </w:rPr>
              <w:t>Same pattern: monolithic platform; jurisdiction-specific tuning is an SI engagement.</w:t>
            </w:r>
          </w:p>
        </w:tc>
      </w:tr>
      <w:tr w:rsidR="00624744" w:rsidRPr="00624744" w14:paraId="57FBBCCE" w14:textId="77777777" w:rsidTr="00ED5A89">
        <w:tc>
          <w:tcPr>
            <w:tcW w:w="2510" w:type="dxa"/>
            <w:tcMar>
              <w:top w:w="80" w:type="dxa"/>
              <w:left w:w="100" w:type="dxa"/>
              <w:bottom w:w="80" w:type="dxa"/>
              <w:right w:w="100" w:type="dxa"/>
            </w:tcMar>
          </w:tcPr>
          <w:p w14:paraId="073E061B" w14:textId="77777777" w:rsidR="00B90651" w:rsidRPr="00624744" w:rsidRDefault="00000000" w:rsidP="00624744">
            <w:pPr>
              <w:jc w:val="both"/>
              <w:rPr>
                <w:rFonts w:cs="Arial"/>
                <w:sz w:val="24"/>
                <w:szCs w:val="24"/>
              </w:rPr>
            </w:pPr>
            <w:proofErr w:type="spellStart"/>
            <w:r w:rsidRPr="00624744">
              <w:rPr>
                <w:rFonts w:cs="Arial"/>
                <w:sz w:val="24"/>
                <w:szCs w:val="24"/>
              </w:rPr>
              <w:t>ComplyAdvantage</w:t>
            </w:r>
            <w:proofErr w:type="spellEnd"/>
          </w:p>
        </w:tc>
        <w:tc>
          <w:tcPr>
            <w:tcW w:w="2693" w:type="dxa"/>
            <w:tcMar>
              <w:top w:w="80" w:type="dxa"/>
              <w:left w:w="100" w:type="dxa"/>
              <w:bottom w:w="80" w:type="dxa"/>
              <w:right w:w="100" w:type="dxa"/>
            </w:tcMar>
          </w:tcPr>
          <w:p w14:paraId="717CE351" w14:textId="77777777" w:rsidR="00B90651" w:rsidRPr="00624744" w:rsidRDefault="00000000" w:rsidP="002A5BB2">
            <w:pPr>
              <w:rPr>
                <w:rFonts w:cs="Arial"/>
                <w:sz w:val="24"/>
                <w:szCs w:val="24"/>
              </w:rPr>
            </w:pPr>
            <w:r w:rsidRPr="00624744">
              <w:rPr>
                <w:rFonts w:cs="Arial"/>
                <w:sz w:val="24"/>
                <w:szCs w:val="24"/>
              </w:rPr>
              <w:t>Modern stack; fast onboarding; strong for fintechs and challenger banks</w:t>
            </w:r>
          </w:p>
        </w:tc>
        <w:tc>
          <w:tcPr>
            <w:tcW w:w="4733" w:type="dxa"/>
            <w:tcMar>
              <w:top w:w="80" w:type="dxa"/>
              <w:left w:w="100" w:type="dxa"/>
              <w:bottom w:w="80" w:type="dxa"/>
              <w:right w:w="100" w:type="dxa"/>
            </w:tcMar>
          </w:tcPr>
          <w:p w14:paraId="5F298C64" w14:textId="77777777" w:rsidR="00B90651" w:rsidRPr="00624744" w:rsidRDefault="00000000" w:rsidP="00624744">
            <w:pPr>
              <w:jc w:val="both"/>
              <w:rPr>
                <w:rFonts w:cs="Arial"/>
                <w:sz w:val="24"/>
                <w:szCs w:val="24"/>
              </w:rPr>
            </w:pPr>
            <w:r w:rsidRPr="00624744">
              <w:rPr>
                <w:rFonts w:cs="Arial"/>
                <w:sz w:val="24"/>
                <w:szCs w:val="24"/>
              </w:rPr>
              <w:t>Sanctions/PEP screening focus; rule engine for transaction monitoring is younger and US-default; less defensible for tier-2 globals running 30+ jurisdictions.</w:t>
            </w:r>
          </w:p>
        </w:tc>
      </w:tr>
      <w:tr w:rsidR="00624744" w:rsidRPr="00624744" w14:paraId="499A6712" w14:textId="77777777" w:rsidTr="00ED5A89">
        <w:tc>
          <w:tcPr>
            <w:tcW w:w="2510" w:type="dxa"/>
            <w:tcMar>
              <w:top w:w="80" w:type="dxa"/>
              <w:left w:w="100" w:type="dxa"/>
              <w:bottom w:w="80" w:type="dxa"/>
              <w:right w:w="100" w:type="dxa"/>
            </w:tcMar>
          </w:tcPr>
          <w:p w14:paraId="6F871AED" w14:textId="77777777" w:rsidR="00B90651" w:rsidRPr="00624744" w:rsidRDefault="00000000" w:rsidP="00624744">
            <w:pPr>
              <w:jc w:val="both"/>
              <w:rPr>
                <w:rFonts w:cs="Arial"/>
                <w:sz w:val="24"/>
                <w:szCs w:val="24"/>
              </w:rPr>
            </w:pPr>
            <w:proofErr w:type="spellStart"/>
            <w:r w:rsidRPr="00624744">
              <w:rPr>
                <w:rFonts w:cs="Arial"/>
                <w:sz w:val="24"/>
                <w:szCs w:val="24"/>
              </w:rPr>
              <w:t>Quantexa</w:t>
            </w:r>
            <w:proofErr w:type="spellEnd"/>
          </w:p>
        </w:tc>
        <w:tc>
          <w:tcPr>
            <w:tcW w:w="2693" w:type="dxa"/>
            <w:tcMar>
              <w:top w:w="80" w:type="dxa"/>
              <w:left w:w="100" w:type="dxa"/>
              <w:bottom w:w="80" w:type="dxa"/>
              <w:right w:w="100" w:type="dxa"/>
            </w:tcMar>
          </w:tcPr>
          <w:p w14:paraId="2D20EC1C" w14:textId="77777777" w:rsidR="00B90651" w:rsidRPr="00624744" w:rsidRDefault="00000000" w:rsidP="002A5BB2">
            <w:pPr>
              <w:rPr>
                <w:rFonts w:cs="Arial"/>
                <w:sz w:val="24"/>
                <w:szCs w:val="24"/>
              </w:rPr>
            </w:pPr>
            <w:r w:rsidRPr="00624744">
              <w:rPr>
                <w:rFonts w:cs="Arial"/>
                <w:sz w:val="24"/>
                <w:szCs w:val="24"/>
              </w:rPr>
              <w:t>Best-in-class entity resolution and graph network typologies (TBML, smurfing across entities)</w:t>
            </w:r>
          </w:p>
        </w:tc>
        <w:tc>
          <w:tcPr>
            <w:tcW w:w="4733" w:type="dxa"/>
            <w:tcMar>
              <w:top w:w="80" w:type="dxa"/>
              <w:left w:w="100" w:type="dxa"/>
              <w:bottom w:w="80" w:type="dxa"/>
              <w:right w:w="100" w:type="dxa"/>
            </w:tcMar>
          </w:tcPr>
          <w:p w14:paraId="630ECB4E" w14:textId="77777777" w:rsidR="00B90651" w:rsidRPr="00624744" w:rsidRDefault="00000000" w:rsidP="00624744">
            <w:pPr>
              <w:jc w:val="both"/>
              <w:rPr>
                <w:rFonts w:cs="Arial"/>
                <w:sz w:val="24"/>
                <w:szCs w:val="24"/>
              </w:rPr>
            </w:pPr>
            <w:r w:rsidRPr="00624744">
              <w:rPr>
                <w:rFonts w:cs="Arial"/>
                <w:sz w:val="24"/>
                <w:szCs w:val="24"/>
              </w:rPr>
              <w:t>Enterprise platform, not a rule layer; complementary to JurisCom rather than competitive. We are explicit that we do not do graph typologies — Quantexa does.</w:t>
            </w:r>
          </w:p>
        </w:tc>
      </w:tr>
    </w:tbl>
    <w:p w14:paraId="4371016B" w14:textId="77777777" w:rsidR="00B90651" w:rsidRPr="00624744" w:rsidRDefault="00B90651" w:rsidP="00624744">
      <w:pPr>
        <w:jc w:val="both"/>
        <w:rPr>
          <w:rFonts w:cs="Arial"/>
          <w:sz w:val="24"/>
          <w:szCs w:val="24"/>
        </w:rPr>
      </w:pPr>
    </w:p>
    <w:p w14:paraId="2284E905" w14:textId="5DAE1F58" w:rsidR="002A5BB2" w:rsidRDefault="002A5BB2" w:rsidP="002A5BB2">
      <w:pPr>
        <w:spacing w:after="120"/>
        <w:jc w:val="both"/>
        <w:rPr>
          <w:rFonts w:cs="Arial"/>
          <w:sz w:val="24"/>
          <w:szCs w:val="24"/>
        </w:rPr>
      </w:pPr>
      <w:proofErr w:type="spellStart"/>
      <w:r w:rsidRPr="002A5BB2">
        <w:rPr>
          <w:rFonts w:cs="Arial"/>
          <w:sz w:val="24"/>
          <w:szCs w:val="24"/>
        </w:rPr>
        <w:t>JurisCom’s</w:t>
      </w:r>
      <w:proofErr w:type="spellEnd"/>
      <w:r w:rsidRPr="002A5BB2">
        <w:rPr>
          <w:rFonts w:cs="Arial"/>
          <w:sz w:val="24"/>
          <w:szCs w:val="24"/>
        </w:rPr>
        <w:t xml:space="preserve"> build-versus-buy proposition is that incumbent platforms own transaction monitoring, sanctions screening, case management, and financial-crime analytics at scale, while </w:t>
      </w:r>
      <w:proofErr w:type="spellStart"/>
      <w:r w:rsidRPr="002A5BB2">
        <w:rPr>
          <w:rFonts w:cs="Arial"/>
          <w:sz w:val="24"/>
          <w:szCs w:val="24"/>
        </w:rPr>
        <w:t>JurisCom</w:t>
      </w:r>
      <w:proofErr w:type="spellEnd"/>
      <w:r w:rsidRPr="002A5BB2">
        <w:rPr>
          <w:rFonts w:cs="Arial"/>
          <w:sz w:val="24"/>
          <w:szCs w:val="24"/>
        </w:rPr>
        <w:t xml:space="preserve"> </w:t>
      </w:r>
      <w:proofErr w:type="spellStart"/>
      <w:r w:rsidRPr="002A5BB2">
        <w:rPr>
          <w:rFonts w:cs="Arial"/>
          <w:sz w:val="24"/>
          <w:szCs w:val="24"/>
        </w:rPr>
        <w:t>specialises</w:t>
      </w:r>
      <w:proofErr w:type="spellEnd"/>
      <w:r w:rsidRPr="002A5BB2">
        <w:rPr>
          <w:rFonts w:cs="Arial"/>
          <w:sz w:val="24"/>
          <w:szCs w:val="24"/>
        </w:rPr>
        <w:t xml:space="preserve"> in jurisdictional rule expression as a versioned, examinable configuration artefact. Its claim is therefore narrow: faster regulatory-change cycles and stronger jurisdiction-specific auditability, not lower total cost of ownership or superior enterprise analytics.</w:t>
      </w:r>
      <w:r>
        <w:rPr>
          <w:rFonts w:cs="Arial"/>
          <w:sz w:val="24"/>
          <w:szCs w:val="24"/>
        </w:rPr>
        <w:br w:type="page"/>
      </w:r>
    </w:p>
    <w:p w14:paraId="292C5936" w14:textId="77777777" w:rsidR="00B90651" w:rsidRPr="00624744" w:rsidRDefault="00000000" w:rsidP="00624744">
      <w:pPr>
        <w:pStyle w:val="Heading1"/>
        <w:spacing w:after="120"/>
        <w:jc w:val="both"/>
        <w:rPr>
          <w:rFonts w:ascii="Arial" w:hAnsi="Arial" w:cs="Arial"/>
          <w:color w:val="auto"/>
          <w:sz w:val="24"/>
          <w:szCs w:val="24"/>
        </w:rPr>
      </w:pPr>
      <w:r w:rsidRPr="00624744">
        <w:rPr>
          <w:rFonts w:ascii="Arial" w:hAnsi="Arial" w:cs="Arial"/>
          <w:color w:val="auto"/>
          <w:sz w:val="24"/>
          <w:szCs w:val="24"/>
        </w:rPr>
        <w:lastRenderedPageBreak/>
        <w:t>Question 3: Is your tool measuring genuine risk or documenting compliance? Identify one specific design choice that reflects this.</w:t>
      </w:r>
    </w:p>
    <w:p w14:paraId="51B4C8B9" w14:textId="77777777" w:rsidR="002A5BB2" w:rsidRPr="002A5BB2" w:rsidRDefault="002A5BB2" w:rsidP="002A5BB2">
      <w:pPr>
        <w:pStyle w:val="Heading2"/>
        <w:spacing w:after="120"/>
        <w:jc w:val="both"/>
        <w:rPr>
          <w:rFonts w:ascii="Arial" w:hAnsi="Arial" w:cs="Arial"/>
          <w:color w:val="auto"/>
          <w:sz w:val="24"/>
          <w:szCs w:val="24"/>
        </w:rPr>
      </w:pPr>
      <w:r w:rsidRPr="002A5BB2">
        <w:rPr>
          <w:rFonts w:ascii="Arial" w:hAnsi="Arial" w:cs="Arial"/>
          <w:color w:val="auto"/>
          <w:sz w:val="24"/>
          <w:szCs w:val="24"/>
        </w:rPr>
        <w:t>Genuine Risk Detection Versus Compliance Documentation</w:t>
      </w:r>
    </w:p>
    <w:p w14:paraId="1F8535F4" w14:textId="77777777" w:rsidR="002A5BB2" w:rsidRPr="002A5BB2" w:rsidRDefault="002A5BB2" w:rsidP="002A5BB2">
      <w:pPr>
        <w:spacing w:after="120"/>
        <w:jc w:val="both"/>
        <w:rPr>
          <w:rFonts w:cs="Arial"/>
          <w:sz w:val="24"/>
          <w:szCs w:val="24"/>
        </w:rPr>
      </w:pPr>
      <w:proofErr w:type="spellStart"/>
      <w:r w:rsidRPr="002A5BB2">
        <w:rPr>
          <w:rFonts w:cs="Arial"/>
          <w:sz w:val="24"/>
          <w:szCs w:val="24"/>
        </w:rPr>
        <w:t>JurisCom’s</w:t>
      </w:r>
      <w:proofErr w:type="spellEnd"/>
      <w:r w:rsidRPr="002A5BB2">
        <w:rPr>
          <w:rFonts w:cs="Arial"/>
          <w:sz w:val="24"/>
          <w:szCs w:val="24"/>
        </w:rPr>
        <w:t xml:space="preserve"> tool is primarily oriented toward genuine risk detection, although it includes documentation features. The rules-based engine mirrors statutory and regulatory requirements, meaning it measures risk as defined by legal obligations. More importantly, the tool includes a Singapore-style risk-based suspicious transaction logic that may identify transactions below the United States suspicious activity reporting monetary threshold. This feature demonstrates that the tool is not merely designed to satisfy a single jurisdictional checklist.</w:t>
      </w:r>
    </w:p>
    <w:p w14:paraId="547395D3" w14:textId="77777777" w:rsidR="002A5BB2" w:rsidRPr="002A5BB2" w:rsidRDefault="002A5BB2" w:rsidP="002A5BB2">
      <w:pPr>
        <w:spacing w:after="120"/>
        <w:jc w:val="both"/>
        <w:rPr>
          <w:rFonts w:cs="Arial"/>
          <w:sz w:val="24"/>
          <w:szCs w:val="24"/>
        </w:rPr>
      </w:pPr>
      <w:r w:rsidRPr="002A5BB2">
        <w:rPr>
          <w:rFonts w:cs="Arial"/>
          <w:sz w:val="24"/>
          <w:szCs w:val="24"/>
        </w:rPr>
        <w:t>A specific design choice illustrates this risk orientation. The prototype applies Singapore risk-based suspicious transaction logic to comparative testing, including indicators such as structuring, high-risk country exposure, and unusual transaction narratives. For instance, a low-value transaction involving a Myanmar counterparty may fall below the United States suspicious activity reporting monetary floor but still warrant review under a Singapore risk-based framework. This comparative feature is not necessarily a production filing mechanism, but it demonstrates how jurisdiction-aware tooling can reveal risk that a single-jurisdiction configuration might miss.</w:t>
      </w:r>
    </w:p>
    <w:p w14:paraId="7147A4BA" w14:textId="5D88D413" w:rsidR="00E70B72" w:rsidRDefault="002A5BB2" w:rsidP="002A5BB2">
      <w:pPr>
        <w:spacing w:after="120"/>
        <w:jc w:val="both"/>
        <w:rPr>
          <w:rFonts w:cs="Arial"/>
          <w:sz w:val="24"/>
          <w:szCs w:val="24"/>
        </w:rPr>
      </w:pPr>
      <w:r w:rsidRPr="002A5BB2">
        <w:rPr>
          <w:rFonts w:cs="Arial"/>
          <w:sz w:val="24"/>
          <w:szCs w:val="24"/>
        </w:rPr>
        <w:t xml:space="preserve">At the same time, </w:t>
      </w:r>
      <w:proofErr w:type="spellStart"/>
      <w:r w:rsidRPr="002A5BB2">
        <w:rPr>
          <w:rFonts w:cs="Arial"/>
          <w:sz w:val="24"/>
          <w:szCs w:val="24"/>
        </w:rPr>
        <w:t>JurisCom</w:t>
      </w:r>
      <w:proofErr w:type="spellEnd"/>
      <w:r w:rsidRPr="002A5BB2">
        <w:rPr>
          <w:rFonts w:cs="Arial"/>
          <w:sz w:val="24"/>
          <w:szCs w:val="24"/>
        </w:rPr>
        <w:t xml:space="preserve"> deliberately excludes a full tamper-evident audit logging infrastructure from the prototype. Immutable timestamping, append-only ledgers, cryptographic hashing, or blockchain anchoring would strengthen regulatory examination evidence. However, such features primarily serve documentation. The company’s prototype prioritises jurisdictional alert logic over audit-infrastructure sophistication. This design choice reflects the view that a tool with strong audit </w:t>
      </w:r>
      <w:proofErr w:type="gramStart"/>
      <w:r w:rsidRPr="002A5BB2">
        <w:rPr>
          <w:rFonts w:cs="Arial"/>
          <w:sz w:val="24"/>
          <w:szCs w:val="24"/>
        </w:rPr>
        <w:t>logs</w:t>
      </w:r>
      <w:proofErr w:type="gramEnd"/>
      <w:r w:rsidRPr="002A5BB2">
        <w:rPr>
          <w:rFonts w:cs="Arial"/>
          <w:sz w:val="24"/>
          <w:szCs w:val="24"/>
        </w:rPr>
        <w:t xml:space="preserve"> but weak rule coverage is primarily a documentation tool, whereas a tool with accurate jurisdictional logic is more substantively aligned with risk detection.</w:t>
      </w:r>
    </w:p>
    <w:p w14:paraId="653CBE88" w14:textId="77777777" w:rsidR="00E70B72" w:rsidRDefault="00E70B72">
      <w:pPr>
        <w:rPr>
          <w:rFonts w:cs="Arial"/>
          <w:sz w:val="24"/>
          <w:szCs w:val="24"/>
        </w:rPr>
      </w:pPr>
      <w:r>
        <w:rPr>
          <w:rFonts w:cs="Arial"/>
          <w:sz w:val="24"/>
          <w:szCs w:val="24"/>
        </w:rPr>
        <w:br w:type="page"/>
      </w:r>
    </w:p>
    <w:p w14:paraId="16FE6449" w14:textId="77777777" w:rsidR="00B90651" w:rsidRDefault="00000000" w:rsidP="00624744">
      <w:pPr>
        <w:pStyle w:val="Heading1"/>
        <w:spacing w:after="120"/>
        <w:jc w:val="both"/>
        <w:rPr>
          <w:rFonts w:ascii="Arial" w:hAnsi="Arial" w:cs="Arial"/>
          <w:color w:val="auto"/>
          <w:sz w:val="24"/>
          <w:szCs w:val="24"/>
        </w:rPr>
      </w:pPr>
      <w:r w:rsidRPr="00624744">
        <w:rPr>
          <w:rFonts w:ascii="Arial" w:hAnsi="Arial" w:cs="Arial"/>
          <w:color w:val="auto"/>
          <w:sz w:val="24"/>
          <w:szCs w:val="24"/>
        </w:rPr>
        <w:lastRenderedPageBreak/>
        <w:t>Question 4: Who bears the cost if your tool gets it wrong? False positives, false negatives, performance drift, jurisdictional misconfiguration. Name the specific harm and the specific stakeholder it impacts most.</w:t>
      </w:r>
    </w:p>
    <w:p w14:paraId="1874761B" w14:textId="77777777" w:rsidR="00B458AA" w:rsidRPr="00B458AA" w:rsidRDefault="00B458AA" w:rsidP="00E70B72">
      <w:pPr>
        <w:spacing w:after="120"/>
        <w:jc w:val="both"/>
        <w:rPr>
          <w:rFonts w:cs="Arial"/>
          <w:b/>
          <w:bCs/>
          <w:sz w:val="24"/>
          <w:szCs w:val="24"/>
        </w:rPr>
      </w:pPr>
      <w:r w:rsidRPr="00B458AA">
        <w:rPr>
          <w:rFonts w:cs="Arial"/>
          <w:b/>
          <w:bCs/>
          <w:sz w:val="24"/>
          <w:szCs w:val="24"/>
        </w:rPr>
        <w:t>Allocation of Error Costs</w:t>
      </w:r>
    </w:p>
    <w:p w14:paraId="46E3BB1B" w14:textId="77777777" w:rsidR="00B458AA" w:rsidRPr="00B458AA" w:rsidRDefault="00B458AA" w:rsidP="00E70B72">
      <w:pPr>
        <w:spacing w:after="120"/>
        <w:jc w:val="both"/>
        <w:rPr>
          <w:rFonts w:cs="Arial"/>
          <w:b/>
          <w:bCs/>
          <w:sz w:val="24"/>
          <w:szCs w:val="24"/>
        </w:rPr>
      </w:pPr>
      <w:r w:rsidRPr="00B458AA">
        <w:rPr>
          <w:rFonts w:cs="Arial"/>
          <w:b/>
          <w:bCs/>
          <w:sz w:val="24"/>
          <w:szCs w:val="24"/>
        </w:rPr>
        <w:t>False Negatives</w:t>
      </w:r>
    </w:p>
    <w:p w14:paraId="298DD7B9" w14:textId="77777777" w:rsidR="00B458AA" w:rsidRPr="00B458AA" w:rsidRDefault="00B458AA" w:rsidP="00B458AA">
      <w:pPr>
        <w:spacing w:after="120"/>
        <w:jc w:val="both"/>
        <w:rPr>
          <w:rFonts w:cs="Arial"/>
          <w:sz w:val="24"/>
          <w:szCs w:val="24"/>
        </w:rPr>
      </w:pPr>
      <w:r w:rsidRPr="00B458AA">
        <w:rPr>
          <w:rFonts w:cs="Arial"/>
          <w:sz w:val="24"/>
          <w:szCs w:val="24"/>
        </w:rPr>
        <w:t>A false negative occurs when the tool fails to identify a transaction or customer relationship that should have been flagged. In sanctions screening, this may occur if the name-match threshold is too permissive. For example, a sanctioned counterparty may be missed because the configuration requires a 95% name match when the relevant match score is 87%.</w:t>
      </w:r>
    </w:p>
    <w:p w14:paraId="419990AD" w14:textId="77777777" w:rsidR="00B458AA" w:rsidRPr="00B458AA" w:rsidRDefault="00B458AA" w:rsidP="00B458AA">
      <w:pPr>
        <w:spacing w:after="120"/>
        <w:jc w:val="both"/>
        <w:rPr>
          <w:rFonts w:cs="Arial"/>
          <w:sz w:val="24"/>
          <w:szCs w:val="24"/>
        </w:rPr>
      </w:pPr>
      <w:r w:rsidRPr="00B458AA">
        <w:rPr>
          <w:rFonts w:cs="Arial"/>
          <w:sz w:val="24"/>
          <w:szCs w:val="24"/>
        </w:rPr>
        <w:t xml:space="preserve">The primary cost is borne by the bank, which may face regulatory penalties, criminal exposure, remediation costs, and reputational damage. Standard </w:t>
      </w:r>
      <w:proofErr w:type="spellStart"/>
      <w:r w:rsidRPr="00B458AA">
        <w:rPr>
          <w:rFonts w:cs="Arial"/>
          <w:sz w:val="24"/>
          <w:szCs w:val="24"/>
        </w:rPr>
        <w:t>Chartered’s</w:t>
      </w:r>
      <w:proofErr w:type="spellEnd"/>
      <w:r w:rsidRPr="00B458AA">
        <w:rPr>
          <w:rFonts w:cs="Arial"/>
          <w:sz w:val="24"/>
          <w:szCs w:val="24"/>
        </w:rPr>
        <w:t xml:space="preserve"> historical sanctions-related settlements demonstrate the scale of such exposure (DOJ, 2019; NYDFS, 2012). A secondary cost may be borne by the compliance officer responsible for approving alert disposition policies. The wider public also bears diffuse harm if the failure facilitates financial crime or sanctions evasion.</w:t>
      </w:r>
    </w:p>
    <w:p w14:paraId="3B5006BA" w14:textId="77777777" w:rsidR="00B458AA" w:rsidRPr="00B458AA" w:rsidRDefault="00B458AA" w:rsidP="00B458AA">
      <w:pPr>
        <w:spacing w:after="120"/>
        <w:jc w:val="both"/>
        <w:rPr>
          <w:rFonts w:cs="Arial"/>
          <w:b/>
          <w:bCs/>
          <w:sz w:val="24"/>
          <w:szCs w:val="24"/>
        </w:rPr>
      </w:pPr>
      <w:r w:rsidRPr="00B458AA">
        <w:rPr>
          <w:rFonts w:cs="Arial"/>
          <w:b/>
          <w:bCs/>
          <w:sz w:val="24"/>
          <w:szCs w:val="24"/>
        </w:rPr>
        <w:t>False Positives</w:t>
      </w:r>
    </w:p>
    <w:p w14:paraId="081EEB29" w14:textId="77777777" w:rsidR="00B458AA" w:rsidRPr="00B458AA" w:rsidRDefault="00B458AA" w:rsidP="00B458AA">
      <w:pPr>
        <w:spacing w:after="120"/>
        <w:jc w:val="both"/>
        <w:rPr>
          <w:rFonts w:cs="Arial"/>
          <w:sz w:val="24"/>
          <w:szCs w:val="24"/>
        </w:rPr>
      </w:pPr>
      <w:r w:rsidRPr="00B458AA">
        <w:rPr>
          <w:rFonts w:cs="Arial"/>
          <w:sz w:val="24"/>
          <w:szCs w:val="24"/>
        </w:rPr>
        <w:t xml:space="preserve">A false positive occurs when a legitimate customer or transaction is incorrectly flagged. For example, a legitimate Myanmar garment exporter with no </w:t>
      </w:r>
      <w:proofErr w:type="gramStart"/>
      <w:r w:rsidRPr="00B458AA">
        <w:rPr>
          <w:rFonts w:cs="Arial"/>
          <w:sz w:val="24"/>
          <w:szCs w:val="24"/>
        </w:rPr>
        <w:t>sanctions</w:t>
      </w:r>
      <w:proofErr w:type="gramEnd"/>
      <w:r w:rsidRPr="00B458AA">
        <w:rPr>
          <w:rFonts w:cs="Arial"/>
          <w:sz w:val="24"/>
          <w:szCs w:val="24"/>
        </w:rPr>
        <w:t xml:space="preserve"> nexus may be flagged because Myanmar appears on a high-risk country list. If the bank files a precautionary suspicious transaction report or restricts the account pending review, the customer may lose access to funds, suffer shipment delays, and incur reputational harm.</w:t>
      </w:r>
    </w:p>
    <w:p w14:paraId="2530325A" w14:textId="77777777" w:rsidR="00B458AA" w:rsidRPr="00B458AA" w:rsidRDefault="00B458AA" w:rsidP="00B458AA">
      <w:pPr>
        <w:spacing w:after="120"/>
        <w:jc w:val="both"/>
        <w:rPr>
          <w:rFonts w:cs="Arial"/>
          <w:sz w:val="24"/>
          <w:szCs w:val="24"/>
        </w:rPr>
      </w:pPr>
      <w:r w:rsidRPr="00B458AA">
        <w:rPr>
          <w:rFonts w:cs="Arial"/>
          <w:sz w:val="24"/>
          <w:szCs w:val="24"/>
        </w:rPr>
        <w:t>The primary cost is borne by the customer, particularly where account restrictions affect legitimate business activity. The secondary cost is borne by the bank’s compliance team, which must review and dispose of unnecessary alerts. High false-positive volumes may also produce alert fatigue, increasing the risk that genuine alerts are dismissed. In extreme cases, persistent false positives may encourage de-risking, whereby banks withdraw services from higher-risk regions or customer segments.</w:t>
      </w:r>
    </w:p>
    <w:p w14:paraId="450871D9" w14:textId="77777777" w:rsidR="00B458AA" w:rsidRPr="00B458AA" w:rsidRDefault="00B458AA" w:rsidP="00B458AA">
      <w:pPr>
        <w:spacing w:after="120"/>
        <w:jc w:val="both"/>
        <w:rPr>
          <w:rFonts w:cs="Arial"/>
          <w:b/>
          <w:bCs/>
          <w:sz w:val="24"/>
          <w:szCs w:val="24"/>
        </w:rPr>
      </w:pPr>
      <w:r w:rsidRPr="00B458AA">
        <w:rPr>
          <w:rFonts w:cs="Arial"/>
          <w:b/>
          <w:bCs/>
          <w:sz w:val="24"/>
          <w:szCs w:val="24"/>
        </w:rPr>
        <w:t>Performance Drift</w:t>
      </w:r>
    </w:p>
    <w:p w14:paraId="700472C9" w14:textId="77777777" w:rsidR="00B458AA" w:rsidRPr="00B458AA" w:rsidRDefault="00B458AA" w:rsidP="00B458AA">
      <w:pPr>
        <w:spacing w:after="120"/>
        <w:jc w:val="both"/>
        <w:rPr>
          <w:rFonts w:cs="Arial"/>
          <w:sz w:val="24"/>
          <w:szCs w:val="24"/>
        </w:rPr>
      </w:pPr>
      <w:r w:rsidRPr="00B458AA">
        <w:rPr>
          <w:rFonts w:cs="Arial"/>
          <w:sz w:val="24"/>
          <w:szCs w:val="24"/>
        </w:rPr>
        <w:t>Performance drift may arise when key assumptions become stale. In the prototype, a hard-coded SGD/USD exchange rate is used for cross-jurisdiction dashboards. Although legal thresholds should be tested in local currency, stale exchange rates may distort management reporting and prioritisation. If the Singapore dollar strengthens materially, the displayed United States dollar equivalent of a Singapore threshold may become inaccurate.</w:t>
      </w:r>
    </w:p>
    <w:p w14:paraId="75B48ADE" w14:textId="77777777" w:rsidR="00B458AA" w:rsidRPr="00B458AA" w:rsidRDefault="00B458AA" w:rsidP="00B458AA">
      <w:pPr>
        <w:spacing w:after="120"/>
        <w:jc w:val="both"/>
        <w:rPr>
          <w:rFonts w:cs="Arial"/>
          <w:sz w:val="24"/>
          <w:szCs w:val="24"/>
        </w:rPr>
      </w:pPr>
      <w:r w:rsidRPr="00B458AA">
        <w:rPr>
          <w:rFonts w:cs="Arial"/>
          <w:sz w:val="24"/>
          <w:szCs w:val="24"/>
        </w:rPr>
        <w:t xml:space="preserve">The bank bears the primary cost because it may misinterpret cross-border threshold dashboards or </w:t>
      </w:r>
      <w:proofErr w:type="spellStart"/>
      <w:r w:rsidRPr="00B458AA">
        <w:rPr>
          <w:rFonts w:cs="Arial"/>
          <w:sz w:val="24"/>
          <w:szCs w:val="24"/>
        </w:rPr>
        <w:t>misprioritise</w:t>
      </w:r>
      <w:proofErr w:type="spellEnd"/>
      <w:r w:rsidRPr="00B458AA">
        <w:rPr>
          <w:rFonts w:cs="Arial"/>
          <w:sz w:val="24"/>
          <w:szCs w:val="24"/>
        </w:rPr>
        <w:t xml:space="preserve"> borderline cases. </w:t>
      </w:r>
      <w:proofErr w:type="spellStart"/>
      <w:r w:rsidRPr="00B458AA">
        <w:rPr>
          <w:rFonts w:cs="Arial"/>
          <w:sz w:val="24"/>
          <w:szCs w:val="24"/>
        </w:rPr>
        <w:t>JurisCom</w:t>
      </w:r>
      <w:proofErr w:type="spellEnd"/>
      <w:r w:rsidRPr="00B458AA">
        <w:rPr>
          <w:rFonts w:cs="Arial"/>
          <w:sz w:val="24"/>
          <w:szCs w:val="24"/>
        </w:rPr>
        <w:t xml:space="preserve"> bears secondary reputational and contractual risk if the stale assumption is traced to its product. This failure mode is particularly concerning because it may be silent: the system continues to operate and produce plausible outputs, but those outputs are systematically distorted.</w:t>
      </w:r>
    </w:p>
    <w:p w14:paraId="2A405E9C" w14:textId="77777777" w:rsidR="00B458AA" w:rsidRPr="00B458AA" w:rsidRDefault="00B458AA" w:rsidP="00B458AA">
      <w:pPr>
        <w:spacing w:after="120"/>
        <w:jc w:val="both"/>
        <w:rPr>
          <w:rFonts w:cs="Arial"/>
          <w:b/>
          <w:bCs/>
          <w:sz w:val="24"/>
          <w:szCs w:val="24"/>
        </w:rPr>
      </w:pPr>
      <w:r w:rsidRPr="00B458AA">
        <w:rPr>
          <w:rFonts w:cs="Arial"/>
          <w:b/>
          <w:bCs/>
          <w:sz w:val="24"/>
          <w:szCs w:val="24"/>
        </w:rPr>
        <w:lastRenderedPageBreak/>
        <w:t>Jurisdictional Misconfiguration</w:t>
      </w:r>
    </w:p>
    <w:p w14:paraId="027A592C" w14:textId="77777777" w:rsidR="00B458AA" w:rsidRPr="00B458AA" w:rsidRDefault="00B458AA" w:rsidP="00B458AA">
      <w:pPr>
        <w:spacing w:after="120"/>
        <w:jc w:val="both"/>
        <w:rPr>
          <w:rFonts w:cs="Arial"/>
          <w:sz w:val="24"/>
          <w:szCs w:val="24"/>
        </w:rPr>
      </w:pPr>
      <w:r w:rsidRPr="00B458AA">
        <w:rPr>
          <w:rFonts w:cs="Arial"/>
          <w:sz w:val="24"/>
          <w:szCs w:val="24"/>
        </w:rPr>
        <w:t xml:space="preserve">Jurisdictional misconfiguration occurs when a rule change is not incorporated into the configuration in a timely or accurate manner. For example, if FinCEN changes a suspicious activity reporting threshold or MAS changes a customer due diligence threshold, a delayed </w:t>
      </w:r>
      <w:proofErr w:type="spellStart"/>
      <w:r w:rsidRPr="00B458AA">
        <w:rPr>
          <w:rFonts w:cs="Arial"/>
          <w:sz w:val="24"/>
          <w:szCs w:val="24"/>
        </w:rPr>
        <w:t>JurisCom</w:t>
      </w:r>
      <w:proofErr w:type="spellEnd"/>
      <w:r w:rsidRPr="00B458AA">
        <w:rPr>
          <w:rFonts w:cs="Arial"/>
          <w:sz w:val="24"/>
          <w:szCs w:val="24"/>
        </w:rPr>
        <w:t xml:space="preserve"> configuration update could cause the bank to apply obsolete rules.</w:t>
      </w:r>
    </w:p>
    <w:p w14:paraId="2ABB9FF0" w14:textId="77777777" w:rsidR="00B458AA" w:rsidRPr="00B458AA" w:rsidRDefault="00B458AA" w:rsidP="00B458AA">
      <w:pPr>
        <w:spacing w:after="120"/>
        <w:jc w:val="both"/>
        <w:rPr>
          <w:rFonts w:cs="Arial"/>
          <w:sz w:val="24"/>
          <w:szCs w:val="24"/>
        </w:rPr>
      </w:pPr>
      <w:r w:rsidRPr="00B458AA">
        <w:rPr>
          <w:rFonts w:cs="Arial"/>
          <w:sz w:val="24"/>
          <w:szCs w:val="24"/>
        </w:rPr>
        <w:t xml:space="preserve">The bank bears the primary regulatory risk because it remains responsible for compliance. </w:t>
      </w:r>
      <w:proofErr w:type="spellStart"/>
      <w:r w:rsidRPr="00B458AA">
        <w:rPr>
          <w:rFonts w:cs="Arial"/>
          <w:sz w:val="24"/>
          <w:szCs w:val="24"/>
        </w:rPr>
        <w:t>JurisCom</w:t>
      </w:r>
      <w:proofErr w:type="spellEnd"/>
      <w:r w:rsidRPr="00B458AA">
        <w:rPr>
          <w:rFonts w:cs="Arial"/>
          <w:sz w:val="24"/>
          <w:szCs w:val="24"/>
        </w:rPr>
        <w:t xml:space="preserve"> bears secondary commercial and reputational risk if the delay is attributed to its product governance. This failure mode is especially serious because the company’s core value proposition depends on accurate and timely regulatory configuration.</w:t>
      </w:r>
    </w:p>
    <w:p w14:paraId="7AF38172" w14:textId="77777777" w:rsidR="00B458AA" w:rsidRPr="00B458AA" w:rsidRDefault="00B458AA" w:rsidP="00B458AA">
      <w:pPr>
        <w:spacing w:after="120"/>
        <w:jc w:val="both"/>
        <w:rPr>
          <w:rFonts w:cs="Arial"/>
          <w:b/>
          <w:bCs/>
          <w:sz w:val="24"/>
          <w:szCs w:val="24"/>
        </w:rPr>
      </w:pPr>
      <w:r w:rsidRPr="00B458AA">
        <w:rPr>
          <w:rFonts w:cs="Arial"/>
          <w:b/>
          <w:bCs/>
          <w:sz w:val="24"/>
          <w:szCs w:val="24"/>
        </w:rPr>
        <w:t>Novel Typologies</w:t>
      </w:r>
    </w:p>
    <w:p w14:paraId="6AB9D94A" w14:textId="77777777" w:rsidR="00B458AA" w:rsidRPr="00B458AA" w:rsidRDefault="00B458AA" w:rsidP="00B458AA">
      <w:pPr>
        <w:spacing w:after="120"/>
        <w:jc w:val="both"/>
        <w:rPr>
          <w:rFonts w:cs="Arial"/>
          <w:sz w:val="24"/>
          <w:szCs w:val="24"/>
        </w:rPr>
      </w:pPr>
      <w:proofErr w:type="gramStart"/>
      <w:r w:rsidRPr="00B458AA">
        <w:rPr>
          <w:rFonts w:cs="Arial"/>
          <w:sz w:val="24"/>
          <w:szCs w:val="24"/>
        </w:rPr>
        <w:t>A further</w:t>
      </w:r>
      <w:proofErr w:type="gramEnd"/>
      <w:r w:rsidRPr="00B458AA">
        <w:rPr>
          <w:rFonts w:cs="Arial"/>
          <w:sz w:val="24"/>
          <w:szCs w:val="24"/>
        </w:rPr>
        <w:t xml:space="preserve"> limitation arises from novel laundering typologies that are not captured by rules. Because </w:t>
      </w:r>
      <w:proofErr w:type="spellStart"/>
      <w:r w:rsidRPr="00B458AA">
        <w:rPr>
          <w:rFonts w:cs="Arial"/>
          <w:sz w:val="24"/>
          <w:szCs w:val="24"/>
        </w:rPr>
        <w:t>JurisCom</w:t>
      </w:r>
      <w:proofErr w:type="spellEnd"/>
      <w:r w:rsidRPr="00B458AA">
        <w:rPr>
          <w:rFonts w:cs="Arial"/>
          <w:sz w:val="24"/>
          <w:szCs w:val="24"/>
        </w:rPr>
        <w:t xml:space="preserve"> does not claim to provide full machine-learning typology detection, it may miss emerging patterns that graph analytics or advanced anomaly detection tools could identify. This limitation affects the bank and, indirectly, the public. It is a known and acknowledged gap in the company’s product scope.</w:t>
      </w:r>
    </w:p>
    <w:p w14:paraId="76D1D4DB" w14:textId="708FEFC2" w:rsidR="00B458AA" w:rsidRPr="00E70B72" w:rsidRDefault="00E70B72" w:rsidP="00B458AA">
      <w:pPr>
        <w:spacing w:after="120"/>
        <w:jc w:val="both"/>
        <w:rPr>
          <w:rFonts w:cs="Arial"/>
          <w:i/>
          <w:iCs/>
          <w:sz w:val="24"/>
          <w:szCs w:val="24"/>
        </w:rPr>
      </w:pPr>
      <w:r w:rsidRPr="00B458AA">
        <w:rPr>
          <w:rFonts w:cs="Arial"/>
          <w:i/>
          <w:iCs/>
          <w:sz w:val="24"/>
          <w:szCs w:val="24"/>
        </w:rPr>
        <w:t>Table</w:t>
      </w:r>
      <w:r>
        <w:rPr>
          <w:rFonts w:cs="Arial"/>
          <w:i/>
          <w:iCs/>
          <w:sz w:val="24"/>
          <w:szCs w:val="24"/>
        </w:rPr>
        <w:t>: Error</w:t>
      </w:r>
      <w:r w:rsidR="00B458AA" w:rsidRPr="00B458AA">
        <w:rPr>
          <w:rFonts w:cs="Arial"/>
          <w:i/>
          <w:iCs/>
          <w:sz w:val="24"/>
          <w:szCs w:val="24"/>
        </w:rPr>
        <w:t xml:space="preserve"> Modes and Stakeholder Impact</w:t>
      </w:r>
    </w:p>
    <w:tbl>
      <w:tblPr>
        <w:tblStyle w:val="TableGrid"/>
        <w:tblW w:w="0" w:type="auto"/>
        <w:tblLook w:val="04A0" w:firstRow="1" w:lastRow="0" w:firstColumn="1" w:lastColumn="0" w:noHBand="0" w:noVBand="1"/>
      </w:tblPr>
      <w:tblGrid>
        <w:gridCol w:w="2484"/>
        <w:gridCol w:w="2484"/>
        <w:gridCol w:w="2484"/>
        <w:gridCol w:w="2484"/>
      </w:tblGrid>
      <w:tr w:rsidR="00B458AA" w:rsidRPr="00624744" w14:paraId="1302984A" w14:textId="77777777" w:rsidTr="00C36510">
        <w:tc>
          <w:tcPr>
            <w:tcW w:w="2484" w:type="dxa"/>
            <w:shd w:val="clear" w:color="auto" w:fill="EAF2F8"/>
            <w:tcMar>
              <w:top w:w="80" w:type="dxa"/>
              <w:left w:w="100" w:type="dxa"/>
              <w:bottom w:w="80" w:type="dxa"/>
              <w:right w:w="100" w:type="dxa"/>
            </w:tcMar>
          </w:tcPr>
          <w:p w14:paraId="78CE7872" w14:textId="77777777" w:rsidR="00B458AA" w:rsidRPr="00624744" w:rsidRDefault="00B458AA" w:rsidP="00B458AA">
            <w:pPr>
              <w:jc w:val="both"/>
              <w:rPr>
                <w:rFonts w:cs="Arial"/>
                <w:sz w:val="24"/>
                <w:szCs w:val="24"/>
              </w:rPr>
            </w:pPr>
            <w:r w:rsidRPr="00624744">
              <w:rPr>
                <w:rFonts w:cs="Arial"/>
                <w:b/>
                <w:sz w:val="24"/>
                <w:szCs w:val="24"/>
              </w:rPr>
              <w:t>Failure mode</w:t>
            </w:r>
          </w:p>
        </w:tc>
        <w:tc>
          <w:tcPr>
            <w:tcW w:w="2484" w:type="dxa"/>
            <w:shd w:val="clear" w:color="auto" w:fill="EAF2F8"/>
            <w:tcMar>
              <w:top w:w="80" w:type="dxa"/>
              <w:left w:w="100" w:type="dxa"/>
              <w:bottom w:w="80" w:type="dxa"/>
              <w:right w:w="100" w:type="dxa"/>
            </w:tcMar>
          </w:tcPr>
          <w:p w14:paraId="23EF957E" w14:textId="77777777" w:rsidR="00B458AA" w:rsidRPr="00624744" w:rsidRDefault="00B458AA" w:rsidP="00B458AA">
            <w:pPr>
              <w:jc w:val="both"/>
              <w:rPr>
                <w:rFonts w:cs="Arial"/>
                <w:sz w:val="24"/>
                <w:szCs w:val="24"/>
              </w:rPr>
            </w:pPr>
            <w:r w:rsidRPr="00624744">
              <w:rPr>
                <w:rFonts w:cs="Arial"/>
                <w:b/>
                <w:sz w:val="24"/>
                <w:szCs w:val="24"/>
              </w:rPr>
              <w:t>Primary harm</w:t>
            </w:r>
          </w:p>
        </w:tc>
        <w:tc>
          <w:tcPr>
            <w:tcW w:w="2484" w:type="dxa"/>
            <w:shd w:val="clear" w:color="auto" w:fill="EAF2F8"/>
            <w:tcMar>
              <w:top w:w="80" w:type="dxa"/>
              <w:left w:w="100" w:type="dxa"/>
              <w:bottom w:w="80" w:type="dxa"/>
              <w:right w:w="100" w:type="dxa"/>
            </w:tcMar>
            <w:vAlign w:val="center"/>
          </w:tcPr>
          <w:p w14:paraId="3946C1CA" w14:textId="04910B53" w:rsidR="00B458AA" w:rsidRPr="00B458AA" w:rsidRDefault="00B458AA" w:rsidP="00B458AA">
            <w:pPr>
              <w:jc w:val="both"/>
              <w:rPr>
                <w:rFonts w:cs="Arial"/>
                <w:b/>
                <w:bCs/>
                <w:sz w:val="24"/>
                <w:szCs w:val="24"/>
              </w:rPr>
            </w:pPr>
            <w:r w:rsidRPr="00B458AA">
              <w:rPr>
                <w:rFonts w:cs="Arial"/>
                <w:b/>
                <w:bCs/>
                <w:sz w:val="24"/>
                <w:szCs w:val="24"/>
              </w:rPr>
              <w:t>Stakeholder most affected</w:t>
            </w:r>
          </w:p>
        </w:tc>
        <w:tc>
          <w:tcPr>
            <w:tcW w:w="2484" w:type="dxa"/>
            <w:shd w:val="clear" w:color="auto" w:fill="EAF2F8"/>
            <w:tcMar>
              <w:top w:w="80" w:type="dxa"/>
              <w:left w:w="100" w:type="dxa"/>
              <w:bottom w:w="80" w:type="dxa"/>
              <w:right w:w="100" w:type="dxa"/>
            </w:tcMar>
          </w:tcPr>
          <w:p w14:paraId="6A853301" w14:textId="77777777" w:rsidR="00B458AA" w:rsidRPr="00624744" w:rsidRDefault="00B458AA" w:rsidP="00B458AA">
            <w:pPr>
              <w:jc w:val="both"/>
              <w:rPr>
                <w:rFonts w:cs="Arial"/>
                <w:sz w:val="24"/>
                <w:szCs w:val="24"/>
              </w:rPr>
            </w:pPr>
            <w:r w:rsidRPr="00624744">
              <w:rPr>
                <w:rFonts w:cs="Arial"/>
                <w:b/>
                <w:sz w:val="24"/>
                <w:szCs w:val="24"/>
              </w:rPr>
              <w:t>Severity</w:t>
            </w:r>
          </w:p>
        </w:tc>
      </w:tr>
      <w:tr w:rsidR="00B458AA" w:rsidRPr="00624744" w14:paraId="6668E6E3" w14:textId="77777777" w:rsidTr="00B458AA">
        <w:tc>
          <w:tcPr>
            <w:tcW w:w="2484" w:type="dxa"/>
            <w:tcMar>
              <w:top w:w="80" w:type="dxa"/>
              <w:left w:w="100" w:type="dxa"/>
              <w:bottom w:w="80" w:type="dxa"/>
              <w:right w:w="100" w:type="dxa"/>
            </w:tcMar>
          </w:tcPr>
          <w:p w14:paraId="65990A13" w14:textId="77777777" w:rsidR="00B458AA" w:rsidRPr="00624744" w:rsidRDefault="00B458AA" w:rsidP="00B458AA">
            <w:pPr>
              <w:rPr>
                <w:rFonts w:cs="Arial"/>
                <w:sz w:val="24"/>
                <w:szCs w:val="24"/>
              </w:rPr>
            </w:pPr>
            <w:r w:rsidRPr="00624744">
              <w:rPr>
                <w:rFonts w:cs="Arial"/>
                <w:sz w:val="24"/>
                <w:szCs w:val="24"/>
              </w:rPr>
              <w:t>False negative (missed sanctions)</w:t>
            </w:r>
          </w:p>
        </w:tc>
        <w:tc>
          <w:tcPr>
            <w:tcW w:w="2484" w:type="dxa"/>
            <w:tcMar>
              <w:top w:w="80" w:type="dxa"/>
              <w:left w:w="100" w:type="dxa"/>
              <w:bottom w:w="80" w:type="dxa"/>
              <w:right w:w="100" w:type="dxa"/>
            </w:tcMar>
          </w:tcPr>
          <w:p w14:paraId="3B2467C6" w14:textId="35D2B580" w:rsidR="00B458AA" w:rsidRPr="00624744" w:rsidRDefault="00B458AA" w:rsidP="00B458AA">
            <w:pPr>
              <w:rPr>
                <w:rFonts w:cs="Arial"/>
                <w:sz w:val="24"/>
                <w:szCs w:val="24"/>
              </w:rPr>
            </w:pPr>
            <w:r w:rsidRPr="00B458AA">
              <w:rPr>
                <w:rFonts w:cs="Arial"/>
                <w:sz w:val="24"/>
                <w:szCs w:val="24"/>
              </w:rPr>
              <w:t>Missed sanctions or suspicious activity alert</w:t>
            </w:r>
          </w:p>
        </w:tc>
        <w:tc>
          <w:tcPr>
            <w:tcW w:w="2484" w:type="dxa"/>
            <w:tcMar>
              <w:top w:w="80" w:type="dxa"/>
              <w:left w:w="100" w:type="dxa"/>
              <w:bottom w:w="80" w:type="dxa"/>
              <w:right w:w="100" w:type="dxa"/>
            </w:tcMar>
          </w:tcPr>
          <w:p w14:paraId="7EADEDD8" w14:textId="792B28BB" w:rsidR="00B458AA" w:rsidRPr="00624744" w:rsidRDefault="00B458AA" w:rsidP="00B458AA">
            <w:pPr>
              <w:rPr>
                <w:rFonts w:cs="Arial"/>
                <w:sz w:val="24"/>
                <w:szCs w:val="24"/>
              </w:rPr>
            </w:pPr>
            <w:r w:rsidRPr="00B458AA">
              <w:rPr>
                <w:rFonts w:cs="Arial"/>
                <w:sz w:val="24"/>
                <w:szCs w:val="24"/>
              </w:rPr>
              <w:t>Bank</w:t>
            </w:r>
            <w:r>
              <w:rPr>
                <w:rFonts w:cs="Arial"/>
                <w:sz w:val="24"/>
                <w:szCs w:val="24"/>
              </w:rPr>
              <w:t xml:space="preserve"> </w:t>
            </w:r>
            <w:r w:rsidRPr="00B458AA">
              <w:rPr>
                <w:rFonts w:cs="Arial"/>
                <w:sz w:val="24"/>
                <w:szCs w:val="24"/>
              </w:rPr>
              <w:t>compliance leadership, shareholders</w:t>
            </w:r>
          </w:p>
        </w:tc>
        <w:tc>
          <w:tcPr>
            <w:tcW w:w="2484" w:type="dxa"/>
            <w:tcMar>
              <w:top w:w="80" w:type="dxa"/>
              <w:left w:w="100" w:type="dxa"/>
              <w:bottom w:w="80" w:type="dxa"/>
              <w:right w:w="100" w:type="dxa"/>
            </w:tcMar>
          </w:tcPr>
          <w:p w14:paraId="718A6C47" w14:textId="77777777" w:rsidR="00B458AA" w:rsidRPr="00624744" w:rsidRDefault="00B458AA" w:rsidP="00B458AA">
            <w:pPr>
              <w:rPr>
                <w:rFonts w:cs="Arial"/>
                <w:sz w:val="24"/>
                <w:szCs w:val="24"/>
              </w:rPr>
            </w:pPr>
            <w:r w:rsidRPr="00624744">
              <w:rPr>
                <w:rFonts w:cs="Arial"/>
                <w:sz w:val="24"/>
                <w:szCs w:val="24"/>
              </w:rPr>
              <w:t>Very high</w:t>
            </w:r>
          </w:p>
        </w:tc>
      </w:tr>
      <w:tr w:rsidR="00B458AA" w:rsidRPr="00624744" w14:paraId="3AA57AD7" w14:textId="77777777" w:rsidTr="00B458AA">
        <w:tc>
          <w:tcPr>
            <w:tcW w:w="2484" w:type="dxa"/>
            <w:tcMar>
              <w:top w:w="80" w:type="dxa"/>
              <w:left w:w="100" w:type="dxa"/>
              <w:bottom w:w="80" w:type="dxa"/>
              <w:right w:w="100" w:type="dxa"/>
            </w:tcMar>
          </w:tcPr>
          <w:p w14:paraId="616E7F7C" w14:textId="77777777" w:rsidR="00B458AA" w:rsidRPr="00624744" w:rsidRDefault="00B458AA" w:rsidP="00B458AA">
            <w:pPr>
              <w:rPr>
                <w:rFonts w:cs="Arial"/>
                <w:sz w:val="24"/>
                <w:szCs w:val="24"/>
              </w:rPr>
            </w:pPr>
            <w:r w:rsidRPr="00624744">
              <w:rPr>
                <w:rFonts w:cs="Arial"/>
                <w:sz w:val="24"/>
                <w:szCs w:val="24"/>
              </w:rPr>
              <w:t>False positive (over-alerting)</w:t>
            </w:r>
          </w:p>
        </w:tc>
        <w:tc>
          <w:tcPr>
            <w:tcW w:w="2484" w:type="dxa"/>
            <w:tcMar>
              <w:top w:w="80" w:type="dxa"/>
              <w:left w:w="100" w:type="dxa"/>
              <w:bottom w:w="80" w:type="dxa"/>
              <w:right w:w="100" w:type="dxa"/>
            </w:tcMar>
          </w:tcPr>
          <w:p w14:paraId="671D9CE6" w14:textId="5FB7095B" w:rsidR="00B458AA" w:rsidRPr="00624744" w:rsidRDefault="00B458AA" w:rsidP="00B458AA">
            <w:pPr>
              <w:rPr>
                <w:rFonts w:cs="Arial"/>
                <w:sz w:val="24"/>
                <w:szCs w:val="24"/>
              </w:rPr>
            </w:pPr>
            <w:r w:rsidRPr="00B458AA">
              <w:rPr>
                <w:rFonts w:cs="Arial"/>
                <w:sz w:val="24"/>
                <w:szCs w:val="24"/>
              </w:rPr>
              <w:t>Account restriction, customer harm, alert fatigue</w:t>
            </w:r>
          </w:p>
        </w:tc>
        <w:tc>
          <w:tcPr>
            <w:tcW w:w="2484" w:type="dxa"/>
            <w:tcMar>
              <w:top w:w="80" w:type="dxa"/>
              <w:left w:w="100" w:type="dxa"/>
              <w:bottom w:w="80" w:type="dxa"/>
              <w:right w:w="100" w:type="dxa"/>
            </w:tcMar>
          </w:tcPr>
          <w:p w14:paraId="7619101F" w14:textId="481CB4E2" w:rsidR="00B458AA" w:rsidRPr="00624744" w:rsidRDefault="00B458AA" w:rsidP="00B458AA">
            <w:pPr>
              <w:rPr>
                <w:rFonts w:cs="Arial"/>
                <w:sz w:val="24"/>
                <w:szCs w:val="24"/>
              </w:rPr>
            </w:pPr>
            <w:r w:rsidRPr="00B458AA">
              <w:rPr>
                <w:rFonts w:cs="Arial"/>
                <w:sz w:val="24"/>
                <w:szCs w:val="24"/>
              </w:rPr>
              <w:t>Customer and bank compliance staff</w:t>
            </w:r>
          </w:p>
        </w:tc>
        <w:tc>
          <w:tcPr>
            <w:tcW w:w="2484" w:type="dxa"/>
            <w:tcMar>
              <w:top w:w="80" w:type="dxa"/>
              <w:left w:w="100" w:type="dxa"/>
              <w:bottom w:w="80" w:type="dxa"/>
              <w:right w:w="100" w:type="dxa"/>
            </w:tcMar>
          </w:tcPr>
          <w:p w14:paraId="3A8C7D08" w14:textId="77777777" w:rsidR="00B458AA" w:rsidRPr="00624744" w:rsidRDefault="00B458AA" w:rsidP="00B458AA">
            <w:pPr>
              <w:rPr>
                <w:rFonts w:cs="Arial"/>
                <w:sz w:val="24"/>
                <w:szCs w:val="24"/>
              </w:rPr>
            </w:pPr>
            <w:r w:rsidRPr="00624744">
              <w:rPr>
                <w:rFonts w:cs="Arial"/>
                <w:sz w:val="24"/>
                <w:szCs w:val="24"/>
              </w:rPr>
              <w:t>Medium-high</w:t>
            </w:r>
          </w:p>
        </w:tc>
      </w:tr>
      <w:tr w:rsidR="0073144B" w:rsidRPr="00624744" w14:paraId="5B446A5B" w14:textId="77777777" w:rsidTr="0073144B">
        <w:tc>
          <w:tcPr>
            <w:tcW w:w="2484" w:type="dxa"/>
            <w:tcMar>
              <w:top w:w="80" w:type="dxa"/>
              <w:left w:w="100" w:type="dxa"/>
              <w:bottom w:w="80" w:type="dxa"/>
              <w:right w:w="100" w:type="dxa"/>
            </w:tcMar>
          </w:tcPr>
          <w:p w14:paraId="79666943" w14:textId="30654248" w:rsidR="0073144B" w:rsidRPr="00624744" w:rsidRDefault="0073144B" w:rsidP="0073144B">
            <w:pPr>
              <w:rPr>
                <w:rFonts w:cs="Arial"/>
                <w:sz w:val="24"/>
                <w:szCs w:val="24"/>
              </w:rPr>
            </w:pPr>
            <w:r w:rsidRPr="00B458AA">
              <w:rPr>
                <w:rFonts w:cs="Arial"/>
                <w:sz w:val="24"/>
                <w:szCs w:val="24"/>
              </w:rPr>
              <w:t>Performance drift</w:t>
            </w:r>
          </w:p>
        </w:tc>
        <w:tc>
          <w:tcPr>
            <w:tcW w:w="2484" w:type="dxa"/>
            <w:tcMar>
              <w:top w:w="80" w:type="dxa"/>
              <w:left w:w="100" w:type="dxa"/>
              <w:bottom w:w="80" w:type="dxa"/>
              <w:right w:w="100" w:type="dxa"/>
            </w:tcMar>
          </w:tcPr>
          <w:p w14:paraId="68E12367" w14:textId="73B796FF" w:rsidR="0073144B" w:rsidRPr="00624744" w:rsidRDefault="0073144B" w:rsidP="0073144B">
            <w:pPr>
              <w:rPr>
                <w:rFonts w:cs="Arial"/>
                <w:sz w:val="24"/>
                <w:szCs w:val="24"/>
              </w:rPr>
            </w:pPr>
            <w:r w:rsidRPr="00B458AA">
              <w:rPr>
                <w:rFonts w:cs="Arial"/>
                <w:sz w:val="24"/>
                <w:szCs w:val="24"/>
              </w:rPr>
              <w:t xml:space="preserve">Misleading dashboards and </w:t>
            </w:r>
            <w:proofErr w:type="spellStart"/>
            <w:r w:rsidRPr="00B458AA">
              <w:rPr>
                <w:rFonts w:cs="Arial"/>
                <w:sz w:val="24"/>
                <w:szCs w:val="24"/>
              </w:rPr>
              <w:t>prioritisation</w:t>
            </w:r>
            <w:proofErr w:type="spellEnd"/>
            <w:r w:rsidRPr="00B458AA">
              <w:rPr>
                <w:rFonts w:cs="Arial"/>
                <w:sz w:val="24"/>
                <w:szCs w:val="24"/>
              </w:rPr>
              <w:t xml:space="preserve"> errors</w:t>
            </w:r>
          </w:p>
        </w:tc>
        <w:tc>
          <w:tcPr>
            <w:tcW w:w="2484" w:type="dxa"/>
            <w:tcMar>
              <w:top w:w="80" w:type="dxa"/>
              <w:left w:w="100" w:type="dxa"/>
              <w:bottom w:w="80" w:type="dxa"/>
              <w:right w:w="100" w:type="dxa"/>
            </w:tcMar>
          </w:tcPr>
          <w:p w14:paraId="20180E32" w14:textId="640AC0BB" w:rsidR="0073144B" w:rsidRPr="00624744" w:rsidRDefault="0073144B" w:rsidP="0073144B">
            <w:pPr>
              <w:rPr>
                <w:rFonts w:cs="Arial"/>
                <w:sz w:val="24"/>
                <w:szCs w:val="24"/>
              </w:rPr>
            </w:pPr>
            <w:r w:rsidRPr="00B458AA">
              <w:rPr>
                <w:rFonts w:cs="Arial"/>
                <w:sz w:val="24"/>
                <w:szCs w:val="24"/>
              </w:rPr>
              <w:t xml:space="preserve">Bank and </w:t>
            </w:r>
            <w:proofErr w:type="spellStart"/>
            <w:r w:rsidRPr="00B458AA">
              <w:rPr>
                <w:rFonts w:cs="Arial"/>
                <w:sz w:val="24"/>
                <w:szCs w:val="24"/>
              </w:rPr>
              <w:t>JurisCom</w:t>
            </w:r>
            <w:proofErr w:type="spellEnd"/>
          </w:p>
        </w:tc>
        <w:tc>
          <w:tcPr>
            <w:tcW w:w="2484" w:type="dxa"/>
            <w:tcMar>
              <w:top w:w="80" w:type="dxa"/>
              <w:left w:w="100" w:type="dxa"/>
              <w:bottom w:w="80" w:type="dxa"/>
              <w:right w:w="100" w:type="dxa"/>
            </w:tcMar>
          </w:tcPr>
          <w:p w14:paraId="55E55D98" w14:textId="4B366816" w:rsidR="0073144B" w:rsidRPr="00624744" w:rsidRDefault="0073144B" w:rsidP="0073144B">
            <w:pPr>
              <w:rPr>
                <w:rFonts w:cs="Arial"/>
                <w:sz w:val="24"/>
                <w:szCs w:val="24"/>
              </w:rPr>
            </w:pPr>
            <w:r w:rsidRPr="00B458AA">
              <w:rPr>
                <w:rFonts w:cs="Arial"/>
                <w:sz w:val="24"/>
                <w:szCs w:val="24"/>
              </w:rPr>
              <w:t>Medium</w:t>
            </w:r>
          </w:p>
        </w:tc>
      </w:tr>
      <w:tr w:rsidR="0073144B" w:rsidRPr="00624744" w14:paraId="20603485" w14:textId="77777777" w:rsidTr="0073144B">
        <w:tc>
          <w:tcPr>
            <w:tcW w:w="2484" w:type="dxa"/>
            <w:tcMar>
              <w:top w:w="80" w:type="dxa"/>
              <w:left w:w="100" w:type="dxa"/>
              <w:bottom w:w="80" w:type="dxa"/>
              <w:right w:w="100" w:type="dxa"/>
            </w:tcMar>
          </w:tcPr>
          <w:p w14:paraId="6AB1129A" w14:textId="270F746C" w:rsidR="0073144B" w:rsidRPr="00624744" w:rsidRDefault="0073144B" w:rsidP="0073144B">
            <w:pPr>
              <w:rPr>
                <w:rFonts w:cs="Arial"/>
                <w:sz w:val="24"/>
                <w:szCs w:val="24"/>
              </w:rPr>
            </w:pPr>
            <w:r w:rsidRPr="00B458AA">
              <w:rPr>
                <w:rFonts w:cs="Arial"/>
                <w:sz w:val="24"/>
                <w:szCs w:val="24"/>
              </w:rPr>
              <w:t>Jurisdictional misconfiguration</w:t>
            </w:r>
          </w:p>
        </w:tc>
        <w:tc>
          <w:tcPr>
            <w:tcW w:w="2484" w:type="dxa"/>
            <w:tcMar>
              <w:top w:w="80" w:type="dxa"/>
              <w:left w:w="100" w:type="dxa"/>
              <w:bottom w:w="80" w:type="dxa"/>
              <w:right w:w="100" w:type="dxa"/>
            </w:tcMar>
          </w:tcPr>
          <w:p w14:paraId="26238D37" w14:textId="5E823F94" w:rsidR="0073144B" w:rsidRPr="00624744" w:rsidRDefault="0073144B" w:rsidP="0073144B">
            <w:pPr>
              <w:rPr>
                <w:rFonts w:cs="Arial"/>
                <w:sz w:val="24"/>
                <w:szCs w:val="24"/>
              </w:rPr>
            </w:pPr>
            <w:r w:rsidRPr="00B458AA">
              <w:rPr>
                <w:rFonts w:cs="Arial"/>
                <w:sz w:val="24"/>
                <w:szCs w:val="24"/>
              </w:rPr>
              <w:t>Application of obsolete regulatory thresholds</w:t>
            </w:r>
          </w:p>
        </w:tc>
        <w:tc>
          <w:tcPr>
            <w:tcW w:w="2484" w:type="dxa"/>
            <w:tcMar>
              <w:top w:w="80" w:type="dxa"/>
              <w:left w:w="100" w:type="dxa"/>
              <w:bottom w:w="80" w:type="dxa"/>
              <w:right w:w="100" w:type="dxa"/>
            </w:tcMar>
          </w:tcPr>
          <w:p w14:paraId="3CED46B4" w14:textId="0C7696E4" w:rsidR="0073144B" w:rsidRPr="00624744" w:rsidRDefault="0073144B" w:rsidP="0073144B">
            <w:pPr>
              <w:rPr>
                <w:rFonts w:cs="Arial"/>
                <w:sz w:val="24"/>
                <w:szCs w:val="24"/>
              </w:rPr>
            </w:pPr>
            <w:r w:rsidRPr="00B458AA">
              <w:rPr>
                <w:rFonts w:cs="Arial"/>
                <w:sz w:val="24"/>
                <w:szCs w:val="24"/>
              </w:rPr>
              <w:t xml:space="preserve">Bank primarily; </w:t>
            </w:r>
            <w:proofErr w:type="spellStart"/>
            <w:r w:rsidRPr="00B458AA">
              <w:rPr>
                <w:rFonts w:cs="Arial"/>
                <w:sz w:val="24"/>
                <w:szCs w:val="24"/>
              </w:rPr>
              <w:t>JurisCom</w:t>
            </w:r>
            <w:proofErr w:type="spellEnd"/>
            <w:r w:rsidRPr="00B458AA">
              <w:rPr>
                <w:rFonts w:cs="Arial"/>
                <w:sz w:val="24"/>
                <w:szCs w:val="24"/>
              </w:rPr>
              <w:t xml:space="preserve"> secondarily</w:t>
            </w:r>
          </w:p>
        </w:tc>
        <w:tc>
          <w:tcPr>
            <w:tcW w:w="2484" w:type="dxa"/>
            <w:tcMar>
              <w:top w:w="80" w:type="dxa"/>
              <w:left w:w="100" w:type="dxa"/>
              <w:bottom w:w="80" w:type="dxa"/>
              <w:right w:w="100" w:type="dxa"/>
            </w:tcMar>
          </w:tcPr>
          <w:p w14:paraId="75BE4B6B" w14:textId="313A5F02" w:rsidR="0073144B" w:rsidRPr="00624744" w:rsidRDefault="0073144B" w:rsidP="0073144B">
            <w:pPr>
              <w:rPr>
                <w:rFonts w:cs="Arial"/>
                <w:sz w:val="24"/>
                <w:szCs w:val="24"/>
              </w:rPr>
            </w:pPr>
            <w:r w:rsidRPr="00B458AA">
              <w:rPr>
                <w:rFonts w:cs="Arial"/>
                <w:sz w:val="24"/>
                <w:szCs w:val="24"/>
              </w:rPr>
              <w:t>High</w:t>
            </w:r>
          </w:p>
        </w:tc>
      </w:tr>
      <w:tr w:rsidR="0073144B" w:rsidRPr="00624744" w14:paraId="18561AC1" w14:textId="77777777" w:rsidTr="0073144B">
        <w:tc>
          <w:tcPr>
            <w:tcW w:w="2484" w:type="dxa"/>
            <w:tcMar>
              <w:top w:w="80" w:type="dxa"/>
              <w:left w:w="100" w:type="dxa"/>
              <w:bottom w:w="80" w:type="dxa"/>
              <w:right w:w="100" w:type="dxa"/>
            </w:tcMar>
          </w:tcPr>
          <w:p w14:paraId="25CB947B" w14:textId="7FCD50A4" w:rsidR="0073144B" w:rsidRPr="00624744" w:rsidRDefault="0073144B" w:rsidP="0073144B">
            <w:pPr>
              <w:rPr>
                <w:rFonts w:cs="Arial"/>
                <w:sz w:val="24"/>
                <w:szCs w:val="24"/>
              </w:rPr>
            </w:pPr>
            <w:r w:rsidRPr="00B458AA">
              <w:rPr>
                <w:rFonts w:cs="Arial"/>
                <w:sz w:val="24"/>
                <w:szCs w:val="24"/>
              </w:rPr>
              <w:t>Novel typology not covered</w:t>
            </w:r>
          </w:p>
        </w:tc>
        <w:tc>
          <w:tcPr>
            <w:tcW w:w="2484" w:type="dxa"/>
            <w:tcMar>
              <w:top w:w="80" w:type="dxa"/>
              <w:left w:w="100" w:type="dxa"/>
              <w:bottom w:w="80" w:type="dxa"/>
              <w:right w:w="100" w:type="dxa"/>
            </w:tcMar>
          </w:tcPr>
          <w:p w14:paraId="0E0BF513" w14:textId="27D00270" w:rsidR="0073144B" w:rsidRPr="00624744" w:rsidRDefault="0073144B" w:rsidP="0073144B">
            <w:pPr>
              <w:rPr>
                <w:rFonts w:cs="Arial"/>
                <w:sz w:val="24"/>
                <w:szCs w:val="24"/>
              </w:rPr>
            </w:pPr>
            <w:r w:rsidRPr="00B458AA">
              <w:rPr>
                <w:rFonts w:cs="Arial"/>
                <w:sz w:val="24"/>
                <w:szCs w:val="24"/>
              </w:rPr>
              <w:t>Missed emerging laundering pattern</w:t>
            </w:r>
          </w:p>
        </w:tc>
        <w:tc>
          <w:tcPr>
            <w:tcW w:w="2484" w:type="dxa"/>
            <w:tcMar>
              <w:top w:w="80" w:type="dxa"/>
              <w:left w:w="100" w:type="dxa"/>
              <w:bottom w:w="80" w:type="dxa"/>
              <w:right w:w="100" w:type="dxa"/>
            </w:tcMar>
          </w:tcPr>
          <w:p w14:paraId="7BC58AD4" w14:textId="2CE7ADC8" w:rsidR="0073144B" w:rsidRPr="00624744" w:rsidRDefault="0073144B" w:rsidP="0073144B">
            <w:pPr>
              <w:rPr>
                <w:rFonts w:cs="Arial"/>
                <w:sz w:val="24"/>
                <w:szCs w:val="24"/>
              </w:rPr>
            </w:pPr>
            <w:r w:rsidRPr="00B458AA">
              <w:rPr>
                <w:rFonts w:cs="Arial"/>
                <w:sz w:val="24"/>
                <w:szCs w:val="24"/>
              </w:rPr>
              <w:t>Bank and wider public</w:t>
            </w:r>
          </w:p>
        </w:tc>
        <w:tc>
          <w:tcPr>
            <w:tcW w:w="2484" w:type="dxa"/>
            <w:tcMar>
              <w:top w:w="80" w:type="dxa"/>
              <w:left w:w="100" w:type="dxa"/>
              <w:bottom w:w="80" w:type="dxa"/>
              <w:right w:w="100" w:type="dxa"/>
            </w:tcMar>
          </w:tcPr>
          <w:p w14:paraId="646BD84E" w14:textId="2F8931B7" w:rsidR="0073144B" w:rsidRPr="00624744" w:rsidRDefault="0073144B" w:rsidP="0073144B">
            <w:pPr>
              <w:rPr>
                <w:rFonts w:cs="Arial"/>
                <w:sz w:val="24"/>
                <w:szCs w:val="24"/>
              </w:rPr>
            </w:pPr>
            <w:r w:rsidRPr="00B458AA">
              <w:rPr>
                <w:rFonts w:cs="Arial"/>
                <w:sz w:val="24"/>
                <w:szCs w:val="24"/>
              </w:rPr>
              <w:t>High</w:t>
            </w:r>
          </w:p>
        </w:tc>
      </w:tr>
    </w:tbl>
    <w:p w14:paraId="046CF03B" w14:textId="7267A9BA" w:rsidR="00E70B72" w:rsidRDefault="00E70B72" w:rsidP="00B458AA">
      <w:pPr>
        <w:spacing w:after="120"/>
        <w:jc w:val="both"/>
        <w:rPr>
          <w:rFonts w:cs="Arial"/>
          <w:sz w:val="24"/>
          <w:szCs w:val="24"/>
        </w:rPr>
      </w:pPr>
    </w:p>
    <w:p w14:paraId="0DE72C20" w14:textId="77777777" w:rsidR="00E70B72" w:rsidRDefault="00E70B72">
      <w:pPr>
        <w:rPr>
          <w:rFonts w:cs="Arial"/>
          <w:sz w:val="24"/>
          <w:szCs w:val="24"/>
        </w:rPr>
      </w:pPr>
      <w:r>
        <w:rPr>
          <w:rFonts w:cs="Arial"/>
          <w:sz w:val="24"/>
          <w:szCs w:val="24"/>
        </w:rPr>
        <w:br w:type="page"/>
      </w:r>
    </w:p>
    <w:p w14:paraId="5EFD21AE" w14:textId="77777777" w:rsidR="00B458AA" w:rsidRPr="00B458AA" w:rsidRDefault="00B458AA" w:rsidP="00B458AA">
      <w:pPr>
        <w:spacing w:after="120"/>
        <w:jc w:val="both"/>
        <w:rPr>
          <w:rFonts w:cs="Arial"/>
          <w:b/>
          <w:bCs/>
          <w:sz w:val="24"/>
          <w:szCs w:val="24"/>
        </w:rPr>
      </w:pPr>
      <w:r w:rsidRPr="00B458AA">
        <w:rPr>
          <w:rFonts w:cs="Arial"/>
          <w:b/>
          <w:bCs/>
          <w:sz w:val="24"/>
          <w:szCs w:val="24"/>
        </w:rPr>
        <w:lastRenderedPageBreak/>
        <w:t>Governance Response</w:t>
      </w:r>
    </w:p>
    <w:p w14:paraId="3001EFAC" w14:textId="77777777" w:rsidR="00B458AA" w:rsidRPr="00B458AA" w:rsidRDefault="00B458AA" w:rsidP="00B458AA">
      <w:pPr>
        <w:spacing w:after="120"/>
        <w:jc w:val="both"/>
        <w:rPr>
          <w:rFonts w:cs="Arial"/>
          <w:sz w:val="24"/>
          <w:szCs w:val="24"/>
        </w:rPr>
      </w:pPr>
      <w:proofErr w:type="spellStart"/>
      <w:r w:rsidRPr="00B458AA">
        <w:rPr>
          <w:rFonts w:cs="Arial"/>
          <w:sz w:val="24"/>
          <w:szCs w:val="24"/>
        </w:rPr>
        <w:t>JurisCom’s</w:t>
      </w:r>
      <w:proofErr w:type="spellEnd"/>
      <w:r w:rsidRPr="00B458AA">
        <w:rPr>
          <w:rFonts w:cs="Arial"/>
          <w:sz w:val="24"/>
          <w:szCs w:val="24"/>
        </w:rPr>
        <w:t xml:space="preserve"> governance response is to commit to a monthly regulatory configuration review cycle and an emergency update process for material regulatory changes. However, the company recognises that a six-week deployment cycle is too slow for regulatory changes with short implementation windows. A mature production version would need stronger regulatory horizon scanning, client notification controls, automated configuration testing, approval workflows, and rollback functionality.</w:t>
      </w:r>
    </w:p>
    <w:p w14:paraId="55545CB2" w14:textId="77777777" w:rsidR="00B458AA" w:rsidRDefault="00B458AA" w:rsidP="00B458AA">
      <w:pPr>
        <w:spacing w:after="120"/>
        <w:jc w:val="both"/>
        <w:rPr>
          <w:rFonts w:cs="Arial"/>
          <w:sz w:val="24"/>
          <w:szCs w:val="24"/>
        </w:rPr>
      </w:pPr>
      <w:r w:rsidRPr="00B458AA">
        <w:rPr>
          <w:rFonts w:cs="Arial"/>
          <w:sz w:val="24"/>
          <w:szCs w:val="24"/>
        </w:rPr>
        <w:t xml:space="preserve">The company’s governance posture must also address third-party and model-risk expectations. Although </w:t>
      </w:r>
      <w:proofErr w:type="spellStart"/>
      <w:r w:rsidRPr="00B458AA">
        <w:rPr>
          <w:rFonts w:cs="Arial"/>
          <w:sz w:val="24"/>
          <w:szCs w:val="24"/>
        </w:rPr>
        <w:t>JurisCom’s</w:t>
      </w:r>
      <w:proofErr w:type="spellEnd"/>
      <w:r w:rsidRPr="00B458AA">
        <w:rPr>
          <w:rFonts w:cs="Arial"/>
          <w:sz w:val="24"/>
          <w:szCs w:val="24"/>
        </w:rPr>
        <w:t xml:space="preserve"> core product is rules-based, financial institutions using the tool must still evidence that vendor-provided systems are fit for purpose, properly controlled, monitored, and subject to appropriate challenge. This is consistent with supervisory expectations that banks remain accountable for models, systems, and third-party products used in risk management (MAS, 2024; OCC, 2026).</w:t>
      </w:r>
    </w:p>
    <w:p w14:paraId="4D6A9B83" w14:textId="77777777" w:rsidR="00BD2806" w:rsidRPr="00B458AA" w:rsidRDefault="00BD2806" w:rsidP="00B458AA">
      <w:pPr>
        <w:spacing w:after="120"/>
        <w:jc w:val="both"/>
        <w:rPr>
          <w:rFonts w:cs="Arial"/>
          <w:sz w:val="24"/>
          <w:szCs w:val="24"/>
        </w:rPr>
      </w:pPr>
    </w:p>
    <w:p w14:paraId="2074EFE2" w14:textId="77777777" w:rsidR="00B458AA" w:rsidRPr="00B458AA" w:rsidRDefault="00B458AA" w:rsidP="00B458AA">
      <w:pPr>
        <w:spacing w:after="120"/>
        <w:jc w:val="both"/>
        <w:rPr>
          <w:rFonts w:cs="Arial"/>
          <w:b/>
          <w:bCs/>
          <w:sz w:val="24"/>
          <w:szCs w:val="24"/>
        </w:rPr>
      </w:pPr>
      <w:r w:rsidRPr="00B458AA">
        <w:rPr>
          <w:rFonts w:cs="Arial"/>
          <w:b/>
          <w:bCs/>
          <w:sz w:val="24"/>
          <w:szCs w:val="24"/>
        </w:rPr>
        <w:t>Conclusion</w:t>
      </w:r>
    </w:p>
    <w:p w14:paraId="41237510" w14:textId="77777777" w:rsidR="00B458AA" w:rsidRPr="00B458AA" w:rsidRDefault="00B458AA" w:rsidP="00B458AA">
      <w:pPr>
        <w:spacing w:after="120"/>
        <w:jc w:val="both"/>
        <w:rPr>
          <w:rFonts w:cs="Arial"/>
          <w:sz w:val="24"/>
          <w:szCs w:val="24"/>
        </w:rPr>
      </w:pPr>
      <w:proofErr w:type="spellStart"/>
      <w:r w:rsidRPr="00B458AA">
        <w:rPr>
          <w:rFonts w:cs="Arial"/>
          <w:sz w:val="24"/>
          <w:szCs w:val="24"/>
        </w:rPr>
        <w:t>JurisCom</w:t>
      </w:r>
      <w:proofErr w:type="spellEnd"/>
      <w:r w:rsidRPr="00B458AA">
        <w:rPr>
          <w:rFonts w:cs="Arial"/>
          <w:sz w:val="24"/>
          <w:szCs w:val="24"/>
        </w:rPr>
        <w:t xml:space="preserve"> </w:t>
      </w:r>
      <w:proofErr w:type="spellStart"/>
      <w:r w:rsidRPr="00B458AA">
        <w:rPr>
          <w:rFonts w:cs="Arial"/>
          <w:sz w:val="24"/>
          <w:szCs w:val="24"/>
        </w:rPr>
        <w:t>RegTech’s</w:t>
      </w:r>
      <w:proofErr w:type="spellEnd"/>
      <w:r w:rsidRPr="00B458AA">
        <w:rPr>
          <w:rFonts w:cs="Arial"/>
          <w:sz w:val="24"/>
          <w:szCs w:val="24"/>
        </w:rPr>
        <w:t xml:space="preserve"> values audit demonstrates that a jurisdiction-aware compliance tool can provide meaningful value by translating regulatory differences into transparent, version-controlled configurations. The company’s mission is commercially narrow but substantively defensible: it does not attempt to replace enterprise financial-crime platforms, sanctions data providers, or graph analytics systems. Instead, it focuses on the gap between legal interpretation and operational rule execution.</w:t>
      </w:r>
    </w:p>
    <w:p w14:paraId="084EB6FD" w14:textId="77777777" w:rsidR="00B458AA" w:rsidRPr="00B458AA" w:rsidRDefault="00B458AA" w:rsidP="00B458AA">
      <w:pPr>
        <w:spacing w:after="120"/>
        <w:jc w:val="both"/>
        <w:rPr>
          <w:rFonts w:cs="Arial"/>
          <w:sz w:val="24"/>
          <w:szCs w:val="24"/>
        </w:rPr>
      </w:pPr>
      <w:r w:rsidRPr="00B458AA">
        <w:rPr>
          <w:rFonts w:cs="Arial"/>
          <w:sz w:val="24"/>
          <w:szCs w:val="24"/>
        </w:rPr>
        <w:t>The audit also identifies significant tensions. The paying client wants fewer false positives and faster implementation, while regulators expect comprehensive coverage and reliable evidence. Consumers may be harmed by over-alerting, account restrictions, and opaque reporting processes. The public benefits from effective financial-crime detection but may also bear the cost of surveillance expansion if compliance tools are poorly governed.</w:t>
      </w:r>
    </w:p>
    <w:p w14:paraId="4ECEC906" w14:textId="77777777" w:rsidR="00B458AA" w:rsidRPr="00B458AA" w:rsidRDefault="00B458AA" w:rsidP="00B458AA">
      <w:pPr>
        <w:spacing w:after="120"/>
        <w:jc w:val="both"/>
        <w:rPr>
          <w:rFonts w:cs="Arial"/>
          <w:sz w:val="24"/>
          <w:szCs w:val="24"/>
        </w:rPr>
      </w:pPr>
      <w:r w:rsidRPr="00B458AA">
        <w:rPr>
          <w:rFonts w:cs="Arial"/>
          <w:sz w:val="24"/>
          <w:szCs w:val="24"/>
        </w:rPr>
        <w:t xml:space="preserve">Overall, </w:t>
      </w:r>
      <w:proofErr w:type="spellStart"/>
      <w:r w:rsidRPr="00B458AA">
        <w:rPr>
          <w:rFonts w:cs="Arial"/>
          <w:sz w:val="24"/>
          <w:szCs w:val="24"/>
        </w:rPr>
        <w:t>JurisCom’s</w:t>
      </w:r>
      <w:proofErr w:type="spellEnd"/>
      <w:r w:rsidRPr="00B458AA">
        <w:rPr>
          <w:rFonts w:cs="Arial"/>
          <w:sz w:val="24"/>
          <w:szCs w:val="24"/>
        </w:rPr>
        <w:t xml:space="preserve"> ethical defensibility depends on whether it maintains a disciplined product boundary. Its strongest position is as an explainable, jurisdiction-specific rule layer that supports compliance judgement. Its weakest position would be to overstate its capabilities, particularly in machine-learning typology detection, real-time payment blocking, or broad multi-jurisdictional coverage. A credible production roadmap must therefore prioritise regulatory accuracy, transparent configuration governance, false-positive management, and clear allocation of human accountability.</w:t>
      </w:r>
    </w:p>
    <w:p w14:paraId="4B6423B4" w14:textId="77777777" w:rsidR="00624744" w:rsidRPr="00624744" w:rsidRDefault="00624744">
      <w:pPr>
        <w:rPr>
          <w:rFonts w:cs="Arial"/>
          <w:sz w:val="24"/>
          <w:szCs w:val="24"/>
        </w:rPr>
      </w:pPr>
      <w:r w:rsidRPr="00624744">
        <w:rPr>
          <w:rFonts w:cs="Arial"/>
          <w:sz w:val="24"/>
          <w:szCs w:val="24"/>
        </w:rPr>
        <w:br w:type="page"/>
      </w:r>
    </w:p>
    <w:p w14:paraId="604241FA" w14:textId="77777777" w:rsidR="00624744" w:rsidRPr="00B9323E" w:rsidRDefault="00624744" w:rsidP="00624744">
      <w:pPr>
        <w:spacing w:after="160" w:line="278" w:lineRule="auto"/>
        <w:rPr>
          <w:rFonts w:cs="Arial"/>
          <w:b/>
          <w:bCs/>
          <w:sz w:val="24"/>
          <w:szCs w:val="24"/>
        </w:rPr>
      </w:pPr>
      <w:r w:rsidRPr="00B9323E">
        <w:rPr>
          <w:rFonts w:cs="Arial"/>
          <w:b/>
          <w:bCs/>
          <w:sz w:val="24"/>
          <w:szCs w:val="24"/>
        </w:rPr>
        <w:lastRenderedPageBreak/>
        <w:t>References</w:t>
      </w:r>
    </w:p>
    <w:p w14:paraId="68E9F6E0" w14:textId="77777777" w:rsidR="00624744" w:rsidRPr="00B9323E" w:rsidRDefault="00624744" w:rsidP="00624744">
      <w:pPr>
        <w:spacing w:after="160" w:line="278" w:lineRule="auto"/>
        <w:rPr>
          <w:rFonts w:cs="Arial"/>
          <w:sz w:val="24"/>
          <w:szCs w:val="24"/>
        </w:rPr>
      </w:pPr>
      <w:r w:rsidRPr="00B9323E">
        <w:rPr>
          <w:rFonts w:cs="Arial"/>
          <w:sz w:val="24"/>
          <w:szCs w:val="24"/>
        </w:rPr>
        <w:t xml:space="preserve">Board of Governors of the Federal Reserve System. (2026). </w:t>
      </w:r>
      <w:r w:rsidRPr="00B9323E">
        <w:rPr>
          <w:rFonts w:cs="Arial"/>
          <w:i/>
          <w:iCs/>
          <w:sz w:val="24"/>
          <w:szCs w:val="24"/>
        </w:rPr>
        <w:t>Structure and share data for U.S. banking offices of foreign entities</w:t>
      </w:r>
      <w:r w:rsidRPr="00B9323E">
        <w:rPr>
          <w:rFonts w:cs="Arial"/>
          <w:sz w:val="24"/>
          <w:szCs w:val="24"/>
        </w:rPr>
        <w:t xml:space="preserve">. </w:t>
      </w:r>
      <w:hyperlink r:id="rId8" w:history="1">
        <w:r w:rsidRPr="00B9323E">
          <w:rPr>
            <w:rStyle w:val="Hyperlink"/>
            <w:rFonts w:cs="Arial"/>
            <w:sz w:val="24"/>
            <w:szCs w:val="24"/>
          </w:rPr>
          <w:t>https://www.federalreserve.gov/releases/iba/</w:t>
        </w:r>
      </w:hyperlink>
    </w:p>
    <w:p w14:paraId="72B0CE28" w14:textId="77777777" w:rsidR="00624744" w:rsidRPr="00B9323E" w:rsidRDefault="00624744" w:rsidP="00624744">
      <w:pPr>
        <w:spacing w:after="160" w:line="278" w:lineRule="auto"/>
        <w:rPr>
          <w:rFonts w:cs="Arial"/>
          <w:sz w:val="24"/>
          <w:szCs w:val="24"/>
        </w:rPr>
      </w:pPr>
      <w:proofErr w:type="spellStart"/>
      <w:r w:rsidRPr="00B9323E">
        <w:rPr>
          <w:rFonts w:cs="Arial"/>
          <w:sz w:val="24"/>
          <w:szCs w:val="24"/>
        </w:rPr>
        <w:t>Chartis</w:t>
      </w:r>
      <w:proofErr w:type="spellEnd"/>
      <w:r w:rsidRPr="00B9323E">
        <w:rPr>
          <w:rFonts w:cs="Arial"/>
          <w:sz w:val="24"/>
          <w:szCs w:val="24"/>
        </w:rPr>
        <w:t xml:space="preserve"> Research. (2023). </w:t>
      </w:r>
      <w:r w:rsidRPr="00B9323E">
        <w:rPr>
          <w:rFonts w:cs="Arial"/>
          <w:i/>
          <w:iCs/>
          <w:sz w:val="24"/>
          <w:szCs w:val="24"/>
        </w:rPr>
        <w:t>RiskTech100® 2024</w:t>
      </w:r>
      <w:r w:rsidRPr="00B9323E">
        <w:rPr>
          <w:rFonts w:cs="Arial"/>
          <w:sz w:val="24"/>
          <w:szCs w:val="24"/>
        </w:rPr>
        <w:t xml:space="preserve">. </w:t>
      </w:r>
      <w:hyperlink r:id="rId9" w:history="1">
        <w:r w:rsidRPr="00B9323E">
          <w:rPr>
            <w:rStyle w:val="Hyperlink"/>
            <w:rFonts w:cs="Arial"/>
            <w:sz w:val="24"/>
            <w:szCs w:val="24"/>
          </w:rPr>
          <w:t>https://www.chartis-research.com/data/7947011/risktech100%C2%AE-2024</w:t>
        </w:r>
      </w:hyperlink>
    </w:p>
    <w:p w14:paraId="03E1CC1F" w14:textId="77777777" w:rsidR="00624744" w:rsidRPr="00B9323E" w:rsidRDefault="00624744" w:rsidP="00624744">
      <w:pPr>
        <w:spacing w:after="160" w:line="278" w:lineRule="auto"/>
        <w:rPr>
          <w:rFonts w:cs="Arial"/>
          <w:sz w:val="24"/>
          <w:szCs w:val="24"/>
        </w:rPr>
      </w:pPr>
      <w:r w:rsidRPr="00B9323E">
        <w:rPr>
          <w:rFonts w:cs="Arial"/>
          <w:sz w:val="24"/>
          <w:szCs w:val="24"/>
        </w:rPr>
        <w:t xml:space="preserve">London Stock Exchange Group. (2023). </w:t>
      </w:r>
      <w:r w:rsidRPr="00B9323E">
        <w:rPr>
          <w:rFonts w:cs="Arial"/>
          <w:i/>
          <w:iCs/>
          <w:sz w:val="24"/>
          <w:szCs w:val="24"/>
        </w:rPr>
        <w:t>Cost of compliance report 2023</w:t>
      </w:r>
      <w:r w:rsidRPr="00B9323E">
        <w:rPr>
          <w:rFonts w:cs="Arial"/>
          <w:sz w:val="24"/>
          <w:szCs w:val="24"/>
        </w:rPr>
        <w:t>. LSEG Risk Intelligence.</w:t>
      </w:r>
    </w:p>
    <w:p w14:paraId="086070D8" w14:textId="77777777" w:rsidR="00624744" w:rsidRPr="00B9323E" w:rsidRDefault="00624744" w:rsidP="00624744">
      <w:pPr>
        <w:spacing w:after="160" w:line="278" w:lineRule="auto"/>
        <w:rPr>
          <w:rFonts w:cs="Arial"/>
          <w:sz w:val="24"/>
          <w:szCs w:val="24"/>
        </w:rPr>
      </w:pPr>
      <w:r w:rsidRPr="00B9323E">
        <w:rPr>
          <w:rFonts w:cs="Arial"/>
          <w:sz w:val="24"/>
          <w:szCs w:val="24"/>
        </w:rPr>
        <w:t xml:space="preserve">Monetary Authority of Singapore. (n.d.). </w:t>
      </w:r>
      <w:r w:rsidRPr="00B9323E">
        <w:rPr>
          <w:rFonts w:cs="Arial"/>
          <w:i/>
          <w:iCs/>
          <w:sz w:val="24"/>
          <w:szCs w:val="24"/>
        </w:rPr>
        <w:t>Financial institutions directory</w:t>
      </w:r>
      <w:r w:rsidRPr="00B9323E">
        <w:rPr>
          <w:rFonts w:cs="Arial"/>
          <w:sz w:val="24"/>
          <w:szCs w:val="24"/>
        </w:rPr>
        <w:t xml:space="preserve">. </w:t>
      </w:r>
      <w:hyperlink r:id="rId10" w:history="1">
        <w:r w:rsidRPr="00B9323E">
          <w:rPr>
            <w:rStyle w:val="Hyperlink"/>
            <w:rFonts w:cs="Arial"/>
            <w:sz w:val="24"/>
            <w:szCs w:val="24"/>
          </w:rPr>
          <w:t>https://eservices.mas.gov.sg/fid</w:t>
        </w:r>
      </w:hyperlink>
    </w:p>
    <w:p w14:paraId="76D5CF0E" w14:textId="77777777" w:rsidR="00624744" w:rsidRPr="00B9323E" w:rsidRDefault="00624744" w:rsidP="00624744">
      <w:pPr>
        <w:spacing w:after="160" w:line="278" w:lineRule="auto"/>
        <w:rPr>
          <w:rFonts w:cs="Arial"/>
          <w:sz w:val="24"/>
          <w:szCs w:val="24"/>
        </w:rPr>
      </w:pPr>
      <w:r w:rsidRPr="00B9323E">
        <w:rPr>
          <w:rFonts w:cs="Arial"/>
          <w:sz w:val="24"/>
          <w:szCs w:val="24"/>
        </w:rPr>
        <w:t xml:space="preserve">Monetary Authority of Singapore. (2024). </w:t>
      </w:r>
      <w:r w:rsidRPr="00B9323E">
        <w:rPr>
          <w:rFonts w:cs="Arial"/>
          <w:i/>
          <w:iCs/>
          <w:sz w:val="24"/>
          <w:szCs w:val="24"/>
        </w:rPr>
        <w:t>Artificial intelligence model risk management</w:t>
      </w:r>
      <w:r w:rsidRPr="00B9323E">
        <w:rPr>
          <w:rFonts w:cs="Arial"/>
          <w:sz w:val="24"/>
          <w:szCs w:val="24"/>
        </w:rPr>
        <w:t xml:space="preserve">. </w:t>
      </w:r>
      <w:hyperlink r:id="rId11" w:history="1">
        <w:r w:rsidRPr="00B9323E">
          <w:rPr>
            <w:rStyle w:val="Hyperlink"/>
            <w:rFonts w:cs="Arial"/>
            <w:sz w:val="24"/>
            <w:szCs w:val="24"/>
          </w:rPr>
          <w:t>https://www.mas.gov.sg/publications/monographs-or-information-paper/2024/artificial-intelligence-model-risk-management</w:t>
        </w:r>
      </w:hyperlink>
    </w:p>
    <w:p w14:paraId="03753BF5" w14:textId="77777777" w:rsidR="00624744" w:rsidRPr="00B9323E" w:rsidRDefault="00624744" w:rsidP="00624744">
      <w:pPr>
        <w:spacing w:after="160" w:line="278" w:lineRule="auto"/>
        <w:rPr>
          <w:rFonts w:cs="Arial"/>
          <w:sz w:val="24"/>
          <w:szCs w:val="24"/>
        </w:rPr>
      </w:pPr>
      <w:r w:rsidRPr="00B9323E">
        <w:rPr>
          <w:rFonts w:cs="Arial"/>
          <w:sz w:val="24"/>
          <w:szCs w:val="24"/>
        </w:rPr>
        <w:t xml:space="preserve">New York State Department of Financial Services. (2012). </w:t>
      </w:r>
      <w:r w:rsidRPr="00B9323E">
        <w:rPr>
          <w:rFonts w:cs="Arial"/>
          <w:i/>
          <w:iCs/>
          <w:sz w:val="24"/>
          <w:szCs w:val="24"/>
        </w:rPr>
        <w:t>In the matter of Standard Chartered Bank, New York Branch: Consent order under New York Banking Law §§ 44 and 44-a</w:t>
      </w:r>
      <w:r w:rsidRPr="00B9323E">
        <w:rPr>
          <w:rFonts w:cs="Arial"/>
          <w:sz w:val="24"/>
          <w:szCs w:val="24"/>
        </w:rPr>
        <w:t xml:space="preserve">. </w:t>
      </w:r>
      <w:hyperlink r:id="rId12" w:history="1">
        <w:r w:rsidRPr="00B9323E">
          <w:rPr>
            <w:rStyle w:val="Hyperlink"/>
            <w:rFonts w:cs="Arial"/>
            <w:sz w:val="24"/>
            <w:szCs w:val="24"/>
          </w:rPr>
          <w:t>https://www.dfs.ny.gov/system/files/documents/2018/07/ea120806.pdf</w:t>
        </w:r>
      </w:hyperlink>
    </w:p>
    <w:p w14:paraId="4389E0D3" w14:textId="77777777" w:rsidR="00624744" w:rsidRPr="00B9323E" w:rsidRDefault="00624744" w:rsidP="00624744">
      <w:pPr>
        <w:spacing w:after="160" w:line="278" w:lineRule="auto"/>
        <w:rPr>
          <w:rFonts w:cs="Arial"/>
          <w:sz w:val="24"/>
          <w:szCs w:val="24"/>
        </w:rPr>
      </w:pPr>
      <w:r w:rsidRPr="00B9323E">
        <w:rPr>
          <w:rFonts w:cs="Arial"/>
          <w:sz w:val="24"/>
          <w:szCs w:val="24"/>
        </w:rPr>
        <w:t xml:space="preserve">NICE Actimize. (n.d.). </w:t>
      </w:r>
      <w:proofErr w:type="gramStart"/>
      <w:r w:rsidRPr="00B9323E">
        <w:rPr>
          <w:rFonts w:cs="Arial"/>
          <w:i/>
          <w:iCs/>
          <w:sz w:val="24"/>
          <w:szCs w:val="24"/>
        </w:rPr>
        <w:t>Sanctions screening</w:t>
      </w:r>
      <w:proofErr w:type="gramEnd"/>
      <w:r w:rsidRPr="00B9323E">
        <w:rPr>
          <w:rFonts w:cs="Arial"/>
          <w:i/>
          <w:iCs/>
          <w:sz w:val="24"/>
          <w:szCs w:val="24"/>
        </w:rPr>
        <w:t xml:space="preserve"> software</w:t>
      </w:r>
      <w:r w:rsidRPr="00B9323E">
        <w:rPr>
          <w:rFonts w:cs="Arial"/>
          <w:sz w:val="24"/>
          <w:szCs w:val="24"/>
        </w:rPr>
        <w:t xml:space="preserve">. </w:t>
      </w:r>
      <w:hyperlink r:id="rId13" w:history="1">
        <w:r w:rsidRPr="00B9323E">
          <w:rPr>
            <w:rStyle w:val="Hyperlink"/>
            <w:rFonts w:cs="Arial"/>
            <w:sz w:val="24"/>
            <w:szCs w:val="24"/>
          </w:rPr>
          <w:t>https://www.niceactimize.com/anti-money-laundering/sanctions-screening</w:t>
        </w:r>
      </w:hyperlink>
    </w:p>
    <w:p w14:paraId="1B82C8AF" w14:textId="77777777" w:rsidR="00624744" w:rsidRPr="00B9323E" w:rsidRDefault="00624744" w:rsidP="00624744">
      <w:pPr>
        <w:spacing w:after="160" w:line="278" w:lineRule="auto"/>
        <w:rPr>
          <w:rFonts w:cs="Arial"/>
          <w:sz w:val="24"/>
          <w:szCs w:val="24"/>
        </w:rPr>
      </w:pPr>
      <w:r w:rsidRPr="00B9323E">
        <w:rPr>
          <w:rFonts w:cs="Arial"/>
          <w:sz w:val="24"/>
          <w:szCs w:val="24"/>
        </w:rPr>
        <w:t xml:space="preserve">Office of the Comptroller of the Currency. (2026). </w:t>
      </w:r>
      <w:r w:rsidRPr="00B9323E">
        <w:rPr>
          <w:rFonts w:cs="Arial"/>
          <w:i/>
          <w:iCs/>
          <w:sz w:val="24"/>
          <w:szCs w:val="24"/>
        </w:rPr>
        <w:t>Model risk management: Revised guidance</w:t>
      </w:r>
      <w:r w:rsidRPr="00B9323E">
        <w:rPr>
          <w:rFonts w:cs="Arial"/>
          <w:sz w:val="24"/>
          <w:szCs w:val="24"/>
        </w:rPr>
        <w:t xml:space="preserve">. </w:t>
      </w:r>
      <w:hyperlink r:id="rId14" w:history="1">
        <w:r w:rsidRPr="00B9323E">
          <w:rPr>
            <w:rStyle w:val="Hyperlink"/>
            <w:rFonts w:cs="Arial"/>
            <w:sz w:val="24"/>
            <w:szCs w:val="24"/>
          </w:rPr>
          <w:t>https://www.occ.treas.gov/news-issuances/bulletins/2026/bulletin-2026-13.html</w:t>
        </w:r>
      </w:hyperlink>
    </w:p>
    <w:p w14:paraId="0359A6BD" w14:textId="77777777" w:rsidR="00624744" w:rsidRPr="00B9323E" w:rsidRDefault="00624744" w:rsidP="00624744">
      <w:pPr>
        <w:spacing w:after="160" w:line="278" w:lineRule="auto"/>
        <w:rPr>
          <w:rFonts w:cs="Arial"/>
          <w:sz w:val="24"/>
          <w:szCs w:val="24"/>
        </w:rPr>
      </w:pPr>
      <w:proofErr w:type="spellStart"/>
      <w:r w:rsidRPr="00B9323E">
        <w:rPr>
          <w:rFonts w:cs="Arial"/>
          <w:sz w:val="24"/>
          <w:szCs w:val="24"/>
        </w:rPr>
        <w:t>Quantexa</w:t>
      </w:r>
      <w:proofErr w:type="spellEnd"/>
      <w:r w:rsidRPr="00B9323E">
        <w:rPr>
          <w:rFonts w:cs="Arial"/>
          <w:sz w:val="24"/>
          <w:szCs w:val="24"/>
        </w:rPr>
        <w:t xml:space="preserve">. (n.d.). </w:t>
      </w:r>
      <w:r w:rsidRPr="00B9323E">
        <w:rPr>
          <w:rFonts w:cs="Arial"/>
          <w:i/>
          <w:iCs/>
          <w:sz w:val="24"/>
          <w:szCs w:val="24"/>
        </w:rPr>
        <w:t>Financial crime detection solutions</w:t>
      </w:r>
      <w:r w:rsidRPr="00B9323E">
        <w:rPr>
          <w:rFonts w:cs="Arial"/>
          <w:sz w:val="24"/>
          <w:szCs w:val="24"/>
        </w:rPr>
        <w:t xml:space="preserve">. </w:t>
      </w:r>
      <w:hyperlink r:id="rId15" w:history="1">
        <w:r w:rsidRPr="00B9323E">
          <w:rPr>
            <w:rStyle w:val="Hyperlink"/>
            <w:rFonts w:cs="Arial"/>
            <w:sz w:val="24"/>
            <w:szCs w:val="24"/>
          </w:rPr>
          <w:t>https://www.quantexa.com/solutions/financial-crime/</w:t>
        </w:r>
      </w:hyperlink>
    </w:p>
    <w:p w14:paraId="215E46E0" w14:textId="77777777" w:rsidR="00624744" w:rsidRPr="00B9323E" w:rsidRDefault="00624744" w:rsidP="00624744">
      <w:pPr>
        <w:spacing w:after="160" w:line="278" w:lineRule="auto"/>
        <w:rPr>
          <w:rFonts w:cs="Arial"/>
          <w:sz w:val="24"/>
          <w:szCs w:val="24"/>
        </w:rPr>
      </w:pPr>
      <w:r w:rsidRPr="00B9323E">
        <w:rPr>
          <w:rFonts w:cs="Arial"/>
          <w:sz w:val="24"/>
          <w:szCs w:val="24"/>
        </w:rPr>
        <w:t xml:space="preserve">U.S. Department of Justice. (2019, April 9). </w:t>
      </w:r>
      <w:r w:rsidRPr="00B9323E">
        <w:rPr>
          <w:rFonts w:cs="Arial"/>
          <w:i/>
          <w:iCs/>
          <w:sz w:val="24"/>
          <w:szCs w:val="24"/>
        </w:rPr>
        <w:t>Standard Chartered Bank agrees to pay $947 million to resolve criminal and civil sanctions violations</w:t>
      </w:r>
      <w:r w:rsidRPr="00B9323E">
        <w:rPr>
          <w:rFonts w:cs="Arial"/>
          <w:sz w:val="24"/>
          <w:szCs w:val="24"/>
        </w:rPr>
        <w:t xml:space="preserve">. </w:t>
      </w:r>
      <w:hyperlink r:id="rId16" w:history="1">
        <w:r w:rsidRPr="00B9323E">
          <w:rPr>
            <w:rStyle w:val="Hyperlink"/>
            <w:rFonts w:cs="Arial"/>
            <w:sz w:val="24"/>
            <w:szCs w:val="24"/>
          </w:rPr>
          <w:t>https://www.justice.gov/opa/pr/standard-chartered-bank-agrees-pay-947-million-resolve-criminal-and-civil-sanctions-violations</w:t>
        </w:r>
      </w:hyperlink>
    </w:p>
    <w:p w14:paraId="6871E342" w14:textId="77777777" w:rsidR="00B90651" w:rsidRPr="00624744" w:rsidRDefault="00B90651" w:rsidP="00624744">
      <w:pPr>
        <w:jc w:val="both"/>
        <w:rPr>
          <w:rFonts w:cs="Arial"/>
          <w:sz w:val="24"/>
          <w:szCs w:val="24"/>
        </w:rPr>
      </w:pPr>
    </w:p>
    <w:sectPr w:rsidR="00B90651" w:rsidRPr="00624744"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F914D" w14:textId="77777777" w:rsidR="004939F3" w:rsidRDefault="004939F3">
      <w:pPr>
        <w:spacing w:after="0" w:line="240" w:lineRule="auto"/>
      </w:pPr>
      <w:r>
        <w:separator/>
      </w:r>
    </w:p>
  </w:endnote>
  <w:endnote w:type="continuationSeparator" w:id="0">
    <w:p w14:paraId="4B2F404D" w14:textId="77777777" w:rsidR="004939F3" w:rsidRDefault="00493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8D22B" w14:textId="77777777" w:rsidR="004939F3" w:rsidRDefault="004939F3">
      <w:pPr>
        <w:spacing w:after="0" w:line="240" w:lineRule="auto"/>
      </w:pPr>
      <w:r>
        <w:separator/>
      </w:r>
    </w:p>
  </w:footnote>
  <w:footnote w:type="continuationSeparator" w:id="0">
    <w:p w14:paraId="39457C4B" w14:textId="77777777" w:rsidR="004939F3" w:rsidRDefault="00493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099849">
    <w:abstractNumId w:val="8"/>
  </w:num>
  <w:num w:numId="2" w16cid:durableId="126510679">
    <w:abstractNumId w:val="6"/>
  </w:num>
  <w:num w:numId="3" w16cid:durableId="564032078">
    <w:abstractNumId w:val="5"/>
  </w:num>
  <w:num w:numId="4" w16cid:durableId="1372800998">
    <w:abstractNumId w:val="4"/>
  </w:num>
  <w:num w:numId="5" w16cid:durableId="1558514755">
    <w:abstractNumId w:val="7"/>
  </w:num>
  <w:num w:numId="6" w16cid:durableId="2088375583">
    <w:abstractNumId w:val="3"/>
  </w:num>
  <w:num w:numId="7" w16cid:durableId="1597521446">
    <w:abstractNumId w:val="2"/>
  </w:num>
  <w:num w:numId="8" w16cid:durableId="518784980">
    <w:abstractNumId w:val="1"/>
  </w:num>
  <w:num w:numId="9" w16cid:durableId="76608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C4D"/>
    <w:rsid w:val="0006063C"/>
    <w:rsid w:val="000B580B"/>
    <w:rsid w:val="0015074B"/>
    <w:rsid w:val="0029639D"/>
    <w:rsid w:val="002A5BB2"/>
    <w:rsid w:val="00326F90"/>
    <w:rsid w:val="004939F3"/>
    <w:rsid w:val="004C32A0"/>
    <w:rsid w:val="00624744"/>
    <w:rsid w:val="006A685C"/>
    <w:rsid w:val="0073144B"/>
    <w:rsid w:val="008A677E"/>
    <w:rsid w:val="00AA1D8D"/>
    <w:rsid w:val="00B458AA"/>
    <w:rsid w:val="00B47730"/>
    <w:rsid w:val="00B90651"/>
    <w:rsid w:val="00BD2806"/>
    <w:rsid w:val="00CB0664"/>
    <w:rsid w:val="00D559D8"/>
    <w:rsid w:val="00E70B72"/>
    <w:rsid w:val="00ED5A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8809FC"/>
  <w14:defaultImageDpi w14:val="300"/>
  <w15:docId w15:val="{9FD7F8B5-E0A8-4466-9808-C78B4388E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47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eralreserve.gov/releases/iba/" TargetMode="External"/><Relationship Id="rId13" Type="http://schemas.openxmlformats.org/officeDocument/2006/relationships/hyperlink" Target="https://www.niceactimize.com/anti-money-laundering/sanctions-screen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fs.ny.gov/system/files/documents/2018/07/ea120806.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justice.gov/opa/pr/standard-chartered-bank-agrees-pay-947-million-resolve-criminal-and-civil-sanctions-viol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s.gov.sg/publications/monographs-or-information-paper/2024/artificial-intelligence-model-risk-management" TargetMode="External"/><Relationship Id="rId5" Type="http://schemas.openxmlformats.org/officeDocument/2006/relationships/webSettings" Target="webSettings.xml"/><Relationship Id="rId15" Type="http://schemas.openxmlformats.org/officeDocument/2006/relationships/hyperlink" Target="https://www.quantexa.com/solutions/financial-crime/" TargetMode="External"/><Relationship Id="rId10" Type="http://schemas.openxmlformats.org/officeDocument/2006/relationships/hyperlink" Target="https://eservices.mas.gov.sg/fid" TargetMode="External"/><Relationship Id="rId4" Type="http://schemas.openxmlformats.org/officeDocument/2006/relationships/settings" Target="settings.xml"/><Relationship Id="rId9" Type="http://schemas.openxmlformats.org/officeDocument/2006/relationships/hyperlink" Target="https://www.chartis-research.com/data/7947011/risktech100%C2%AE-2024" TargetMode="External"/><Relationship Id="rId14" Type="http://schemas.openxmlformats.org/officeDocument/2006/relationships/hyperlink" Target="https://www.occ.treas.gov/news-issuances/bulletins/2026/bulletin-2026-1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12</Pages>
  <Words>4047</Words>
  <Characters>23069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Joon Hoong Wong</cp:lastModifiedBy>
  <cp:revision>5</cp:revision>
  <dcterms:created xsi:type="dcterms:W3CDTF">2013-12-23T23:15:00Z</dcterms:created>
  <dcterms:modified xsi:type="dcterms:W3CDTF">2026-05-10T16:10:00Z</dcterms:modified>
  <cp:category/>
</cp:coreProperties>
</file>