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94BFB" w14:textId="1EA21BF0" w:rsidR="00E56211" w:rsidRDefault="00000000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Task 3: Design Summary</w:t>
      </w:r>
    </w:p>
    <w:p w14:paraId="3214A3F7" w14:textId="77777777" w:rsidR="00E56211" w:rsidRDefault="00000000">
      <w:pPr>
        <w:spacing w:after="40"/>
        <w:jc w:val="center"/>
      </w:pPr>
      <w:proofErr w:type="spellStart"/>
      <w:r>
        <w:rPr>
          <w:i/>
          <w:iCs/>
          <w:sz w:val="24"/>
          <w:szCs w:val="24"/>
        </w:rPr>
        <w:t>JurisCom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RegTech</w:t>
      </w:r>
      <w:proofErr w:type="spellEnd"/>
      <w:r>
        <w:rPr>
          <w:i/>
          <w:iCs/>
          <w:sz w:val="24"/>
          <w:szCs w:val="24"/>
        </w:rPr>
        <w:t xml:space="preserve"> — Jurisdiction-Aware AML/KYC Compliance Tool</w:t>
      </w:r>
    </w:p>
    <w:p w14:paraId="5CE31505" w14:textId="77BA24BC" w:rsidR="00E56211" w:rsidRDefault="00000000">
      <w:pPr>
        <w:pBdr>
          <w:bottom w:val="single" w:sz="6" w:space="4" w:color="2E5395"/>
        </w:pBdr>
        <w:spacing w:after="240"/>
        <w:jc w:val="center"/>
      </w:pPr>
      <w:r>
        <w:rPr>
          <w:color w:val="595959"/>
          <w:sz w:val="20"/>
          <w:szCs w:val="20"/>
        </w:rPr>
        <w:t>Wong Joon Hoong | G2505242K | joonhoongwong@yahoo.com</w:t>
      </w:r>
    </w:p>
    <w:p w14:paraId="0EAA35F0" w14:textId="77777777" w:rsidR="00E56211" w:rsidRDefault="00000000">
      <w:pPr>
        <w:pStyle w:val="Heading2"/>
      </w:pPr>
      <w:r>
        <w:t>The Problem in One Sentence</w:t>
      </w:r>
    </w:p>
    <w:p w14:paraId="32E3F8DA" w14:textId="77777777" w:rsidR="00E56211" w:rsidRDefault="00000000" w:rsidP="001C3F85">
      <w:pPr>
        <w:spacing w:before="60" w:after="60" w:line="300" w:lineRule="auto"/>
        <w:jc w:val="both"/>
      </w:pPr>
      <w:r>
        <w:t>Standard Chartered Bank books transactions in 59+ markets. A single AML/KYC rule engine calibrated to one jurisdiction will produce systematic compliance errors in every other jurisdiction — either over-reporting (wasting compliance resources and harming customers) or under-reporting (creating regulatory and criminal liability).</w:t>
      </w:r>
    </w:p>
    <w:p w14:paraId="6ECE93AA" w14:textId="77777777" w:rsidR="00E56211" w:rsidRDefault="00000000" w:rsidP="001C3F85">
      <w:pPr>
        <w:pStyle w:val="Heading2"/>
        <w:jc w:val="both"/>
      </w:pPr>
      <w:r>
        <w:t>What the Tool Does</w:t>
      </w:r>
    </w:p>
    <w:p w14:paraId="0603E41C" w14:textId="77777777" w:rsidR="00E56211" w:rsidRDefault="00000000" w:rsidP="001C3F85">
      <w:pPr>
        <w:spacing w:before="60" w:after="60" w:line="300" w:lineRule="auto"/>
        <w:jc w:val="both"/>
      </w:pPr>
      <w:r>
        <w:t>The tool applies jurisdiction-specific AML/KYC rules to individual transactions and customer records, producing structured compliance alerts (CTR, CDD_ONE_OFF, SAR/STR, sanctions block, PEP enhanced due diligence, beneficial-ownership flag). The same alert engine evaluates every transaction under both US (BSA/FinCEN) and Singapore (MAS Notice 626) configs, making the jurisdictional gap visible and auditable. It also computes 7-day rolling structuring patterns and demonstrates an optional Isolation Forest + SHAP anomaly explanation layer.</w:t>
      </w:r>
    </w:p>
    <w:p w14:paraId="5E52C9AE" w14:textId="77777777" w:rsidR="00E56211" w:rsidRDefault="00000000" w:rsidP="001C3F85">
      <w:pPr>
        <w:pStyle w:val="Heading2"/>
        <w:jc w:val="both"/>
      </w:pPr>
      <w:r>
        <w:t>The Core Design Choice: Config Over Code</w:t>
      </w:r>
    </w:p>
    <w:p w14:paraId="29100B4D" w14:textId="5AB67086" w:rsidR="00E56211" w:rsidRDefault="00000000" w:rsidP="001C3F85">
      <w:pPr>
        <w:spacing w:before="60" w:after="60" w:line="300" w:lineRule="auto"/>
        <w:jc w:val="both"/>
      </w:pPr>
      <w:r>
        <w:t xml:space="preserve">All jurisdiction-specific logic lives in JSON configuration files, not in application code. Adding a new jurisdiction, or updating a threshold when a regulation changes, requires only a JSON file update </w:t>
      </w:r>
      <w:r w:rsidR="001C3F85">
        <w:t>and</w:t>
      </w:r>
      <w:r>
        <w:t xml:space="preserve"> not a software release. This means:</w:t>
      </w:r>
    </w:p>
    <w:p w14:paraId="678E62CF" w14:textId="77777777" w:rsidR="00E56211" w:rsidRDefault="00000000" w:rsidP="001C3F85"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>Regulatory changes are cheap to implement</w:t>
      </w:r>
      <w:r>
        <w:t xml:space="preserve"> — a compliance lawyer can review the JSON diff without reading Python.</w:t>
      </w:r>
    </w:p>
    <w:p w14:paraId="5C71973C" w14:textId="77777777" w:rsidR="00E56211" w:rsidRDefault="00000000" w:rsidP="001C3F85"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>Version history is meaningful</w:t>
      </w:r>
      <w:r>
        <w:t xml:space="preserve"> — git history of a JSON file is a complete audit trail of what rule was applied when.</w:t>
      </w:r>
    </w:p>
    <w:p w14:paraId="0CC3B231" w14:textId="77777777" w:rsidR="00E56211" w:rsidRDefault="00000000" w:rsidP="001C3F85"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>The engine is jurisdiction-agnostic</w:t>
      </w:r>
      <w:r>
        <w:t xml:space="preserve"> — it knows how to evaluate sanctions, US CTR thresholds, Singapore one-off CDD thresholds, PEP rules and beneficial ownership; it does not know which jurisdiction it is in until it loads a config.</w:t>
      </w:r>
    </w:p>
    <w:p w14:paraId="4A97A9AA" w14:textId="77777777" w:rsidR="00E56211" w:rsidRDefault="00000000" w:rsidP="001C3F85">
      <w:pPr>
        <w:pStyle w:val="Heading2"/>
        <w:jc w:val="both"/>
      </w:pPr>
      <w:r>
        <w:t>Four Cases That Show Why This Matters</w:t>
      </w:r>
    </w:p>
    <w:p w14:paraId="3754AA83" w14:textId="77777777" w:rsidR="00E56211" w:rsidRDefault="00000000" w:rsidP="001C3F85">
      <w:pPr>
        <w:spacing w:before="60" w:after="60" w:line="300" w:lineRule="auto"/>
        <w:jc w:val="both"/>
      </w:pPr>
      <w:r>
        <w:t>The prototype demonstrates four transactions that produce opposite compliance outcomes depending on which jurisdiction's rules are active: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300"/>
        <w:gridCol w:w="2580"/>
        <w:gridCol w:w="2580"/>
      </w:tblGrid>
      <w:tr w:rsidR="00E56211" w14:paraId="744014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E2F91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Case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3AE90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Transaction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C7879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US Result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6693D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SG Result</w:t>
            </w:r>
          </w:p>
        </w:tc>
      </w:tr>
      <w:tr w:rsidR="00E56211" w14:paraId="267837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54D9D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F57C7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sz w:val="20"/>
                <w:szCs w:val="20"/>
              </w:rPr>
              <w:t>SGD 18,000 one-off cash exchange by non-account holder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73BAA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CTR filed</w:t>
            </w:r>
            <w:r>
              <w:rPr>
                <w:sz w:val="20"/>
                <w:szCs w:val="20"/>
              </w:rPr>
              <w:t xml:space="preserve"> if booked in the US (USD-equivalent at current FX exceeds the $10k threshold).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8E8CF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sz w:val="20"/>
                <w:szCs w:val="20"/>
              </w:rPr>
              <w:t>No one-off CDD threshold trigger (SGD 18k &lt; SGD 20k).</w:t>
            </w:r>
          </w:p>
        </w:tc>
      </w:tr>
      <w:tr w:rsidR="00E56211" w14:paraId="77C822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1202F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CA1C2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sz w:val="20"/>
                <w:szCs w:val="20"/>
              </w:rPr>
              <w:t>SGD 3,000 trade finance to Myanmar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684E3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sz w:val="20"/>
                <w:szCs w:val="20"/>
              </w:rPr>
              <w:t>No SAR (below $5k SAR floor, even if risk is visible).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4EA94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STR filed</w:t>
            </w:r>
            <w:r>
              <w:rPr>
                <w:sz w:val="20"/>
                <w:szCs w:val="20"/>
              </w:rPr>
              <w:t xml:space="preserve"> (risk-based: high-risk country counterparty).</w:t>
            </w:r>
          </w:p>
        </w:tc>
      </w:tr>
      <w:tr w:rsidR="00E56211" w14:paraId="08E074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146B1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sz w:val="20"/>
                <w:szCs w:val="20"/>
              </w:rPr>
              <w:lastRenderedPageBreak/>
              <w:t>C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1C8E6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sz w:val="20"/>
                <w:szCs w:val="20"/>
              </w:rPr>
              <w:t>SGD 8,000 withdrawal by domestic PEP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4D5CD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sz w:val="20"/>
                <w:szCs w:val="20"/>
              </w:rPr>
              <w:t>No action (US has no domestic PEP EDD).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B06CB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EDD triggered</w:t>
            </w:r>
            <w:r>
              <w:rPr>
                <w:sz w:val="20"/>
                <w:szCs w:val="20"/>
              </w:rPr>
              <w:t xml:space="preserve"> (MAS requires EDD + senior-management approval for domestic PEPs).</w:t>
            </w:r>
          </w:p>
        </w:tc>
      </w:tr>
      <w:tr w:rsidR="00E56211" w14:paraId="0AC8F3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33243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BF0E2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sz w:val="20"/>
                <w:szCs w:val="20"/>
              </w:rPr>
              <w:t>USD 120,000 corporate trade finance; UBO 24.9%, undisclosed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4DEF3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sz w:val="20"/>
                <w:szCs w:val="20"/>
              </w:rPr>
              <w:t>No BO flag (24.9% below the 25% bright-line; no separate US SAR suspicion flag).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9E9BE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STR + BO_FLAG</w:t>
            </w:r>
            <w:r>
              <w:rPr>
                <w:sz w:val="20"/>
                <w:szCs w:val="20"/>
              </w:rPr>
              <w:t xml:space="preserve"> (SG </w:t>
            </w:r>
            <w:proofErr w:type="gramStart"/>
            <w:r>
              <w:rPr>
                <w:sz w:val="20"/>
                <w:szCs w:val="20"/>
              </w:rPr>
              <w:t>reasonable-measures</w:t>
            </w:r>
            <w:proofErr w:type="gramEnd"/>
            <w:r>
              <w:rPr>
                <w:sz w:val="20"/>
                <w:szCs w:val="20"/>
              </w:rPr>
              <w:t>: any undisclosed corporate is flagged).</w:t>
            </w:r>
          </w:p>
        </w:tc>
      </w:tr>
    </w:tbl>
    <w:p w14:paraId="5A2772F9" w14:textId="77777777" w:rsidR="00E56211" w:rsidRDefault="00000000" w:rsidP="001C3F85">
      <w:pPr>
        <w:spacing w:before="60" w:after="60" w:line="300" w:lineRule="auto"/>
        <w:jc w:val="both"/>
      </w:pPr>
      <w:r>
        <w:t>Without jurisdiction-aware tooling, SCB's compliance team would either apply US rules to Singapore-booked transactions (missing Cases B, C and D) or apply Singapore rules to US-booked transactions (generating unnecessary CDD/EDD actions in the wrong booking context).</w:t>
      </w:r>
    </w:p>
    <w:p w14:paraId="3672AD2C" w14:textId="77777777" w:rsidR="00E56211" w:rsidRDefault="00000000" w:rsidP="001C3F85">
      <w:pPr>
        <w:pStyle w:val="Heading2"/>
        <w:jc w:val="both"/>
      </w:pPr>
      <w:r>
        <w:t>Evidence Layer Added</w:t>
      </w:r>
    </w:p>
    <w:p w14:paraId="686A4E58" w14:textId="77777777" w:rsidR="00E56211" w:rsidRDefault="00000000" w:rsidP="001C3F85">
      <w:pPr>
        <w:spacing w:before="60" w:after="60" w:line="300" w:lineRule="auto"/>
        <w:jc w:val="both"/>
      </w:pPr>
      <w:r>
        <w:t>To make the prototype more defensible, the verifier exports a public-record enforcement scenario back-test, sanctions source-freshness status, sensitivity analysis, and rules-vs-ML coverage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9"/>
        <w:gridCol w:w="2817"/>
        <w:gridCol w:w="3604"/>
      </w:tblGrid>
      <w:tr w:rsidR="00E56211" w14:paraId="669DD4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C6C3F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Evidence Artifact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18466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14341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Why It Matters</w:t>
            </w:r>
          </w:p>
        </w:tc>
      </w:tr>
      <w:tr w:rsidR="00E56211" w14:paraId="580FE2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956D1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sz w:val="20"/>
                <w:szCs w:val="20"/>
              </w:rPr>
              <w:t>public_enforcement_backtest.csv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47800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sz w:val="20"/>
                <w:szCs w:val="20"/>
              </w:rPr>
              <w:t>Iran, Myanmar/Burma, Syria, Sudan and Zimbabwe scenarios all surface under at least one alert path.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C7D4E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sz w:val="20"/>
                <w:szCs w:val="20"/>
              </w:rPr>
              <w:t>Demonstrates how the engine behaves against public SCB enforcement themes without claiming access to real bank data.</w:t>
            </w:r>
          </w:p>
        </w:tc>
      </w:tr>
      <w:tr w:rsidR="00E56211" w14:paraId="0C9E19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3F2F3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sz w:val="20"/>
                <w:szCs w:val="20"/>
              </w:rPr>
              <w:t>sanctions_refresh_status.csv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C5BD4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sz w:val="20"/>
                <w:szCs w:val="20"/>
              </w:rPr>
              <w:t>OFAC SDN XML and UN Consolidated XML refresh into local cache; MAS TFS landing page scraped weekly with maintenance-page and JS-render detection.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B77C2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sz w:val="20"/>
                <w:szCs w:val="20"/>
              </w:rPr>
              <w:t>Converts "static sanctions data" into a monitored source-freshness control across three jurisdictions. MAS PDF body parsing remains an explicit boundary requiring legal review or a licensed vendor feed.</w:t>
            </w:r>
          </w:p>
        </w:tc>
      </w:tr>
      <w:tr w:rsidR="00E56211" w14:paraId="7CEA0A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917C4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sz w:val="20"/>
                <w:szCs w:val="20"/>
              </w:rPr>
              <w:t>rules_ml_coverage.csv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1867C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sz w:val="20"/>
                <w:szCs w:val="20"/>
              </w:rPr>
              <w:t>29 rules-only alerts, 0 ML-only, 7 alerts flagged by both rules and ML.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0F313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sz w:val="20"/>
                <w:szCs w:val="20"/>
              </w:rPr>
              <w:t>Shows the ML layer confirms high-risk rule alerts in this small synthetic set rather than making unsupported novel-typology claims.</w:t>
            </w:r>
          </w:p>
        </w:tc>
      </w:tr>
      <w:tr w:rsidR="00E56211" w14:paraId="4CB4FB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A031D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sz w:val="20"/>
                <w:szCs w:val="20"/>
              </w:rPr>
              <w:t>sensitivity_analysis.csv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652F7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sz w:val="20"/>
                <w:szCs w:val="20"/>
              </w:rPr>
              <w:t>Contamination 0.05 to 0.20 changes anomalies 3 to 9; structuring lookback 3 to 7 days changes rule alerts 58 to 63.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9A8FF" w14:textId="77777777" w:rsidR="00E56211" w:rsidRDefault="00000000" w:rsidP="001C3F85">
            <w:pPr>
              <w:spacing w:line="260" w:lineRule="auto"/>
              <w:jc w:val="both"/>
            </w:pPr>
            <w:r>
              <w:rPr>
                <w:sz w:val="20"/>
                <w:szCs w:val="20"/>
              </w:rPr>
              <w:t xml:space="preserve">Shows the review-volume </w:t>
            </w:r>
            <w:proofErr w:type="spellStart"/>
            <w:r>
              <w:rPr>
                <w:sz w:val="20"/>
                <w:szCs w:val="20"/>
              </w:rPr>
              <w:t>tradeoff</w:t>
            </w:r>
            <w:proofErr w:type="spellEnd"/>
            <w:r>
              <w:rPr>
                <w:sz w:val="20"/>
                <w:szCs w:val="20"/>
              </w:rPr>
              <w:t xml:space="preserve"> a bank model-risk team would need to approve.</w:t>
            </w:r>
          </w:p>
        </w:tc>
      </w:tr>
    </w:tbl>
    <w:p w14:paraId="5617C46E" w14:textId="77777777" w:rsidR="00E56211" w:rsidRDefault="00000000" w:rsidP="001C3F85">
      <w:pPr>
        <w:pStyle w:val="Heading2"/>
        <w:jc w:val="both"/>
      </w:pPr>
      <w:r>
        <w:t>What the Tool Deliberately Does Not Do</w:t>
      </w:r>
    </w:p>
    <w:p w14:paraId="68D7854D" w14:textId="77777777" w:rsidR="00E56211" w:rsidRDefault="00000000" w:rsidP="001C3F85"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>No production ML filing decision.</w:t>
      </w:r>
      <w:r>
        <w:t xml:space="preserve"> The prototype includes a small Isolation Forest + SHAP explainability demo to answer the assignment's XAI prompt, but the actual SAR/STR decision remains rules-based and subject to human review because we do not have labelled historical outcomes.</w:t>
      </w:r>
    </w:p>
    <w:p w14:paraId="2F21D6E8" w14:textId="77777777" w:rsidR="00E56211" w:rsidRDefault="00000000" w:rsidP="001C3F85"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>No real-time payment blocking.</w:t>
      </w:r>
      <w:r>
        <w:t xml:space="preserve"> All alerts are subject to mandatory human review before customer-facing action. The tool produces a structured alert with a reason and rule reference; a compliance analyst makes the decision.</w:t>
      </w:r>
    </w:p>
    <w:p w14:paraId="403E4664" w14:textId="77777777" w:rsidR="00E56211" w:rsidRDefault="00000000" w:rsidP="001C3F85"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lastRenderedPageBreak/>
        <w:t>Partial live data feeds only.</w:t>
      </w:r>
      <w:r>
        <w:t xml:space="preserve"> FX refreshes from a public online API; OFAC SDN and UN Consolidated XML refresh into local cache with staleness checks; the MAS TFS landing page is scraped weekly with maintenance-page and JS-render detection. PDF body parsing of MAS designations remains a manual legal step, and production still needs licensed data, vendor-grade name screening, and either a headless-browser pipeline or an authorised MAS feed.</w:t>
      </w:r>
    </w:p>
    <w:p w14:paraId="301F4870" w14:textId="77777777" w:rsidR="00E56211" w:rsidRDefault="00000000" w:rsidP="001C3F85"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Multi-jurisdiction conflict is documented, not </w:t>
      </w:r>
      <w:proofErr w:type="gramStart"/>
      <w:r>
        <w:rPr>
          <w:b/>
          <w:bCs/>
        </w:rPr>
        <w:t>auto-resolved</w:t>
      </w:r>
      <w:proofErr w:type="gramEnd"/>
      <w:r>
        <w:rPr>
          <w:b/>
          <w:bCs/>
        </w:rPr>
        <w:t>.</w:t>
      </w:r>
      <w:r>
        <w:t xml:space="preserve"> When a transaction touches both </w:t>
      </w:r>
      <w:proofErr w:type="gramStart"/>
      <w:r>
        <w:t>jurisdictions</w:t>
      </w:r>
      <w:proofErr w:type="gramEnd"/>
      <w:r>
        <w:t xml:space="preserve"> the tool runs both configs and produces two parallel alert sets. Slide 11 documents three policy options the bank can adopt (booking-entity-wins, most-restrictive-rule, counterparty-touches); the tool deliberately does not hard-code one because precedence is a bank-policy decision and a vendor-imposed default could be read as the bank ceding judgement to a vendor.</w:t>
      </w:r>
    </w:p>
    <w:p w14:paraId="3B2ACFEC" w14:textId="77777777" w:rsidR="00E56211" w:rsidRDefault="00000000" w:rsidP="001C3F85"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>No SWIFT message-integrity control.</w:t>
      </w:r>
      <w:r>
        <w:t xml:space="preserve"> The tool does not ingest MT103/MT202 messages or detect field stripping; this is a separate payment-integrity product boundary.</w:t>
      </w:r>
    </w:p>
    <w:p w14:paraId="74776567" w14:textId="77777777" w:rsidR="00E56211" w:rsidRDefault="00000000" w:rsidP="001C3F85"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>No full case-management workflow.</w:t>
      </w:r>
      <w:r>
        <w:t xml:space="preserve"> The prototype writes alert evidence but does not assign analysts, record dispositions, manage filing approval, or submit SAR/STR filings.</w:t>
      </w:r>
    </w:p>
    <w:p w14:paraId="237A0400" w14:textId="77777777" w:rsidR="00E56211" w:rsidRDefault="00000000" w:rsidP="001C3F85"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>No graph/network typology model.</w:t>
      </w:r>
      <w:r>
        <w:t xml:space="preserve"> It does not resolve complex ownership chains, TBML networks, crypto flows, or cross-entity smurfing beyond the available transaction feed.</w:t>
      </w:r>
    </w:p>
    <w:p w14:paraId="1AF836EA" w14:textId="77777777" w:rsidR="00E56211" w:rsidRDefault="00000000" w:rsidP="001C3F85">
      <w:pPr>
        <w:pStyle w:val="Heading2"/>
        <w:jc w:val="both"/>
      </w:pPr>
      <w:r>
        <w:t>The Design Choice That Reflects Genuine Risk vs Documentation</w:t>
      </w:r>
    </w:p>
    <w:p w14:paraId="3F5F6A5A" w14:textId="77777777" w:rsidR="00E56211" w:rsidRDefault="00000000" w:rsidP="001C3F85">
      <w:pPr>
        <w:spacing w:before="60" w:after="60" w:line="300" w:lineRule="auto"/>
        <w:jc w:val="both"/>
      </w:pPr>
      <w:r>
        <w:t xml:space="preserve">We included the SG risk-based STR logic in the prototype even though US rules do not require it for US-booked transactions. This surfaces cases where Singapore rules would catch genuine risk that US threshold-based rules miss entirely — not because it improves documentation, but because it helps a compliance analyst see the full regulatory picture across both booking locations. The </w:t>
      </w:r>
      <w:proofErr w:type="spellStart"/>
      <w:r>
        <w:t>tradeoff</w:t>
      </w:r>
      <w:proofErr w:type="spellEnd"/>
      <w:r>
        <w:t xml:space="preserve"> is higher alert volume and more false positives from high-risk country flagging; we acknowledge this honestly in the model card.</w:t>
      </w:r>
    </w:p>
    <w:p w14:paraId="4A7FD324" w14:textId="77777777" w:rsidR="00E56211" w:rsidRDefault="00000000" w:rsidP="001C3F85">
      <w:pPr>
        <w:pStyle w:val="Heading2"/>
        <w:jc w:val="both"/>
      </w:pPr>
      <w:r>
        <w:t xml:space="preserve">What We Would Add </w:t>
      </w:r>
      <w:proofErr w:type="gramStart"/>
      <w:r>
        <w:t>With</w:t>
      </w:r>
      <w:proofErr w:type="gramEnd"/>
      <w:r>
        <w:t xml:space="preserve"> More Time</w:t>
      </w:r>
    </w:p>
    <w:p w14:paraId="24D3DAC1" w14:textId="77777777" w:rsidR="00E56211" w:rsidRDefault="00000000" w:rsidP="001C3F85">
      <w:pPr>
        <w:pStyle w:val="ListParagraph"/>
        <w:numPr>
          <w:ilvl w:val="0"/>
          <w:numId w:val="3"/>
        </w:numPr>
        <w:spacing w:before="40" w:after="40" w:line="300" w:lineRule="auto"/>
        <w:jc w:val="both"/>
      </w:pPr>
      <w:r>
        <w:rPr>
          <w:b/>
          <w:bCs/>
        </w:rPr>
        <w:t>Production FX source integration</w:t>
      </w:r>
      <w:r>
        <w:t xml:space="preserve"> — replace the public prototype API with MAS or a licensed market-data feed, using the existing freshness pattern.</w:t>
      </w:r>
    </w:p>
    <w:p w14:paraId="6E7BED4F" w14:textId="77777777" w:rsidR="00E56211" w:rsidRDefault="00000000" w:rsidP="001C3F85">
      <w:pPr>
        <w:pStyle w:val="ListParagraph"/>
        <w:numPr>
          <w:ilvl w:val="0"/>
          <w:numId w:val="3"/>
        </w:numPr>
        <w:spacing w:before="40" w:after="40" w:line="300" w:lineRule="auto"/>
        <w:jc w:val="both"/>
      </w:pPr>
      <w:r>
        <w:rPr>
          <w:b/>
          <w:bCs/>
        </w:rPr>
        <w:t>Production sanctions screening integration</w:t>
      </w:r>
      <w:r>
        <w:t xml:space="preserve"> — use the new OFAC/UN refresh status as the control pattern, then add MAS-specific TFS ingestion, alias/transliteration logic, delta approval, and false-positive workflow.</w:t>
      </w:r>
    </w:p>
    <w:p w14:paraId="234BEFAE" w14:textId="334D0C77" w:rsidR="00E56211" w:rsidRDefault="00000000" w:rsidP="001C3F85">
      <w:pPr>
        <w:pStyle w:val="ListParagraph"/>
        <w:numPr>
          <w:ilvl w:val="0"/>
          <w:numId w:val="3"/>
        </w:numPr>
        <w:spacing w:before="40" w:after="40" w:line="300" w:lineRule="auto"/>
        <w:jc w:val="both"/>
      </w:pPr>
      <w:r>
        <w:rPr>
          <w:b/>
          <w:bCs/>
        </w:rPr>
        <w:t>Multi-jurisdiction conflict resolution policy</w:t>
      </w:r>
      <w:r>
        <w:t>.</w:t>
      </w:r>
    </w:p>
    <w:p w14:paraId="3336A2FB" w14:textId="77777777" w:rsidR="00E56211" w:rsidRDefault="00000000" w:rsidP="001C3F85">
      <w:pPr>
        <w:pStyle w:val="ListParagraph"/>
        <w:numPr>
          <w:ilvl w:val="0"/>
          <w:numId w:val="3"/>
        </w:numPr>
        <w:spacing w:before="40" w:after="40" w:line="300" w:lineRule="auto"/>
        <w:jc w:val="both"/>
      </w:pPr>
      <w:r>
        <w:rPr>
          <w:b/>
          <w:bCs/>
        </w:rPr>
        <w:t>Cross-entity structuring detection</w:t>
      </w:r>
      <w:r>
        <w:t xml:space="preserve"> — production should aggregate across related customers, branches and entities, not only within a single feed.</w:t>
      </w:r>
    </w:p>
    <w:p w14:paraId="52173692" w14:textId="77777777" w:rsidR="00E56211" w:rsidRDefault="00000000" w:rsidP="001C3F85">
      <w:pPr>
        <w:pStyle w:val="ListParagraph"/>
        <w:numPr>
          <w:ilvl w:val="0"/>
          <w:numId w:val="3"/>
        </w:numPr>
        <w:spacing w:before="40" w:after="40" w:line="300" w:lineRule="auto"/>
        <w:jc w:val="both"/>
      </w:pPr>
      <w:r>
        <w:rPr>
          <w:b/>
          <w:bCs/>
        </w:rPr>
        <w:t>Production-calibrated risk scoring model</w:t>
      </w:r>
      <w:r>
        <w:t xml:space="preserve"> — 0–100 composite score incorporating transaction type, counterparty risk, customer risk rating and jurisdictional factors.</w:t>
      </w:r>
    </w:p>
    <w:p w14:paraId="5F957281" w14:textId="77777777" w:rsidR="00E56211" w:rsidRDefault="00000000" w:rsidP="001C3F85">
      <w:pPr>
        <w:pStyle w:val="ListParagraph"/>
        <w:numPr>
          <w:ilvl w:val="0"/>
          <w:numId w:val="3"/>
        </w:numPr>
        <w:spacing w:before="40" w:after="40" w:line="300" w:lineRule="auto"/>
        <w:jc w:val="both"/>
      </w:pPr>
      <w:r>
        <w:rPr>
          <w:b/>
          <w:bCs/>
        </w:rPr>
        <w:t>Case management workflow</w:t>
      </w:r>
      <w:r>
        <w:t xml:space="preserve"> allowing analysts to record dispositions, evidence and filing outcomes.</w:t>
      </w:r>
    </w:p>
    <w:sectPr w:rsidR="00E56211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E3EF7" w14:textId="77777777" w:rsidR="00CE68FF" w:rsidRDefault="00CE68FF">
      <w:r>
        <w:separator/>
      </w:r>
    </w:p>
  </w:endnote>
  <w:endnote w:type="continuationSeparator" w:id="0">
    <w:p w14:paraId="52745082" w14:textId="77777777" w:rsidR="00CE68FF" w:rsidRDefault="00CE6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7EAA3" w14:textId="77777777" w:rsidR="00E56211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C3F8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1C3F85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D3EF6" w14:textId="77777777" w:rsidR="00CE68FF" w:rsidRDefault="00CE68FF">
      <w:r>
        <w:separator/>
      </w:r>
    </w:p>
  </w:footnote>
  <w:footnote w:type="continuationSeparator" w:id="0">
    <w:p w14:paraId="646E25FA" w14:textId="77777777" w:rsidR="00CE68FF" w:rsidRDefault="00CE68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74F55"/>
    <w:multiLevelType w:val="hybridMultilevel"/>
    <w:tmpl w:val="84A63CAA"/>
    <w:lvl w:ilvl="0" w:tplc="A392928A">
      <w:start w:val="1"/>
      <w:numFmt w:val="decimal"/>
      <w:lvlText w:val="%1."/>
      <w:lvlJc w:val="left"/>
      <w:pPr>
        <w:ind w:left="720" w:hanging="360"/>
      </w:pPr>
    </w:lvl>
    <w:lvl w:ilvl="1" w:tplc="3842C71E">
      <w:numFmt w:val="decimal"/>
      <w:lvlText w:val=""/>
      <w:lvlJc w:val="left"/>
    </w:lvl>
    <w:lvl w:ilvl="2" w:tplc="87B82864">
      <w:numFmt w:val="decimal"/>
      <w:lvlText w:val=""/>
      <w:lvlJc w:val="left"/>
    </w:lvl>
    <w:lvl w:ilvl="3" w:tplc="D516549E">
      <w:numFmt w:val="decimal"/>
      <w:lvlText w:val=""/>
      <w:lvlJc w:val="left"/>
    </w:lvl>
    <w:lvl w:ilvl="4" w:tplc="816EE2CC">
      <w:numFmt w:val="decimal"/>
      <w:lvlText w:val=""/>
      <w:lvlJc w:val="left"/>
    </w:lvl>
    <w:lvl w:ilvl="5" w:tplc="44140B64">
      <w:numFmt w:val="decimal"/>
      <w:lvlText w:val=""/>
      <w:lvlJc w:val="left"/>
    </w:lvl>
    <w:lvl w:ilvl="6" w:tplc="3F2CDEA8">
      <w:numFmt w:val="decimal"/>
      <w:lvlText w:val=""/>
      <w:lvlJc w:val="left"/>
    </w:lvl>
    <w:lvl w:ilvl="7" w:tplc="6430E852">
      <w:numFmt w:val="decimal"/>
      <w:lvlText w:val=""/>
      <w:lvlJc w:val="left"/>
    </w:lvl>
    <w:lvl w:ilvl="8" w:tplc="3B582A42">
      <w:numFmt w:val="decimal"/>
      <w:lvlText w:val=""/>
      <w:lvlJc w:val="left"/>
    </w:lvl>
  </w:abstractNum>
  <w:abstractNum w:abstractNumId="1" w15:restartNumberingAfterBreak="0">
    <w:nsid w:val="43EA1A94"/>
    <w:multiLevelType w:val="hybridMultilevel"/>
    <w:tmpl w:val="B1F2037C"/>
    <w:lvl w:ilvl="0" w:tplc="2A8C8878">
      <w:start w:val="1"/>
      <w:numFmt w:val="bullet"/>
      <w:lvlText w:val="•"/>
      <w:lvlJc w:val="left"/>
      <w:pPr>
        <w:ind w:left="720" w:hanging="360"/>
      </w:pPr>
    </w:lvl>
    <w:lvl w:ilvl="1" w:tplc="0958E698">
      <w:numFmt w:val="decimal"/>
      <w:lvlText w:val=""/>
      <w:lvlJc w:val="left"/>
    </w:lvl>
    <w:lvl w:ilvl="2" w:tplc="0420A880">
      <w:numFmt w:val="decimal"/>
      <w:lvlText w:val=""/>
      <w:lvlJc w:val="left"/>
    </w:lvl>
    <w:lvl w:ilvl="3" w:tplc="EB967076">
      <w:numFmt w:val="decimal"/>
      <w:lvlText w:val=""/>
      <w:lvlJc w:val="left"/>
    </w:lvl>
    <w:lvl w:ilvl="4" w:tplc="C0C01320">
      <w:numFmt w:val="decimal"/>
      <w:lvlText w:val=""/>
      <w:lvlJc w:val="left"/>
    </w:lvl>
    <w:lvl w:ilvl="5" w:tplc="F5E63C68">
      <w:numFmt w:val="decimal"/>
      <w:lvlText w:val=""/>
      <w:lvlJc w:val="left"/>
    </w:lvl>
    <w:lvl w:ilvl="6" w:tplc="EFCAC57C">
      <w:numFmt w:val="decimal"/>
      <w:lvlText w:val=""/>
      <w:lvlJc w:val="left"/>
    </w:lvl>
    <w:lvl w:ilvl="7" w:tplc="D2049DFA">
      <w:numFmt w:val="decimal"/>
      <w:lvlText w:val=""/>
      <w:lvlJc w:val="left"/>
    </w:lvl>
    <w:lvl w:ilvl="8" w:tplc="2C425F5A">
      <w:numFmt w:val="decimal"/>
      <w:lvlText w:val=""/>
      <w:lvlJc w:val="left"/>
    </w:lvl>
  </w:abstractNum>
  <w:abstractNum w:abstractNumId="2" w15:restartNumberingAfterBreak="0">
    <w:nsid w:val="5BBD3A84"/>
    <w:multiLevelType w:val="hybridMultilevel"/>
    <w:tmpl w:val="1A94F82E"/>
    <w:lvl w:ilvl="0" w:tplc="858479B4">
      <w:start w:val="1"/>
      <w:numFmt w:val="bullet"/>
      <w:lvlText w:val="●"/>
      <w:lvlJc w:val="left"/>
      <w:pPr>
        <w:ind w:left="720" w:hanging="360"/>
      </w:pPr>
    </w:lvl>
    <w:lvl w:ilvl="1" w:tplc="5F5A88AC">
      <w:start w:val="1"/>
      <w:numFmt w:val="bullet"/>
      <w:lvlText w:val="○"/>
      <w:lvlJc w:val="left"/>
      <w:pPr>
        <w:ind w:left="1440" w:hanging="360"/>
      </w:pPr>
    </w:lvl>
    <w:lvl w:ilvl="2" w:tplc="9C304D5C">
      <w:start w:val="1"/>
      <w:numFmt w:val="bullet"/>
      <w:lvlText w:val="■"/>
      <w:lvlJc w:val="left"/>
      <w:pPr>
        <w:ind w:left="2160" w:hanging="360"/>
      </w:pPr>
    </w:lvl>
    <w:lvl w:ilvl="3" w:tplc="343E98A4">
      <w:start w:val="1"/>
      <w:numFmt w:val="bullet"/>
      <w:lvlText w:val="●"/>
      <w:lvlJc w:val="left"/>
      <w:pPr>
        <w:ind w:left="2880" w:hanging="360"/>
      </w:pPr>
    </w:lvl>
    <w:lvl w:ilvl="4" w:tplc="52F6F8E4">
      <w:start w:val="1"/>
      <w:numFmt w:val="bullet"/>
      <w:lvlText w:val="○"/>
      <w:lvlJc w:val="left"/>
      <w:pPr>
        <w:ind w:left="3600" w:hanging="360"/>
      </w:pPr>
    </w:lvl>
    <w:lvl w:ilvl="5" w:tplc="F4DE980C">
      <w:start w:val="1"/>
      <w:numFmt w:val="bullet"/>
      <w:lvlText w:val="■"/>
      <w:lvlJc w:val="left"/>
      <w:pPr>
        <w:ind w:left="4320" w:hanging="360"/>
      </w:pPr>
    </w:lvl>
    <w:lvl w:ilvl="6" w:tplc="9FBA27D4">
      <w:start w:val="1"/>
      <w:numFmt w:val="bullet"/>
      <w:lvlText w:val="●"/>
      <w:lvlJc w:val="left"/>
      <w:pPr>
        <w:ind w:left="5040" w:hanging="360"/>
      </w:pPr>
    </w:lvl>
    <w:lvl w:ilvl="7" w:tplc="4B02F1A6">
      <w:start w:val="1"/>
      <w:numFmt w:val="bullet"/>
      <w:lvlText w:val="●"/>
      <w:lvlJc w:val="left"/>
      <w:pPr>
        <w:ind w:left="5760" w:hanging="360"/>
      </w:pPr>
    </w:lvl>
    <w:lvl w:ilvl="8" w:tplc="FAA4F85A">
      <w:start w:val="1"/>
      <w:numFmt w:val="bullet"/>
      <w:lvlText w:val="●"/>
      <w:lvlJc w:val="left"/>
      <w:pPr>
        <w:ind w:left="6480" w:hanging="360"/>
      </w:pPr>
    </w:lvl>
  </w:abstractNum>
  <w:num w:numId="1" w16cid:durableId="1516503654">
    <w:abstractNumId w:val="2"/>
    <w:lvlOverride w:ilvl="0">
      <w:startOverride w:val="1"/>
    </w:lvlOverride>
  </w:num>
  <w:num w:numId="2" w16cid:durableId="230239117">
    <w:abstractNumId w:val="1"/>
    <w:lvlOverride w:ilvl="0">
      <w:startOverride w:val="1"/>
    </w:lvlOverride>
  </w:num>
  <w:num w:numId="3" w16cid:durableId="21098090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211"/>
    <w:rsid w:val="00121AB5"/>
    <w:rsid w:val="001C3F85"/>
    <w:rsid w:val="007F1D69"/>
    <w:rsid w:val="00CE68FF"/>
    <w:rsid w:val="00E56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BBCD8A"/>
  <w15:docId w15:val="{DEFCE019-E21A-4C34-9A2D-32C9BF520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39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C3F85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3F85"/>
  </w:style>
  <w:style w:type="paragraph" w:styleId="Footer">
    <w:name w:val="footer"/>
    <w:basedOn w:val="Normal"/>
    <w:link w:val="FooterChar"/>
    <w:uiPriority w:val="99"/>
    <w:unhideWhenUsed/>
    <w:rsid w:val="001C3F85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3F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1158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 3 — One-Page Design Summary</vt:lpstr>
    </vt:vector>
  </TitlesOfParts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3 — One-Page Design Summary</dc:title>
  <dc:creator>JurisCom</dc:creator>
  <dc:description>Plain-language design-choices summary for the JurisCom prototype (Assignment 1, Task 3, Option A).</dc:description>
  <cp:lastModifiedBy>Joon Hoong Wong</cp:lastModifiedBy>
  <cp:revision>2</cp:revision>
  <dcterms:created xsi:type="dcterms:W3CDTF">2026-05-16T07:40:00Z</dcterms:created>
  <dcterms:modified xsi:type="dcterms:W3CDTF">2026-05-16T14:02:00Z</dcterms:modified>
</cp:coreProperties>
</file>