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AA781" w14:textId="7EAE258B" w:rsidR="002C6653" w:rsidRDefault="00000000">
      <w:pPr>
        <w:pStyle w:val="Title"/>
      </w:pPr>
      <w:r>
        <w:t xml:space="preserve">Task 1: </w:t>
      </w:r>
      <w:r w:rsidR="006864F4">
        <w:t>Selection and Research</w:t>
      </w:r>
    </w:p>
    <w:p w14:paraId="03A8EC83" w14:textId="18F69BD1" w:rsidR="002C6653" w:rsidRDefault="00000000">
      <w:pPr>
        <w:spacing w:after="120"/>
      </w:pPr>
      <w:r>
        <w:t xml:space="preserve">Wong Joon Hoong | G2505242K | </w:t>
      </w:r>
      <w:hyperlink r:id="rId8" w:history="1">
        <w:r w:rsidR="006864F4" w:rsidRPr="00B33843">
          <w:rPr>
            <w:rStyle w:val="Hyperlink"/>
          </w:rPr>
          <w:t>joonhoongwong@yahoo.com</w:t>
        </w:r>
      </w:hyperlink>
      <w:r w:rsidR="006864F4">
        <w:t xml:space="preserve"> | jwong187@e.ntu.edu.sg</w:t>
      </w:r>
    </w:p>
    <w:p w14:paraId="251C9C6A" w14:textId="77777777" w:rsidR="006864F4" w:rsidRPr="006864F4" w:rsidRDefault="006864F4" w:rsidP="006864F4">
      <w:pPr>
        <w:pStyle w:val="Heading1"/>
        <w:spacing w:after="120"/>
        <w:rPr>
          <w:rFonts w:ascii="Arial" w:hAnsi="Arial"/>
        </w:rPr>
      </w:pPr>
      <w:r w:rsidRPr="006864F4">
        <w:rPr>
          <w:rFonts w:ascii="Arial" w:hAnsi="Arial"/>
        </w:rPr>
        <w:t>Introduction</w:t>
      </w:r>
    </w:p>
    <w:p w14:paraId="55A956BD" w14:textId="0A4EC005" w:rsidR="006864F4" w:rsidRDefault="006864F4" w:rsidP="006864F4">
      <w:pPr>
        <w:spacing w:after="120"/>
        <w:jc w:val="both"/>
        <w:rPr>
          <w:lang w:val="en-GB"/>
        </w:rPr>
      </w:pPr>
      <w:r w:rsidRPr="006864F4">
        <w:rPr>
          <w:lang w:val="en-GB"/>
        </w:rPr>
        <w:t xml:space="preserve">Financial institutions operating across multiple jurisdictions face heightened regulatory complexity, particularly in anti-money laundering and countering the financing of terrorism compliance. </w:t>
      </w:r>
      <w:proofErr w:type="gramStart"/>
      <w:r w:rsidRPr="006864F4">
        <w:rPr>
          <w:lang w:val="en-GB"/>
        </w:rPr>
        <w:t xml:space="preserve">This </w:t>
      </w:r>
      <w:r w:rsidR="00B33262">
        <w:rPr>
          <w:lang w:val="en-GB"/>
        </w:rPr>
        <w:t>projects</w:t>
      </w:r>
      <w:proofErr w:type="gramEnd"/>
      <w:r w:rsidRPr="006864F4">
        <w:rPr>
          <w:lang w:val="en-GB"/>
        </w:rPr>
        <w:t xml:space="preserve"> examines Standard Chartered Bank as a case study for designing jurisdiction-aware compliance tooling, with a specific focus on anti-money laundering and know-your-customer obligations in the United States and Singapore. The comparison demonstrates that materially different regulatory outcomes may arise from the same customer profile or transaction when assessed under different legal regimes.</w:t>
      </w:r>
    </w:p>
    <w:p w14:paraId="14CAE9E0" w14:textId="77777777" w:rsidR="006864F4" w:rsidRDefault="006864F4" w:rsidP="006864F4">
      <w:pPr>
        <w:pStyle w:val="Heading2"/>
        <w:spacing w:after="120"/>
      </w:pPr>
      <w:r>
        <w:rPr>
          <w:rFonts w:ascii="Arial" w:hAnsi="Arial"/>
        </w:rPr>
        <w:t>Rationale for selection</w:t>
      </w:r>
    </w:p>
    <w:p w14:paraId="5C716E65" w14:textId="77777777" w:rsidR="006864F4" w:rsidRPr="006864F4" w:rsidRDefault="006864F4" w:rsidP="006864F4">
      <w:pPr>
        <w:spacing w:after="120"/>
        <w:jc w:val="both"/>
        <w:rPr>
          <w:lang w:val="en-GB"/>
        </w:rPr>
      </w:pPr>
      <w:r w:rsidRPr="006864F4">
        <w:rPr>
          <w:lang w:val="en-GB"/>
        </w:rPr>
        <w:t>Standard Chartered Bank is a suitable case study because it maintains significant regulated operations in both the United States and Singapore, and because its historical enforcement record illustrates the operational consequences of deficiencies in sanctions screening, anti-money laundering controls, and jurisdiction-specific compliance implementation (New York State Department of Financial Services [NYDFS], 2012; U.S. Department of Justice [DOJ], 2019). These characteristics make the bank an appropriate subject for evaluating how a rules-based, configurable prototype could support cross-border compliance decision-making.</w:t>
      </w:r>
    </w:p>
    <w:p w14:paraId="6E7731C2" w14:textId="77777777" w:rsidR="002C6653" w:rsidRDefault="00000000">
      <w:pPr>
        <w:pStyle w:val="Heading1"/>
        <w:spacing w:after="120"/>
      </w:pPr>
      <w:r>
        <w:rPr>
          <w:rFonts w:ascii="Arial" w:hAnsi="Arial"/>
        </w:rPr>
        <w:t>1.1 Selected Entity: Standard Chartered Bank (SCB)</w:t>
      </w:r>
    </w:p>
    <w:p w14:paraId="6C9BC288" w14:textId="126C5E32" w:rsidR="002C6653" w:rsidRDefault="00B33262">
      <w:pPr>
        <w:pStyle w:val="Heading2"/>
        <w:spacing w:after="120"/>
      </w:pPr>
      <w:r w:rsidRPr="00B33262">
        <w:rPr>
          <w:rFonts w:ascii="Arial" w:hAnsi="Arial"/>
          <w:i/>
          <w:iCs/>
        </w:rPr>
        <w:t>Corporate Profile of Standard Chartered PLC</w:t>
      </w:r>
    </w:p>
    <w:tbl>
      <w:tblPr>
        <w:tblStyle w:val="TableGrid"/>
        <w:tblW w:w="0" w:type="auto"/>
        <w:tblLook w:val="04A0" w:firstRow="1" w:lastRow="0" w:firstColumn="1" w:lastColumn="0" w:noHBand="0" w:noVBand="1"/>
      </w:tblPr>
      <w:tblGrid>
        <w:gridCol w:w="4968"/>
        <w:gridCol w:w="4968"/>
      </w:tblGrid>
      <w:tr w:rsidR="002C6653" w14:paraId="760CBE20" w14:textId="77777777">
        <w:tc>
          <w:tcPr>
            <w:tcW w:w="4968" w:type="dxa"/>
            <w:shd w:val="clear" w:color="auto" w:fill="EAF2F8"/>
            <w:tcMar>
              <w:top w:w="80" w:type="dxa"/>
              <w:left w:w="100" w:type="dxa"/>
              <w:bottom w:w="80" w:type="dxa"/>
              <w:right w:w="100" w:type="dxa"/>
            </w:tcMar>
          </w:tcPr>
          <w:p w14:paraId="2E82CDF9" w14:textId="77777777" w:rsidR="002C6653" w:rsidRDefault="00000000">
            <w:r>
              <w:rPr>
                <w:b/>
                <w:sz w:val="19"/>
              </w:rPr>
              <w:t>Attribute</w:t>
            </w:r>
          </w:p>
        </w:tc>
        <w:tc>
          <w:tcPr>
            <w:tcW w:w="4968" w:type="dxa"/>
            <w:shd w:val="clear" w:color="auto" w:fill="EAF2F8"/>
            <w:tcMar>
              <w:top w:w="80" w:type="dxa"/>
              <w:left w:w="100" w:type="dxa"/>
              <w:bottom w:w="80" w:type="dxa"/>
              <w:right w:w="100" w:type="dxa"/>
            </w:tcMar>
          </w:tcPr>
          <w:p w14:paraId="6B2498F4" w14:textId="77777777" w:rsidR="002C6653" w:rsidRDefault="00000000">
            <w:r>
              <w:rPr>
                <w:b/>
                <w:sz w:val="19"/>
              </w:rPr>
              <w:t>Detail</w:t>
            </w:r>
          </w:p>
        </w:tc>
      </w:tr>
      <w:tr w:rsidR="002C6653" w14:paraId="73BFFAB1" w14:textId="77777777">
        <w:tc>
          <w:tcPr>
            <w:tcW w:w="4968" w:type="dxa"/>
            <w:tcMar>
              <w:top w:w="80" w:type="dxa"/>
              <w:left w:w="100" w:type="dxa"/>
              <w:bottom w:w="80" w:type="dxa"/>
              <w:right w:w="100" w:type="dxa"/>
            </w:tcMar>
          </w:tcPr>
          <w:p w14:paraId="61E6CAA2" w14:textId="77777777" w:rsidR="002C6653" w:rsidRDefault="00000000">
            <w:r>
              <w:rPr>
                <w:sz w:val="19"/>
              </w:rPr>
              <w:t>Full name</w:t>
            </w:r>
          </w:p>
        </w:tc>
        <w:tc>
          <w:tcPr>
            <w:tcW w:w="4968" w:type="dxa"/>
            <w:tcMar>
              <w:top w:w="80" w:type="dxa"/>
              <w:left w:w="100" w:type="dxa"/>
              <w:bottom w:w="80" w:type="dxa"/>
              <w:right w:w="100" w:type="dxa"/>
            </w:tcMar>
          </w:tcPr>
          <w:p w14:paraId="6DF8902D" w14:textId="77777777" w:rsidR="002C6653" w:rsidRDefault="00000000">
            <w:r>
              <w:rPr>
                <w:sz w:val="19"/>
              </w:rPr>
              <w:t>Standard Chartered PLC</w:t>
            </w:r>
          </w:p>
        </w:tc>
      </w:tr>
      <w:tr w:rsidR="002C6653" w14:paraId="31135A46" w14:textId="77777777">
        <w:tc>
          <w:tcPr>
            <w:tcW w:w="4968" w:type="dxa"/>
            <w:tcMar>
              <w:top w:w="80" w:type="dxa"/>
              <w:left w:w="100" w:type="dxa"/>
              <w:bottom w:w="80" w:type="dxa"/>
              <w:right w:w="100" w:type="dxa"/>
            </w:tcMar>
          </w:tcPr>
          <w:p w14:paraId="27014B51" w14:textId="77777777" w:rsidR="002C6653" w:rsidRDefault="00000000">
            <w:r>
              <w:rPr>
                <w:sz w:val="19"/>
              </w:rPr>
              <w:t>Founded</w:t>
            </w:r>
          </w:p>
        </w:tc>
        <w:tc>
          <w:tcPr>
            <w:tcW w:w="4968" w:type="dxa"/>
            <w:tcMar>
              <w:top w:w="80" w:type="dxa"/>
              <w:left w:w="100" w:type="dxa"/>
              <w:bottom w:w="80" w:type="dxa"/>
              <w:right w:w="100" w:type="dxa"/>
            </w:tcMar>
          </w:tcPr>
          <w:p w14:paraId="77B3355E" w14:textId="77777777" w:rsidR="002C6653" w:rsidRDefault="00000000">
            <w:r>
              <w:rPr>
                <w:sz w:val="19"/>
              </w:rPr>
              <w:t>1969 (merger of Standard Bank of British South Africa and Chartered Bank of India)</w:t>
            </w:r>
          </w:p>
        </w:tc>
      </w:tr>
      <w:tr w:rsidR="002C6653" w14:paraId="7C274C0B" w14:textId="77777777">
        <w:tc>
          <w:tcPr>
            <w:tcW w:w="4968" w:type="dxa"/>
            <w:tcMar>
              <w:top w:w="80" w:type="dxa"/>
              <w:left w:w="100" w:type="dxa"/>
              <w:bottom w:w="80" w:type="dxa"/>
              <w:right w:w="100" w:type="dxa"/>
            </w:tcMar>
          </w:tcPr>
          <w:p w14:paraId="4E7B0479" w14:textId="77777777" w:rsidR="002C6653" w:rsidRDefault="00000000">
            <w:r>
              <w:rPr>
                <w:sz w:val="19"/>
              </w:rPr>
              <w:t>Headquarters</w:t>
            </w:r>
          </w:p>
        </w:tc>
        <w:tc>
          <w:tcPr>
            <w:tcW w:w="4968" w:type="dxa"/>
            <w:tcMar>
              <w:top w:w="80" w:type="dxa"/>
              <w:left w:w="100" w:type="dxa"/>
              <w:bottom w:w="80" w:type="dxa"/>
              <w:right w:w="100" w:type="dxa"/>
            </w:tcMar>
          </w:tcPr>
          <w:p w14:paraId="60677603" w14:textId="77777777" w:rsidR="002C6653" w:rsidRDefault="00000000">
            <w:r>
              <w:rPr>
                <w:sz w:val="19"/>
              </w:rPr>
              <w:t>London, United Kingdom</w:t>
            </w:r>
          </w:p>
        </w:tc>
      </w:tr>
      <w:tr w:rsidR="002C6653" w14:paraId="18677BE0" w14:textId="77777777">
        <w:tc>
          <w:tcPr>
            <w:tcW w:w="4968" w:type="dxa"/>
            <w:tcMar>
              <w:top w:w="80" w:type="dxa"/>
              <w:left w:w="100" w:type="dxa"/>
              <w:bottom w:w="80" w:type="dxa"/>
              <w:right w:w="100" w:type="dxa"/>
            </w:tcMar>
          </w:tcPr>
          <w:p w14:paraId="0A9D44F9" w14:textId="77777777" w:rsidR="002C6653" w:rsidRDefault="00000000">
            <w:r>
              <w:rPr>
                <w:sz w:val="19"/>
              </w:rPr>
              <w:t>Listings</w:t>
            </w:r>
          </w:p>
        </w:tc>
        <w:tc>
          <w:tcPr>
            <w:tcW w:w="4968" w:type="dxa"/>
            <w:tcMar>
              <w:top w:w="80" w:type="dxa"/>
              <w:left w:w="100" w:type="dxa"/>
              <w:bottom w:w="80" w:type="dxa"/>
              <w:right w:w="100" w:type="dxa"/>
            </w:tcMar>
          </w:tcPr>
          <w:p w14:paraId="4E6BCB6A" w14:textId="77777777" w:rsidR="002C6653" w:rsidRDefault="00000000">
            <w:r>
              <w:rPr>
                <w:sz w:val="19"/>
              </w:rPr>
              <w:t>London Stock Exchange (primary); Hong Kong Stock Exchange (secondary)</w:t>
            </w:r>
          </w:p>
        </w:tc>
      </w:tr>
      <w:tr w:rsidR="002C6653" w14:paraId="16015DC3" w14:textId="77777777">
        <w:tc>
          <w:tcPr>
            <w:tcW w:w="4968" w:type="dxa"/>
            <w:tcMar>
              <w:top w:w="80" w:type="dxa"/>
              <w:left w:w="100" w:type="dxa"/>
              <w:bottom w:w="80" w:type="dxa"/>
              <w:right w:w="100" w:type="dxa"/>
            </w:tcMar>
          </w:tcPr>
          <w:p w14:paraId="5507F619" w14:textId="77777777" w:rsidR="002C6653" w:rsidRDefault="00000000">
            <w:r>
              <w:rPr>
                <w:sz w:val="19"/>
              </w:rPr>
              <w:t>Total assets</w:t>
            </w:r>
          </w:p>
        </w:tc>
        <w:tc>
          <w:tcPr>
            <w:tcW w:w="4968" w:type="dxa"/>
            <w:tcMar>
              <w:top w:w="80" w:type="dxa"/>
              <w:left w:w="100" w:type="dxa"/>
              <w:bottom w:w="80" w:type="dxa"/>
              <w:right w:w="100" w:type="dxa"/>
            </w:tcMar>
          </w:tcPr>
          <w:p w14:paraId="2D78FFFD" w14:textId="77777777" w:rsidR="002C6653" w:rsidRDefault="00000000">
            <w:r>
              <w:rPr>
                <w:sz w:val="19"/>
              </w:rPr>
              <w:t>~USD 830 billion (2023 Annual Report)</w:t>
            </w:r>
          </w:p>
        </w:tc>
      </w:tr>
      <w:tr w:rsidR="002C6653" w14:paraId="00F4A506" w14:textId="77777777">
        <w:tc>
          <w:tcPr>
            <w:tcW w:w="4968" w:type="dxa"/>
            <w:tcMar>
              <w:top w:w="80" w:type="dxa"/>
              <w:left w:w="100" w:type="dxa"/>
              <w:bottom w:w="80" w:type="dxa"/>
              <w:right w:w="100" w:type="dxa"/>
            </w:tcMar>
          </w:tcPr>
          <w:p w14:paraId="4D76B4F1" w14:textId="77777777" w:rsidR="002C6653" w:rsidRDefault="00000000">
            <w:r>
              <w:rPr>
                <w:sz w:val="19"/>
              </w:rPr>
              <w:t>Markets</w:t>
            </w:r>
          </w:p>
        </w:tc>
        <w:tc>
          <w:tcPr>
            <w:tcW w:w="4968" w:type="dxa"/>
            <w:tcMar>
              <w:top w:w="80" w:type="dxa"/>
              <w:left w:w="100" w:type="dxa"/>
              <w:bottom w:w="80" w:type="dxa"/>
              <w:right w:w="100" w:type="dxa"/>
            </w:tcMar>
          </w:tcPr>
          <w:p w14:paraId="5E0856BE" w14:textId="77777777" w:rsidR="002C6653" w:rsidRDefault="00000000">
            <w:r>
              <w:rPr>
                <w:sz w:val="19"/>
              </w:rPr>
              <w:t>Operations in 59+ markets across Asia, Africa, the Middle East and Americas</w:t>
            </w:r>
          </w:p>
        </w:tc>
      </w:tr>
      <w:tr w:rsidR="002C6653" w14:paraId="257809ED" w14:textId="77777777">
        <w:tc>
          <w:tcPr>
            <w:tcW w:w="4968" w:type="dxa"/>
            <w:tcMar>
              <w:top w:w="80" w:type="dxa"/>
              <w:left w:w="100" w:type="dxa"/>
              <w:bottom w:w="80" w:type="dxa"/>
              <w:right w:w="100" w:type="dxa"/>
            </w:tcMar>
          </w:tcPr>
          <w:p w14:paraId="446B7D2B" w14:textId="77777777" w:rsidR="002C6653" w:rsidRDefault="00000000">
            <w:r>
              <w:rPr>
                <w:sz w:val="19"/>
              </w:rPr>
              <w:t>Revenue</w:t>
            </w:r>
          </w:p>
        </w:tc>
        <w:tc>
          <w:tcPr>
            <w:tcW w:w="4968" w:type="dxa"/>
            <w:tcMar>
              <w:top w:w="80" w:type="dxa"/>
              <w:left w:w="100" w:type="dxa"/>
              <w:bottom w:w="80" w:type="dxa"/>
              <w:right w:w="100" w:type="dxa"/>
            </w:tcMar>
          </w:tcPr>
          <w:p w14:paraId="6AADB7FB" w14:textId="77777777" w:rsidR="002C6653" w:rsidRDefault="00000000">
            <w:r>
              <w:rPr>
                <w:sz w:val="19"/>
              </w:rPr>
              <w:t>~USD 17.8 billion (2023)</w:t>
            </w:r>
          </w:p>
        </w:tc>
      </w:tr>
      <w:tr w:rsidR="002C6653" w14:paraId="25A39667" w14:textId="77777777">
        <w:tc>
          <w:tcPr>
            <w:tcW w:w="4968" w:type="dxa"/>
            <w:tcMar>
              <w:top w:w="80" w:type="dxa"/>
              <w:left w:w="100" w:type="dxa"/>
              <w:bottom w:w="80" w:type="dxa"/>
              <w:right w:w="100" w:type="dxa"/>
            </w:tcMar>
          </w:tcPr>
          <w:p w14:paraId="0921989A" w14:textId="77777777" w:rsidR="002C6653" w:rsidRDefault="00000000">
            <w:r>
              <w:rPr>
                <w:sz w:val="19"/>
              </w:rPr>
              <w:t>Primary regulator (group)</w:t>
            </w:r>
          </w:p>
        </w:tc>
        <w:tc>
          <w:tcPr>
            <w:tcW w:w="4968" w:type="dxa"/>
            <w:tcMar>
              <w:top w:w="80" w:type="dxa"/>
              <w:left w:w="100" w:type="dxa"/>
              <w:bottom w:w="80" w:type="dxa"/>
              <w:right w:w="100" w:type="dxa"/>
            </w:tcMar>
          </w:tcPr>
          <w:p w14:paraId="68E7F4B4" w14:textId="0F1F9288" w:rsidR="002C6653" w:rsidRDefault="00B33262">
            <w:r w:rsidRPr="00B33262">
              <w:rPr>
                <w:sz w:val="19"/>
              </w:rPr>
              <w:t>Prudential Regulation Authority and Financial Conduct Authority in the United Kingdom</w:t>
            </w:r>
          </w:p>
        </w:tc>
      </w:tr>
    </w:tbl>
    <w:p w14:paraId="0FCDAE4F" w14:textId="77777777" w:rsidR="002C6653" w:rsidRDefault="002C6653"/>
    <w:p w14:paraId="60A4CBB6" w14:textId="77777777" w:rsidR="002C6653" w:rsidRDefault="00000000">
      <w:pPr>
        <w:pStyle w:val="Heading2"/>
        <w:spacing w:after="120"/>
        <w:rPr>
          <w:rFonts w:ascii="Arial" w:hAnsi="Arial"/>
        </w:rPr>
      </w:pPr>
      <w:r>
        <w:rPr>
          <w:rFonts w:ascii="Arial" w:hAnsi="Arial"/>
        </w:rPr>
        <w:lastRenderedPageBreak/>
        <w:t>US operations</w:t>
      </w:r>
    </w:p>
    <w:p w14:paraId="6CF41837" w14:textId="354725BE" w:rsidR="00B33262" w:rsidRPr="00B33262" w:rsidRDefault="00B33262" w:rsidP="00B33262">
      <w:pPr>
        <w:spacing w:after="120"/>
        <w:jc w:val="both"/>
        <w:rPr>
          <w:lang w:val="en-GB"/>
        </w:rPr>
      </w:pPr>
      <w:r w:rsidRPr="00B33262">
        <w:rPr>
          <w:lang w:val="en-GB"/>
        </w:rPr>
        <w:t>In the United States, Standard Chartered operates primarily through Standard Chartered Bank, New York Branch. The branch is subject to federal and state regulatory supervision, including oversight by the Office of the Comptroller of the Currency</w:t>
      </w:r>
      <w:r>
        <w:rPr>
          <w:lang w:val="en-GB"/>
        </w:rPr>
        <w:t xml:space="preserve"> (“OCC”)</w:t>
      </w:r>
      <w:r w:rsidRPr="00B33262">
        <w:rPr>
          <w:lang w:val="en-GB"/>
        </w:rPr>
        <w:t>, the Federal Reserve Board, the New York Department of Financial Services</w:t>
      </w:r>
      <w:r>
        <w:rPr>
          <w:lang w:val="en-GB"/>
        </w:rPr>
        <w:t xml:space="preserve"> (“NYDFS”)</w:t>
      </w:r>
      <w:r w:rsidRPr="00B33262">
        <w:rPr>
          <w:lang w:val="en-GB"/>
        </w:rPr>
        <w:t>, the Financial Crimes Enforcement Network, and the Office of Foreign Assets Control. Its principal United States activities include correspondent banking, trade finance, foreign exchange, structured finance, and private banking services for high-net-worth clients.</w:t>
      </w:r>
    </w:p>
    <w:p w14:paraId="6B51E4B9" w14:textId="77777777" w:rsidR="00B33262" w:rsidRPr="00B33262" w:rsidRDefault="00B33262" w:rsidP="00B33262">
      <w:pPr>
        <w:spacing w:after="120"/>
        <w:jc w:val="both"/>
        <w:rPr>
          <w:lang w:val="en-GB"/>
        </w:rPr>
      </w:pPr>
      <w:r w:rsidRPr="00B33262">
        <w:rPr>
          <w:lang w:val="en-GB"/>
        </w:rPr>
        <w:t xml:space="preserve">Standard </w:t>
      </w:r>
      <w:proofErr w:type="spellStart"/>
      <w:r w:rsidRPr="00B33262">
        <w:rPr>
          <w:lang w:val="en-GB"/>
        </w:rPr>
        <w:t>Chartered’s</w:t>
      </w:r>
      <w:proofErr w:type="spellEnd"/>
      <w:r w:rsidRPr="00B33262">
        <w:rPr>
          <w:lang w:val="en-GB"/>
        </w:rPr>
        <w:t xml:space="preserve"> prior enforcement history is directly relevant to the proposed compliance-tooling design. In 2012, the New York Department of Financial Services </w:t>
      </w:r>
      <w:proofErr w:type="gramStart"/>
      <w:r w:rsidRPr="00B33262">
        <w:rPr>
          <w:lang w:val="en-GB"/>
        </w:rPr>
        <w:t>entered into</w:t>
      </w:r>
      <w:proofErr w:type="gramEnd"/>
      <w:r w:rsidRPr="00B33262">
        <w:rPr>
          <w:lang w:val="en-GB"/>
        </w:rPr>
        <w:t xml:space="preserve"> a consent order with Standard Chartered in relation to sanctions violations involving Iranian-linked transactions. The order stated that the bank had processed approximately USD 250 billion in transactions through its New York branch while concealing the Iranian nexus of those transactions, resulting in a USD 340 million settlement (NYDFS, 2012). In 2019, Standard Chartered agreed to pay approximately USD 947 million to United States authorities to resolve criminal and civil investigations involving sanctions violations relating to Iran, Myanmar, Syria, Sudan, and Zimbabwe, as well as Bank Secrecy Act and anti-money laundering control failures (DOJ, 2019).</w:t>
      </w:r>
    </w:p>
    <w:p w14:paraId="3FC07907" w14:textId="77777777" w:rsidR="00B33262" w:rsidRPr="00B33262" w:rsidRDefault="00B33262" w:rsidP="00B33262">
      <w:pPr>
        <w:spacing w:after="120"/>
        <w:jc w:val="both"/>
        <w:rPr>
          <w:lang w:val="en-GB"/>
        </w:rPr>
      </w:pPr>
      <w:r w:rsidRPr="00B33262">
        <w:rPr>
          <w:lang w:val="en-GB"/>
        </w:rPr>
        <w:t>These enforcement matters demonstrate the importance of transaction screening, sanctions filtering, jurisdiction-specific rule application, and robust audit trails. A compliance prototype designed around jurisdiction-specific rules could assist in identifying the types of control failures that contributed to these enforcement outcomes.</w:t>
      </w:r>
    </w:p>
    <w:p w14:paraId="615A9B06" w14:textId="77777777" w:rsidR="002C6653" w:rsidRDefault="00000000">
      <w:pPr>
        <w:pStyle w:val="Heading2"/>
        <w:spacing w:after="120"/>
      </w:pPr>
      <w:r>
        <w:rPr>
          <w:rFonts w:ascii="Arial" w:hAnsi="Arial"/>
        </w:rPr>
        <w:t>Singapore operations</w:t>
      </w:r>
    </w:p>
    <w:p w14:paraId="6B444953" w14:textId="77777777" w:rsidR="00B33262" w:rsidRPr="00B33262" w:rsidRDefault="00B33262" w:rsidP="00B33262">
      <w:pPr>
        <w:spacing w:after="120"/>
        <w:jc w:val="both"/>
        <w:rPr>
          <w:lang w:val="en-GB"/>
        </w:rPr>
      </w:pPr>
      <w:r w:rsidRPr="00B33262">
        <w:rPr>
          <w:lang w:val="en-GB"/>
        </w:rPr>
        <w:t>Standard Chartered Bank has a longstanding presence in Singapore, having operated there since 1859 through the Chartered Bank. Standard Chartered Bank (Singapore) Limited is regulated by the Monetary Authority of Singapore and holds a full banking licence under Singapore’s banking regulatory framework (Monetary Authority of Singapore [MAS], n.d.-a). Singapore also functions as a significant regional hub for the bank, particularly for Southeast Asian operations.</w:t>
      </w:r>
    </w:p>
    <w:p w14:paraId="35BDE984" w14:textId="77777777" w:rsidR="00B33262" w:rsidRPr="00B33262" w:rsidRDefault="00B33262" w:rsidP="00B33262">
      <w:pPr>
        <w:spacing w:after="120"/>
        <w:jc w:val="both"/>
        <w:rPr>
          <w:lang w:val="en-GB"/>
        </w:rPr>
      </w:pPr>
      <w:r w:rsidRPr="00B33262">
        <w:rPr>
          <w:lang w:val="en-GB"/>
        </w:rPr>
        <w:t>As a Singapore-regulated bank, Standard Chartered Bank (Singapore) Limited is subject to the Banking Act, the Monetary Authority of Singapore Act, and MAS Notice 626, which sets out anti-money laundering and countering the financing of terrorism obligations for banks (MAS, n.d.-b). These obligations include customer due diligence, ongoing monitoring, beneficial ownership identification, politically exposed person screening, suspicious transaction reporting, and targeted financial sanctions controls.</w:t>
      </w:r>
    </w:p>
    <w:p w14:paraId="25252E34" w14:textId="1B5B6983" w:rsidR="00B33262" w:rsidRDefault="00B33262">
      <w:pPr>
        <w:rPr>
          <w:lang w:val="en-GB"/>
        </w:rPr>
      </w:pPr>
      <w:r>
        <w:rPr>
          <w:lang w:val="en-GB"/>
        </w:rPr>
        <w:br w:type="page"/>
      </w:r>
    </w:p>
    <w:p w14:paraId="1E6A4FCB" w14:textId="77777777" w:rsidR="002C6653" w:rsidRDefault="00000000">
      <w:pPr>
        <w:pStyle w:val="Heading1"/>
        <w:spacing w:after="120"/>
      </w:pPr>
      <w:r>
        <w:rPr>
          <w:rFonts w:ascii="Arial" w:hAnsi="Arial"/>
        </w:rPr>
        <w:lastRenderedPageBreak/>
        <w:t>1.2 Selected Domain: AML/KYC (Anti-Money Laundering / Know Your Customer)</w:t>
      </w:r>
    </w:p>
    <w:p w14:paraId="6F83DC7C" w14:textId="77777777" w:rsidR="002C6653" w:rsidRDefault="00000000">
      <w:pPr>
        <w:pStyle w:val="Heading2"/>
        <w:spacing w:after="120"/>
      </w:pPr>
      <w:r>
        <w:rPr>
          <w:rFonts w:ascii="Arial" w:hAnsi="Arial"/>
        </w:rPr>
        <w:t>Why AML/KYC</w:t>
      </w:r>
    </w:p>
    <w:p w14:paraId="52906CCD" w14:textId="77777777" w:rsidR="00815A33" w:rsidRPr="00815A33" w:rsidRDefault="00815A33" w:rsidP="00815A33">
      <w:pPr>
        <w:spacing w:after="120"/>
        <w:jc w:val="both"/>
        <w:rPr>
          <w:lang w:val="en-GB"/>
        </w:rPr>
      </w:pPr>
      <w:r w:rsidRPr="00815A33">
        <w:rPr>
          <w:lang w:val="en-GB"/>
        </w:rPr>
        <w:t>Anti-money laundering refers to the legal, regulatory, and institutional framework designed to detect, prevent, and report the movement of funds associated with criminal conduct. Anti-money laundering rules commonly target the three recognised stages of money laundering: placement, layering, and integration. Placement involves introducing illicit proceeds into the financial system; layering involves obscuring the origin of funds through complex transactions; and integration involves reintroducing illicit proceeds into the legitimate economy through investments, real estate, or other financial activities.</w:t>
      </w:r>
    </w:p>
    <w:p w14:paraId="09AAC938" w14:textId="77777777" w:rsidR="00815A33" w:rsidRPr="00815A33" w:rsidRDefault="00815A33" w:rsidP="00815A33">
      <w:pPr>
        <w:spacing w:after="120"/>
        <w:jc w:val="both"/>
        <w:rPr>
          <w:lang w:val="en-GB"/>
        </w:rPr>
      </w:pPr>
      <w:r w:rsidRPr="00815A33">
        <w:rPr>
          <w:lang w:val="en-GB"/>
        </w:rPr>
        <w:t>Know-your-customer obligations are closely related to anti-money laundering controls. They require financial institutions to verify customer identity, understand the nature and purpose of customer relationships, identify beneficial owners, assess customer risk profiles, and monitor transactions on an ongoing basis. In cross-border banking, know-your-customer controls are especially important because customer risk may vary materially depending on jurisdiction, customer type, ownership structure, transaction pattern, and exposure to sanctions or politically exposed persons.</w:t>
      </w:r>
    </w:p>
    <w:p w14:paraId="77F62D87" w14:textId="77777777" w:rsidR="00815A33" w:rsidRPr="00815A33" w:rsidRDefault="00815A33" w:rsidP="00815A33">
      <w:pPr>
        <w:spacing w:after="120"/>
        <w:jc w:val="both"/>
        <w:rPr>
          <w:lang w:val="en-GB"/>
        </w:rPr>
      </w:pPr>
      <w:r w:rsidRPr="00815A33">
        <w:rPr>
          <w:lang w:val="en-GB"/>
        </w:rPr>
        <w:t>AML/KYC is an appropriate domain for a prototype because the United States and Singapore frameworks diverge in several measurable areas. These include monetary reporting thresholds, suspicious activity reporting standards, treatment of politically exposed persons, beneficial ownership expectations, sanctions programmes, and filing timelines. These differences can be translated into configurable rules that produce different alerts for the same fact pattern depending on the booking jurisdiction.</w:t>
      </w:r>
    </w:p>
    <w:p w14:paraId="4F961F3A" w14:textId="77777777" w:rsidR="002C6653" w:rsidRDefault="00000000">
      <w:pPr>
        <w:pStyle w:val="Heading1"/>
        <w:spacing w:after="120"/>
        <w:rPr>
          <w:rFonts w:ascii="Arial" w:hAnsi="Arial"/>
        </w:rPr>
      </w:pPr>
      <w:r>
        <w:rPr>
          <w:rFonts w:ascii="Arial" w:hAnsi="Arial"/>
        </w:rPr>
        <w:t>1.3 US Regulatory Framework: BSA/FinCEN</w:t>
      </w:r>
    </w:p>
    <w:p w14:paraId="5A3D061F" w14:textId="4DC2AE88" w:rsidR="00421F61" w:rsidRDefault="00815A33" w:rsidP="00815A33">
      <w:pPr>
        <w:spacing w:after="120"/>
        <w:jc w:val="both"/>
        <w:rPr>
          <w:lang w:val="en-GB"/>
        </w:rPr>
      </w:pPr>
      <w:r w:rsidRPr="00815A33">
        <w:rPr>
          <w:lang w:val="en-GB"/>
        </w:rPr>
        <w:t xml:space="preserve">The United States anti-money laundering framework is anchored in the Bank Secrecy Act, which requires financial institutions to maintain records, file reports, and implement controls to detect money laundering and related financial crimes (Bank Secrecy Act, 1970). The Money Laundering Control Act </w:t>
      </w:r>
      <w:proofErr w:type="spellStart"/>
      <w:r w:rsidRPr="00815A33">
        <w:rPr>
          <w:lang w:val="en-GB"/>
        </w:rPr>
        <w:t>criminalised</w:t>
      </w:r>
      <w:proofErr w:type="spellEnd"/>
      <w:r w:rsidRPr="00815A33">
        <w:rPr>
          <w:lang w:val="en-GB"/>
        </w:rPr>
        <w:t xml:space="preserve"> money laundering, while the USA PATRIOT Act expanded due diligence requirements, particularly for correspondent banking and private banking relationships involving foreign </w:t>
      </w:r>
      <w:proofErr w:type="gramStart"/>
      <w:r w:rsidRPr="00815A33">
        <w:rPr>
          <w:lang w:val="en-GB"/>
        </w:rPr>
        <w:t>persons</w:t>
      </w:r>
      <w:proofErr w:type="gramEnd"/>
      <w:r w:rsidRPr="00815A33">
        <w:rPr>
          <w:lang w:val="en-GB"/>
        </w:rPr>
        <w:t xml:space="preserve"> (USA PATRIOT Act, 2001). The Financial Crimes Enforcement Network’s customer due diligence rule further requires covered financial institutions to identify and verify beneficial owners of legal entity customers (31 C.F.R. § 1010.230, 2018).</w:t>
      </w:r>
    </w:p>
    <w:p w14:paraId="40AE736B" w14:textId="77777777" w:rsidR="00421F61" w:rsidRDefault="00421F61">
      <w:pPr>
        <w:rPr>
          <w:lang w:val="en-GB"/>
        </w:rPr>
      </w:pPr>
      <w:r>
        <w:rPr>
          <w:lang w:val="en-GB"/>
        </w:rPr>
        <w:br w:type="page"/>
      </w:r>
    </w:p>
    <w:p w14:paraId="4D38CF42" w14:textId="77777777" w:rsidR="002C6653" w:rsidRDefault="00000000">
      <w:pPr>
        <w:pStyle w:val="Heading2"/>
        <w:spacing w:after="120"/>
      </w:pPr>
      <w:r>
        <w:rPr>
          <w:rFonts w:ascii="Arial" w:hAnsi="Arial"/>
        </w:rPr>
        <w:lastRenderedPageBreak/>
        <w:t>Governing statutes and rules</w:t>
      </w:r>
    </w:p>
    <w:tbl>
      <w:tblPr>
        <w:tblStyle w:val="TableGrid"/>
        <w:tblW w:w="0" w:type="auto"/>
        <w:tblLook w:val="04A0" w:firstRow="1" w:lastRow="0" w:firstColumn="1" w:lastColumn="0" w:noHBand="0" w:noVBand="1"/>
      </w:tblPr>
      <w:tblGrid>
        <w:gridCol w:w="3312"/>
        <w:gridCol w:w="3312"/>
        <w:gridCol w:w="3312"/>
      </w:tblGrid>
      <w:tr w:rsidR="002C6653" w14:paraId="077C4D91" w14:textId="77777777">
        <w:tc>
          <w:tcPr>
            <w:tcW w:w="3312" w:type="dxa"/>
            <w:shd w:val="clear" w:color="auto" w:fill="EAF2F8"/>
            <w:tcMar>
              <w:top w:w="80" w:type="dxa"/>
              <w:left w:w="100" w:type="dxa"/>
              <w:bottom w:w="80" w:type="dxa"/>
              <w:right w:w="100" w:type="dxa"/>
            </w:tcMar>
          </w:tcPr>
          <w:p w14:paraId="1773F2FE" w14:textId="77777777" w:rsidR="002C6653" w:rsidRDefault="00000000">
            <w:r>
              <w:rPr>
                <w:b/>
                <w:sz w:val="19"/>
              </w:rPr>
              <w:t>Instrument</w:t>
            </w:r>
          </w:p>
        </w:tc>
        <w:tc>
          <w:tcPr>
            <w:tcW w:w="3312" w:type="dxa"/>
            <w:shd w:val="clear" w:color="auto" w:fill="EAF2F8"/>
            <w:tcMar>
              <w:top w:w="80" w:type="dxa"/>
              <w:left w:w="100" w:type="dxa"/>
              <w:bottom w:w="80" w:type="dxa"/>
              <w:right w:w="100" w:type="dxa"/>
            </w:tcMar>
          </w:tcPr>
          <w:p w14:paraId="563DAFD9" w14:textId="77777777" w:rsidR="002C6653" w:rsidRDefault="00000000">
            <w:r>
              <w:rPr>
                <w:b/>
                <w:sz w:val="19"/>
              </w:rPr>
              <w:t>Year</w:t>
            </w:r>
          </w:p>
        </w:tc>
        <w:tc>
          <w:tcPr>
            <w:tcW w:w="3312" w:type="dxa"/>
            <w:shd w:val="clear" w:color="auto" w:fill="EAF2F8"/>
            <w:tcMar>
              <w:top w:w="80" w:type="dxa"/>
              <w:left w:w="100" w:type="dxa"/>
              <w:bottom w:w="80" w:type="dxa"/>
              <w:right w:w="100" w:type="dxa"/>
            </w:tcMar>
          </w:tcPr>
          <w:p w14:paraId="178FECCE" w14:textId="77777777" w:rsidR="002C6653" w:rsidRDefault="00000000">
            <w:r>
              <w:rPr>
                <w:b/>
                <w:sz w:val="19"/>
              </w:rPr>
              <w:t>Key provision</w:t>
            </w:r>
          </w:p>
        </w:tc>
      </w:tr>
      <w:tr w:rsidR="002C6653" w14:paraId="700A0451" w14:textId="77777777">
        <w:tc>
          <w:tcPr>
            <w:tcW w:w="3312" w:type="dxa"/>
            <w:tcMar>
              <w:top w:w="80" w:type="dxa"/>
              <w:left w:w="100" w:type="dxa"/>
              <w:bottom w:w="80" w:type="dxa"/>
              <w:right w:w="100" w:type="dxa"/>
            </w:tcMar>
          </w:tcPr>
          <w:p w14:paraId="46B86607" w14:textId="77777777" w:rsidR="002C6653" w:rsidRDefault="00000000">
            <w:r>
              <w:rPr>
                <w:sz w:val="19"/>
              </w:rPr>
              <w:t>Bank Secrecy Act (BSA)</w:t>
            </w:r>
          </w:p>
        </w:tc>
        <w:tc>
          <w:tcPr>
            <w:tcW w:w="3312" w:type="dxa"/>
            <w:tcMar>
              <w:top w:w="80" w:type="dxa"/>
              <w:left w:w="100" w:type="dxa"/>
              <w:bottom w:w="80" w:type="dxa"/>
              <w:right w:w="100" w:type="dxa"/>
            </w:tcMar>
          </w:tcPr>
          <w:p w14:paraId="2B2EF6C8" w14:textId="77777777" w:rsidR="002C6653" w:rsidRDefault="00000000">
            <w:r>
              <w:rPr>
                <w:sz w:val="19"/>
              </w:rPr>
              <w:t>1970</w:t>
            </w:r>
          </w:p>
        </w:tc>
        <w:tc>
          <w:tcPr>
            <w:tcW w:w="3312" w:type="dxa"/>
            <w:tcMar>
              <w:top w:w="80" w:type="dxa"/>
              <w:left w:w="100" w:type="dxa"/>
              <w:bottom w:w="80" w:type="dxa"/>
              <w:right w:w="100" w:type="dxa"/>
            </w:tcMar>
          </w:tcPr>
          <w:p w14:paraId="43BE2123" w14:textId="77777777" w:rsidR="002C6653" w:rsidRDefault="00000000">
            <w:r>
              <w:rPr>
                <w:sz w:val="19"/>
              </w:rPr>
              <w:t>Foundational AML law; requires FIs to maintain records and file reports</w:t>
            </w:r>
          </w:p>
        </w:tc>
      </w:tr>
      <w:tr w:rsidR="002C6653" w14:paraId="7B7A8AC1" w14:textId="77777777">
        <w:tc>
          <w:tcPr>
            <w:tcW w:w="3312" w:type="dxa"/>
            <w:tcMar>
              <w:top w:w="80" w:type="dxa"/>
              <w:left w:w="100" w:type="dxa"/>
              <w:bottom w:w="80" w:type="dxa"/>
              <w:right w:w="100" w:type="dxa"/>
            </w:tcMar>
          </w:tcPr>
          <w:p w14:paraId="4B549801" w14:textId="77777777" w:rsidR="002C6653" w:rsidRDefault="00000000">
            <w:r>
              <w:rPr>
                <w:sz w:val="19"/>
              </w:rPr>
              <w:t>Money Laundering Control Act</w:t>
            </w:r>
          </w:p>
        </w:tc>
        <w:tc>
          <w:tcPr>
            <w:tcW w:w="3312" w:type="dxa"/>
            <w:tcMar>
              <w:top w:w="80" w:type="dxa"/>
              <w:left w:w="100" w:type="dxa"/>
              <w:bottom w:w="80" w:type="dxa"/>
              <w:right w:w="100" w:type="dxa"/>
            </w:tcMar>
          </w:tcPr>
          <w:p w14:paraId="07582C84" w14:textId="77777777" w:rsidR="002C6653" w:rsidRDefault="00000000">
            <w:r>
              <w:rPr>
                <w:sz w:val="19"/>
              </w:rPr>
              <w:t>1986</w:t>
            </w:r>
          </w:p>
        </w:tc>
        <w:tc>
          <w:tcPr>
            <w:tcW w:w="3312" w:type="dxa"/>
            <w:tcMar>
              <w:top w:w="80" w:type="dxa"/>
              <w:left w:w="100" w:type="dxa"/>
              <w:bottom w:w="80" w:type="dxa"/>
              <w:right w:w="100" w:type="dxa"/>
            </w:tcMar>
          </w:tcPr>
          <w:p w14:paraId="5CB088BC" w14:textId="77777777" w:rsidR="002C6653" w:rsidRDefault="00000000">
            <w:r>
              <w:rPr>
                <w:sz w:val="19"/>
              </w:rPr>
              <w:t>Criminalises money laundering</w:t>
            </w:r>
          </w:p>
        </w:tc>
      </w:tr>
      <w:tr w:rsidR="002C6653" w14:paraId="3379AD3B" w14:textId="77777777">
        <w:tc>
          <w:tcPr>
            <w:tcW w:w="3312" w:type="dxa"/>
            <w:tcMar>
              <w:top w:w="80" w:type="dxa"/>
              <w:left w:w="100" w:type="dxa"/>
              <w:bottom w:w="80" w:type="dxa"/>
              <w:right w:w="100" w:type="dxa"/>
            </w:tcMar>
          </w:tcPr>
          <w:p w14:paraId="272A14FC" w14:textId="77777777" w:rsidR="002C6653" w:rsidRDefault="00000000">
            <w:r>
              <w:rPr>
                <w:sz w:val="19"/>
              </w:rPr>
              <w:t>USA PATRIOT Act</w:t>
            </w:r>
          </w:p>
        </w:tc>
        <w:tc>
          <w:tcPr>
            <w:tcW w:w="3312" w:type="dxa"/>
            <w:tcMar>
              <w:top w:w="80" w:type="dxa"/>
              <w:left w:w="100" w:type="dxa"/>
              <w:bottom w:w="80" w:type="dxa"/>
              <w:right w:w="100" w:type="dxa"/>
            </w:tcMar>
          </w:tcPr>
          <w:p w14:paraId="1473DF97" w14:textId="77777777" w:rsidR="002C6653" w:rsidRDefault="00000000">
            <w:r>
              <w:rPr>
                <w:sz w:val="19"/>
              </w:rPr>
              <w:t>2001</w:t>
            </w:r>
          </w:p>
        </w:tc>
        <w:tc>
          <w:tcPr>
            <w:tcW w:w="3312" w:type="dxa"/>
            <w:tcMar>
              <w:top w:w="80" w:type="dxa"/>
              <w:left w:w="100" w:type="dxa"/>
              <w:bottom w:w="80" w:type="dxa"/>
              <w:right w:w="100" w:type="dxa"/>
            </w:tcMar>
          </w:tcPr>
          <w:p w14:paraId="3C5567BE" w14:textId="77777777" w:rsidR="002C6653" w:rsidRDefault="00000000">
            <w:r>
              <w:rPr>
                <w:sz w:val="19"/>
              </w:rPr>
              <w:t>Enhanced due diligence for correspondent and private banking; Section 312 PEP rules</w:t>
            </w:r>
          </w:p>
        </w:tc>
      </w:tr>
      <w:tr w:rsidR="002C6653" w14:paraId="44C1775B" w14:textId="77777777">
        <w:tc>
          <w:tcPr>
            <w:tcW w:w="3312" w:type="dxa"/>
            <w:tcMar>
              <w:top w:w="80" w:type="dxa"/>
              <w:left w:w="100" w:type="dxa"/>
              <w:bottom w:w="80" w:type="dxa"/>
              <w:right w:w="100" w:type="dxa"/>
            </w:tcMar>
          </w:tcPr>
          <w:p w14:paraId="5DF775AA" w14:textId="77777777" w:rsidR="002C6653" w:rsidRDefault="00000000">
            <w:r>
              <w:rPr>
                <w:sz w:val="19"/>
              </w:rPr>
              <w:t>FinCEN CDD Rule (31 CFR §1010.230)</w:t>
            </w:r>
          </w:p>
        </w:tc>
        <w:tc>
          <w:tcPr>
            <w:tcW w:w="3312" w:type="dxa"/>
            <w:tcMar>
              <w:top w:w="80" w:type="dxa"/>
              <w:left w:w="100" w:type="dxa"/>
              <w:bottom w:w="80" w:type="dxa"/>
              <w:right w:w="100" w:type="dxa"/>
            </w:tcMar>
          </w:tcPr>
          <w:p w14:paraId="7969F4AA" w14:textId="77777777" w:rsidR="002C6653" w:rsidRDefault="00000000">
            <w:r>
              <w:rPr>
                <w:sz w:val="19"/>
              </w:rPr>
              <w:t>2018 (effective); 2026 exceptive relief affects repeat collection at each new account opening</w:t>
            </w:r>
          </w:p>
        </w:tc>
        <w:tc>
          <w:tcPr>
            <w:tcW w:w="3312" w:type="dxa"/>
            <w:tcMar>
              <w:top w:w="80" w:type="dxa"/>
              <w:left w:w="100" w:type="dxa"/>
              <w:bottom w:w="80" w:type="dxa"/>
              <w:right w:w="100" w:type="dxa"/>
            </w:tcMar>
          </w:tcPr>
          <w:p w14:paraId="70DC0BE6" w14:textId="77777777" w:rsidR="002C6653" w:rsidRDefault="00000000">
            <w:r>
              <w:rPr>
                <w:sz w:val="19"/>
              </w:rPr>
              <w:t>Beneficial ownership framework using 25% ownership prong plus one control person</w:t>
            </w:r>
          </w:p>
        </w:tc>
      </w:tr>
      <w:tr w:rsidR="002C6653" w14:paraId="3AA15C50" w14:textId="77777777">
        <w:tc>
          <w:tcPr>
            <w:tcW w:w="3312" w:type="dxa"/>
            <w:tcMar>
              <w:top w:w="80" w:type="dxa"/>
              <w:left w:w="100" w:type="dxa"/>
              <w:bottom w:w="80" w:type="dxa"/>
              <w:right w:w="100" w:type="dxa"/>
            </w:tcMar>
          </w:tcPr>
          <w:p w14:paraId="4D0CC130" w14:textId="77777777" w:rsidR="002C6653" w:rsidRDefault="00000000">
            <w:r>
              <w:rPr>
                <w:sz w:val="19"/>
              </w:rPr>
              <w:t>FinCEN AML Priorities (2021)</w:t>
            </w:r>
          </w:p>
        </w:tc>
        <w:tc>
          <w:tcPr>
            <w:tcW w:w="3312" w:type="dxa"/>
            <w:tcMar>
              <w:top w:w="80" w:type="dxa"/>
              <w:left w:w="100" w:type="dxa"/>
              <w:bottom w:w="80" w:type="dxa"/>
              <w:right w:w="100" w:type="dxa"/>
            </w:tcMar>
          </w:tcPr>
          <w:p w14:paraId="7D5C3430" w14:textId="77777777" w:rsidR="002C6653" w:rsidRDefault="00000000">
            <w:r>
              <w:rPr>
                <w:sz w:val="19"/>
              </w:rPr>
              <w:t>2021</w:t>
            </w:r>
          </w:p>
        </w:tc>
        <w:tc>
          <w:tcPr>
            <w:tcW w:w="3312" w:type="dxa"/>
            <w:tcMar>
              <w:top w:w="80" w:type="dxa"/>
              <w:left w:w="100" w:type="dxa"/>
              <w:bottom w:w="80" w:type="dxa"/>
              <w:right w:w="100" w:type="dxa"/>
            </w:tcMar>
          </w:tcPr>
          <w:p w14:paraId="554B08E7" w14:textId="77777777" w:rsidR="002C6653" w:rsidRDefault="00000000">
            <w:r>
              <w:rPr>
                <w:sz w:val="19"/>
              </w:rPr>
              <w:t>Identifies 8 national AML priorities; corruption, cyber-crime, human trafficking, etc.</w:t>
            </w:r>
          </w:p>
        </w:tc>
      </w:tr>
    </w:tbl>
    <w:p w14:paraId="5B5F2D19" w14:textId="77777777" w:rsidR="002C6653" w:rsidRDefault="002C6653"/>
    <w:p w14:paraId="6D51EF39" w14:textId="77777777" w:rsidR="002C6653" w:rsidRDefault="00000000">
      <w:pPr>
        <w:pStyle w:val="Heading2"/>
        <w:spacing w:after="120"/>
      </w:pPr>
      <w:r>
        <w:rPr>
          <w:rFonts w:ascii="Arial" w:hAnsi="Arial"/>
        </w:rPr>
        <w:t>Key reporting obligations</w:t>
      </w:r>
    </w:p>
    <w:p w14:paraId="493DE7B3" w14:textId="77777777" w:rsidR="00421F61" w:rsidRPr="00421F61" w:rsidRDefault="00421F61" w:rsidP="00421F61">
      <w:pPr>
        <w:spacing w:after="120"/>
        <w:jc w:val="both"/>
        <w:rPr>
          <w:b/>
          <w:bCs/>
          <w:lang w:val="en-GB"/>
        </w:rPr>
      </w:pPr>
      <w:r w:rsidRPr="00421F61">
        <w:rPr>
          <w:b/>
          <w:bCs/>
          <w:lang w:val="en-GB"/>
        </w:rPr>
        <w:t>Currency Transaction Reports</w:t>
      </w:r>
    </w:p>
    <w:p w14:paraId="66EE9B76" w14:textId="77777777" w:rsidR="00421F61" w:rsidRPr="00421F61" w:rsidRDefault="00421F61" w:rsidP="00421F61">
      <w:pPr>
        <w:spacing w:after="120"/>
        <w:jc w:val="both"/>
        <w:rPr>
          <w:lang w:val="en-GB"/>
        </w:rPr>
      </w:pPr>
      <w:r w:rsidRPr="00421F61">
        <w:rPr>
          <w:lang w:val="en-GB"/>
        </w:rPr>
        <w:t>United States banks must file a Currency Transaction Report for cash transactions exceeding USD 10,000 in a single business day (31 C.F.R. § 1010.311, 2025). Multiple transactions by or on behalf of the same customer must be aggregated when determining whether the threshold has been exceeded. Structuring transactions to avoid the reporting threshold is itself a federal offence. Currency Transaction Reports are filed using FinCEN Form 112 and are generally required within 15 calendar days.</w:t>
      </w:r>
    </w:p>
    <w:p w14:paraId="6ACEEB1C" w14:textId="77777777" w:rsidR="00421F61" w:rsidRPr="00421F61" w:rsidRDefault="00421F61" w:rsidP="00421F61">
      <w:pPr>
        <w:spacing w:after="120"/>
        <w:jc w:val="both"/>
        <w:rPr>
          <w:b/>
          <w:bCs/>
          <w:lang w:val="en-GB"/>
        </w:rPr>
      </w:pPr>
      <w:r w:rsidRPr="00421F61">
        <w:rPr>
          <w:b/>
          <w:bCs/>
          <w:lang w:val="en-GB"/>
        </w:rPr>
        <w:t>Suspicious Activity Reports</w:t>
      </w:r>
    </w:p>
    <w:p w14:paraId="1F1E8AEF" w14:textId="77777777" w:rsidR="00421F61" w:rsidRPr="00421F61" w:rsidRDefault="00421F61" w:rsidP="00421F61">
      <w:pPr>
        <w:spacing w:after="120"/>
        <w:jc w:val="both"/>
        <w:rPr>
          <w:lang w:val="en-GB"/>
        </w:rPr>
      </w:pPr>
      <w:r w:rsidRPr="00421F61">
        <w:rPr>
          <w:lang w:val="en-GB"/>
        </w:rPr>
        <w:t>Banks in the United States must file a Suspicious Activity Report when a transaction involves or aggregates at least USD 5,000 and the institution knows, suspects, or has reason to suspect that the transaction involves illegal activity, evasion of Bank Secrecy Act requirements, or lacks an apparent lawful purpose (31 C.F.R. § 1020.320, 2025). Suspicious Activity Reports must generally be filed within 30 calendar days of initial detection. Financial institutions are prohibited from tipping off the subject of a report and are protected by safe harbour provisions when filing reports in good faith.</w:t>
      </w:r>
    </w:p>
    <w:p w14:paraId="71C4ACBE" w14:textId="77777777" w:rsidR="00421F61" w:rsidRPr="00421F61" w:rsidRDefault="00421F61" w:rsidP="00421F61">
      <w:pPr>
        <w:spacing w:after="120"/>
        <w:jc w:val="both"/>
        <w:rPr>
          <w:b/>
          <w:bCs/>
          <w:lang w:val="en-GB"/>
        </w:rPr>
      </w:pPr>
      <w:r w:rsidRPr="00421F61">
        <w:rPr>
          <w:b/>
          <w:bCs/>
          <w:lang w:val="en-GB"/>
        </w:rPr>
        <w:t>Beneficial Ownership</w:t>
      </w:r>
    </w:p>
    <w:p w14:paraId="2123DE86" w14:textId="5D17513A" w:rsidR="00421F61" w:rsidRDefault="00421F61" w:rsidP="00421F61">
      <w:pPr>
        <w:spacing w:after="120"/>
        <w:jc w:val="both"/>
        <w:rPr>
          <w:lang w:val="en-GB"/>
        </w:rPr>
      </w:pPr>
      <w:r w:rsidRPr="00421F61">
        <w:rPr>
          <w:lang w:val="en-GB"/>
        </w:rPr>
        <w:t>The United States customer due diligence framework requires covered financial institutions to identify each natural person who owns 25% or more of a legal entity customer and to identify one individual with significant control responsibility over the legal entity (31 C.F.R. § 1010.230, 2018). This framework combines an ownership prong with a control prong. The ownership threshold operates as a bright-line standard, meaning that ownership below 25% does not automatically trigger identification under the ownership prong.</w:t>
      </w:r>
    </w:p>
    <w:p w14:paraId="629400E6" w14:textId="77777777" w:rsidR="00421F61" w:rsidRDefault="00421F61">
      <w:pPr>
        <w:rPr>
          <w:lang w:val="en-GB"/>
        </w:rPr>
      </w:pPr>
      <w:r>
        <w:rPr>
          <w:lang w:val="en-GB"/>
        </w:rPr>
        <w:br w:type="page"/>
      </w:r>
    </w:p>
    <w:p w14:paraId="781C8AED" w14:textId="77777777" w:rsidR="00421F61" w:rsidRPr="00421F61" w:rsidRDefault="00421F61" w:rsidP="00421F61">
      <w:pPr>
        <w:spacing w:after="120"/>
        <w:jc w:val="both"/>
        <w:rPr>
          <w:b/>
          <w:bCs/>
          <w:lang w:val="en-GB"/>
        </w:rPr>
      </w:pPr>
      <w:r w:rsidRPr="00421F61">
        <w:rPr>
          <w:b/>
          <w:bCs/>
          <w:lang w:val="en-GB"/>
        </w:rPr>
        <w:lastRenderedPageBreak/>
        <w:t>Politically Exposed Persons</w:t>
      </w:r>
    </w:p>
    <w:p w14:paraId="7A0A948A" w14:textId="77777777" w:rsidR="00421F61" w:rsidRPr="00421F61" w:rsidRDefault="00421F61" w:rsidP="00421F61">
      <w:pPr>
        <w:spacing w:after="120"/>
        <w:jc w:val="both"/>
        <w:rPr>
          <w:lang w:val="en-GB"/>
        </w:rPr>
      </w:pPr>
      <w:r w:rsidRPr="00421F61">
        <w:rPr>
          <w:lang w:val="en-GB"/>
        </w:rPr>
        <w:t>The United States framework places particular emphasis on foreign politically exposed persons in the context of enhanced due diligence for certain foreign correspondent and private banking accounts. Section 312 of the USA PATRIOT Act requires enhanced scrutiny of specific high-risk foreign banking relationships, including those involving senior foreign political figures (USA PATRIOT Act, 2001). In contrast, the United States does not impose the same formal enhanced due diligence treatment for domestic politically exposed persons that is reflected in Singapore’s framework.</w:t>
      </w:r>
    </w:p>
    <w:p w14:paraId="5DDAB306" w14:textId="77777777" w:rsidR="002C6653" w:rsidRDefault="00000000">
      <w:pPr>
        <w:pStyle w:val="Heading1"/>
        <w:spacing w:after="120"/>
      </w:pPr>
      <w:r>
        <w:rPr>
          <w:rFonts w:ascii="Arial" w:hAnsi="Arial"/>
        </w:rPr>
        <w:t>1.4 Singapore Regulatory Framework: MAS Notice 626</w:t>
      </w:r>
    </w:p>
    <w:p w14:paraId="2A12DE40" w14:textId="77777777" w:rsidR="002C6653" w:rsidRDefault="00000000">
      <w:pPr>
        <w:pStyle w:val="Heading2"/>
        <w:spacing w:after="120"/>
      </w:pPr>
      <w:r>
        <w:rPr>
          <w:rFonts w:ascii="Arial" w:hAnsi="Arial"/>
        </w:rPr>
        <w:t>Governing instruments</w:t>
      </w:r>
    </w:p>
    <w:tbl>
      <w:tblPr>
        <w:tblStyle w:val="TableGrid"/>
        <w:tblW w:w="0" w:type="auto"/>
        <w:tblLook w:val="04A0" w:firstRow="1" w:lastRow="0" w:firstColumn="1" w:lastColumn="0" w:noHBand="0" w:noVBand="1"/>
      </w:tblPr>
      <w:tblGrid>
        <w:gridCol w:w="3312"/>
        <w:gridCol w:w="3312"/>
        <w:gridCol w:w="3312"/>
      </w:tblGrid>
      <w:tr w:rsidR="002C6653" w14:paraId="69A0992B" w14:textId="77777777">
        <w:tc>
          <w:tcPr>
            <w:tcW w:w="3312" w:type="dxa"/>
            <w:shd w:val="clear" w:color="auto" w:fill="EAF2F8"/>
            <w:tcMar>
              <w:top w:w="80" w:type="dxa"/>
              <w:left w:w="100" w:type="dxa"/>
              <w:bottom w:w="80" w:type="dxa"/>
              <w:right w:w="100" w:type="dxa"/>
            </w:tcMar>
          </w:tcPr>
          <w:p w14:paraId="30E4F466" w14:textId="77777777" w:rsidR="002C6653" w:rsidRDefault="00000000">
            <w:r>
              <w:rPr>
                <w:b/>
                <w:sz w:val="19"/>
              </w:rPr>
              <w:t>Instrument</w:t>
            </w:r>
          </w:p>
        </w:tc>
        <w:tc>
          <w:tcPr>
            <w:tcW w:w="3312" w:type="dxa"/>
            <w:shd w:val="clear" w:color="auto" w:fill="EAF2F8"/>
            <w:tcMar>
              <w:top w:w="80" w:type="dxa"/>
              <w:left w:w="100" w:type="dxa"/>
              <w:bottom w:w="80" w:type="dxa"/>
              <w:right w:w="100" w:type="dxa"/>
            </w:tcMar>
          </w:tcPr>
          <w:p w14:paraId="5A80BAE7" w14:textId="77777777" w:rsidR="002C6653" w:rsidRDefault="00000000">
            <w:r>
              <w:rPr>
                <w:b/>
                <w:sz w:val="19"/>
              </w:rPr>
              <w:t>Year</w:t>
            </w:r>
          </w:p>
        </w:tc>
        <w:tc>
          <w:tcPr>
            <w:tcW w:w="3312" w:type="dxa"/>
            <w:shd w:val="clear" w:color="auto" w:fill="EAF2F8"/>
            <w:tcMar>
              <w:top w:w="80" w:type="dxa"/>
              <w:left w:w="100" w:type="dxa"/>
              <w:bottom w:w="80" w:type="dxa"/>
              <w:right w:w="100" w:type="dxa"/>
            </w:tcMar>
          </w:tcPr>
          <w:p w14:paraId="178F258F" w14:textId="77777777" w:rsidR="002C6653" w:rsidRDefault="00000000">
            <w:r>
              <w:rPr>
                <w:b/>
                <w:sz w:val="19"/>
              </w:rPr>
              <w:t>Key provision</w:t>
            </w:r>
          </w:p>
        </w:tc>
      </w:tr>
      <w:tr w:rsidR="002C6653" w14:paraId="08016C0D" w14:textId="77777777">
        <w:tc>
          <w:tcPr>
            <w:tcW w:w="3312" w:type="dxa"/>
            <w:tcMar>
              <w:top w:w="80" w:type="dxa"/>
              <w:left w:w="100" w:type="dxa"/>
              <w:bottom w:w="80" w:type="dxa"/>
              <w:right w:w="100" w:type="dxa"/>
            </w:tcMar>
          </w:tcPr>
          <w:p w14:paraId="5120E5A1" w14:textId="77777777" w:rsidR="002C6653" w:rsidRDefault="00000000">
            <w:r>
              <w:rPr>
                <w:sz w:val="19"/>
              </w:rPr>
              <w:t>Corruption, Drug Trafficking and Other Serious Crimes (Confiscation of Benefits) Act (CDSA)</w:t>
            </w:r>
          </w:p>
        </w:tc>
        <w:tc>
          <w:tcPr>
            <w:tcW w:w="3312" w:type="dxa"/>
            <w:tcMar>
              <w:top w:w="80" w:type="dxa"/>
              <w:left w:w="100" w:type="dxa"/>
              <w:bottom w:w="80" w:type="dxa"/>
              <w:right w:w="100" w:type="dxa"/>
            </w:tcMar>
          </w:tcPr>
          <w:p w14:paraId="7616379D" w14:textId="77777777" w:rsidR="002C6653" w:rsidRDefault="00000000">
            <w:r>
              <w:rPr>
                <w:sz w:val="19"/>
              </w:rPr>
              <w:t>1992</w:t>
            </w:r>
          </w:p>
        </w:tc>
        <w:tc>
          <w:tcPr>
            <w:tcW w:w="3312" w:type="dxa"/>
            <w:tcMar>
              <w:top w:w="80" w:type="dxa"/>
              <w:left w:w="100" w:type="dxa"/>
              <w:bottom w:w="80" w:type="dxa"/>
              <w:right w:w="100" w:type="dxa"/>
            </w:tcMar>
          </w:tcPr>
          <w:p w14:paraId="4D6071FA" w14:textId="77777777" w:rsidR="002C6653" w:rsidRDefault="00000000">
            <w:r>
              <w:rPr>
                <w:sz w:val="19"/>
              </w:rPr>
              <w:t>Primary AML statute; defines predicate offences and reporting obligations</w:t>
            </w:r>
          </w:p>
        </w:tc>
      </w:tr>
      <w:tr w:rsidR="002C6653" w14:paraId="10624B85" w14:textId="77777777">
        <w:tc>
          <w:tcPr>
            <w:tcW w:w="3312" w:type="dxa"/>
            <w:tcMar>
              <w:top w:w="80" w:type="dxa"/>
              <w:left w:w="100" w:type="dxa"/>
              <w:bottom w:w="80" w:type="dxa"/>
              <w:right w:w="100" w:type="dxa"/>
            </w:tcMar>
          </w:tcPr>
          <w:p w14:paraId="399AD53D" w14:textId="77777777" w:rsidR="002C6653" w:rsidRDefault="00000000">
            <w:r>
              <w:rPr>
                <w:sz w:val="19"/>
              </w:rPr>
              <w:t>Terrorism (Suppression of Financing) Act (TSOFA)</w:t>
            </w:r>
          </w:p>
        </w:tc>
        <w:tc>
          <w:tcPr>
            <w:tcW w:w="3312" w:type="dxa"/>
            <w:tcMar>
              <w:top w:w="80" w:type="dxa"/>
              <w:left w:w="100" w:type="dxa"/>
              <w:bottom w:w="80" w:type="dxa"/>
              <w:right w:w="100" w:type="dxa"/>
            </w:tcMar>
          </w:tcPr>
          <w:p w14:paraId="03F34694" w14:textId="77777777" w:rsidR="002C6653" w:rsidRDefault="00000000">
            <w:r>
              <w:rPr>
                <w:sz w:val="19"/>
              </w:rPr>
              <w:t>2002</w:t>
            </w:r>
          </w:p>
        </w:tc>
        <w:tc>
          <w:tcPr>
            <w:tcW w:w="3312" w:type="dxa"/>
            <w:tcMar>
              <w:top w:w="80" w:type="dxa"/>
              <w:left w:w="100" w:type="dxa"/>
              <w:bottom w:w="80" w:type="dxa"/>
              <w:right w:w="100" w:type="dxa"/>
            </w:tcMar>
          </w:tcPr>
          <w:p w14:paraId="26E73ED5" w14:textId="77777777" w:rsidR="002C6653" w:rsidRDefault="00000000">
            <w:r>
              <w:rPr>
                <w:sz w:val="19"/>
              </w:rPr>
              <w:t>Terrorist financing obligations; Section 8 STR filing</w:t>
            </w:r>
          </w:p>
        </w:tc>
      </w:tr>
      <w:tr w:rsidR="002C6653" w14:paraId="6A5A9CE4" w14:textId="77777777">
        <w:tc>
          <w:tcPr>
            <w:tcW w:w="3312" w:type="dxa"/>
            <w:tcMar>
              <w:top w:w="80" w:type="dxa"/>
              <w:left w:w="100" w:type="dxa"/>
              <w:bottom w:w="80" w:type="dxa"/>
              <w:right w:w="100" w:type="dxa"/>
            </w:tcMar>
          </w:tcPr>
          <w:p w14:paraId="25F7F480" w14:textId="77777777" w:rsidR="002C6653" w:rsidRDefault="00000000">
            <w:r>
              <w:rPr>
                <w:sz w:val="19"/>
              </w:rPr>
              <w:t>MAS Notice 626</w:t>
            </w:r>
          </w:p>
        </w:tc>
        <w:tc>
          <w:tcPr>
            <w:tcW w:w="3312" w:type="dxa"/>
            <w:tcMar>
              <w:top w:w="80" w:type="dxa"/>
              <w:left w:w="100" w:type="dxa"/>
              <w:bottom w:w="80" w:type="dxa"/>
              <w:right w:w="100" w:type="dxa"/>
            </w:tcMar>
          </w:tcPr>
          <w:p w14:paraId="346B9B68" w14:textId="77777777" w:rsidR="002C6653" w:rsidRDefault="00000000">
            <w:r>
              <w:rPr>
                <w:sz w:val="19"/>
              </w:rPr>
              <w:t>Current MAS notice for banks; prototype config reviewed May 2026</w:t>
            </w:r>
          </w:p>
        </w:tc>
        <w:tc>
          <w:tcPr>
            <w:tcW w:w="3312" w:type="dxa"/>
            <w:tcMar>
              <w:top w:w="80" w:type="dxa"/>
              <w:left w:w="100" w:type="dxa"/>
              <w:bottom w:w="80" w:type="dxa"/>
              <w:right w:w="100" w:type="dxa"/>
            </w:tcMar>
          </w:tcPr>
          <w:p w14:paraId="1F35B482" w14:textId="77777777" w:rsidR="002C6653" w:rsidRDefault="00000000">
            <w:r>
              <w:rPr>
                <w:sz w:val="19"/>
              </w:rPr>
              <w:t>Prescriptive AML/CFT requirements for banks; implements FATF standards</w:t>
            </w:r>
          </w:p>
        </w:tc>
      </w:tr>
      <w:tr w:rsidR="002C6653" w14:paraId="7B3EE9D5" w14:textId="77777777">
        <w:tc>
          <w:tcPr>
            <w:tcW w:w="3312" w:type="dxa"/>
            <w:tcMar>
              <w:top w:w="80" w:type="dxa"/>
              <w:left w:w="100" w:type="dxa"/>
              <w:bottom w:w="80" w:type="dxa"/>
              <w:right w:w="100" w:type="dxa"/>
            </w:tcMar>
          </w:tcPr>
          <w:p w14:paraId="3141C37A" w14:textId="77777777" w:rsidR="002C6653" w:rsidRDefault="00000000">
            <w:r>
              <w:rPr>
                <w:sz w:val="19"/>
              </w:rPr>
              <w:t>Variable Capital Companies Act</w:t>
            </w:r>
          </w:p>
        </w:tc>
        <w:tc>
          <w:tcPr>
            <w:tcW w:w="3312" w:type="dxa"/>
            <w:tcMar>
              <w:top w:w="80" w:type="dxa"/>
              <w:left w:w="100" w:type="dxa"/>
              <w:bottom w:w="80" w:type="dxa"/>
              <w:right w:w="100" w:type="dxa"/>
            </w:tcMar>
          </w:tcPr>
          <w:p w14:paraId="42F4E155" w14:textId="77777777" w:rsidR="002C6653" w:rsidRDefault="00000000">
            <w:r>
              <w:rPr>
                <w:sz w:val="19"/>
              </w:rPr>
              <w:t>2018</w:t>
            </w:r>
          </w:p>
        </w:tc>
        <w:tc>
          <w:tcPr>
            <w:tcW w:w="3312" w:type="dxa"/>
            <w:tcMar>
              <w:top w:w="80" w:type="dxa"/>
              <w:left w:w="100" w:type="dxa"/>
              <w:bottom w:w="80" w:type="dxa"/>
              <w:right w:w="100" w:type="dxa"/>
            </w:tcMar>
          </w:tcPr>
          <w:p w14:paraId="477554B1" w14:textId="77777777" w:rsidR="002C6653" w:rsidRDefault="00000000">
            <w:r>
              <w:rPr>
                <w:sz w:val="19"/>
              </w:rPr>
              <w:t>Specific BO disclosure for VCC fund structures</w:t>
            </w:r>
          </w:p>
        </w:tc>
      </w:tr>
      <w:tr w:rsidR="002C6653" w14:paraId="5743CFEA" w14:textId="77777777">
        <w:tc>
          <w:tcPr>
            <w:tcW w:w="3312" w:type="dxa"/>
            <w:tcMar>
              <w:top w:w="80" w:type="dxa"/>
              <w:left w:w="100" w:type="dxa"/>
              <w:bottom w:w="80" w:type="dxa"/>
              <w:right w:w="100" w:type="dxa"/>
            </w:tcMar>
          </w:tcPr>
          <w:p w14:paraId="379D80EC" w14:textId="77777777" w:rsidR="002C6653" w:rsidRDefault="00000000">
            <w:r>
              <w:rPr>
                <w:sz w:val="19"/>
              </w:rPr>
              <w:t>MAS TFS Guidance</w:t>
            </w:r>
          </w:p>
        </w:tc>
        <w:tc>
          <w:tcPr>
            <w:tcW w:w="3312" w:type="dxa"/>
            <w:tcMar>
              <w:top w:w="80" w:type="dxa"/>
              <w:left w:w="100" w:type="dxa"/>
              <w:bottom w:w="80" w:type="dxa"/>
              <w:right w:w="100" w:type="dxa"/>
            </w:tcMar>
          </w:tcPr>
          <w:p w14:paraId="3067B0FB" w14:textId="77777777" w:rsidR="002C6653" w:rsidRDefault="00000000">
            <w:r>
              <w:rPr>
                <w:sz w:val="19"/>
              </w:rPr>
              <w:t>2023</w:t>
            </w:r>
          </w:p>
        </w:tc>
        <w:tc>
          <w:tcPr>
            <w:tcW w:w="3312" w:type="dxa"/>
            <w:tcMar>
              <w:top w:w="80" w:type="dxa"/>
              <w:left w:w="100" w:type="dxa"/>
              <w:bottom w:w="80" w:type="dxa"/>
              <w:right w:w="100" w:type="dxa"/>
            </w:tcMar>
          </w:tcPr>
          <w:p w14:paraId="14FD5F75" w14:textId="77777777" w:rsidR="002C6653" w:rsidRDefault="00000000">
            <w:r>
              <w:rPr>
                <w:sz w:val="19"/>
              </w:rPr>
              <w:t>Implementation guidance for targeted financial sanctions screening</w:t>
            </w:r>
          </w:p>
        </w:tc>
      </w:tr>
    </w:tbl>
    <w:p w14:paraId="5F8C17A0" w14:textId="420B977D" w:rsidR="00421F61" w:rsidRDefault="00421F61"/>
    <w:p w14:paraId="51BF6DC7" w14:textId="77777777" w:rsidR="00421F61" w:rsidRDefault="00421F61">
      <w:r>
        <w:br w:type="page"/>
      </w:r>
    </w:p>
    <w:p w14:paraId="1C734A3E" w14:textId="77777777" w:rsidR="002C6653" w:rsidRDefault="00000000">
      <w:pPr>
        <w:pStyle w:val="Heading2"/>
        <w:spacing w:after="120"/>
      </w:pPr>
      <w:r>
        <w:rPr>
          <w:rFonts w:ascii="Arial" w:hAnsi="Arial"/>
        </w:rPr>
        <w:lastRenderedPageBreak/>
        <w:t>Key reporting obligations</w:t>
      </w:r>
    </w:p>
    <w:p w14:paraId="77D47DBB" w14:textId="77777777" w:rsidR="00421F61" w:rsidRPr="00421F61" w:rsidRDefault="00421F61" w:rsidP="00421F61">
      <w:pPr>
        <w:spacing w:after="120"/>
        <w:jc w:val="both"/>
        <w:rPr>
          <w:b/>
          <w:bCs/>
          <w:lang w:val="en-GB"/>
        </w:rPr>
      </w:pPr>
      <w:r w:rsidRPr="00421F61">
        <w:rPr>
          <w:b/>
          <w:bCs/>
          <w:lang w:val="en-GB"/>
        </w:rPr>
        <w:t>One-Off Transaction Customer Due Diligence</w:t>
      </w:r>
    </w:p>
    <w:p w14:paraId="2DE8797A" w14:textId="77777777" w:rsidR="00421F61" w:rsidRPr="00421F61" w:rsidRDefault="00421F61" w:rsidP="00421F61">
      <w:pPr>
        <w:spacing w:after="120"/>
        <w:jc w:val="both"/>
        <w:rPr>
          <w:lang w:val="en-GB"/>
        </w:rPr>
      </w:pPr>
      <w:r w:rsidRPr="00421F61">
        <w:rPr>
          <w:lang w:val="en-GB"/>
        </w:rPr>
        <w:t>MAS Notice 626 requires banks to conduct customer due diligence for customers without an established business relationship when the bank undertakes a transaction exceeding SGD 20,000 (MAS, n.d.-b). Related transactions, or transactions that appear deliberately restructured to avoid the threshold, must be aggregated. This requirement should not be treated as a direct equivalent of the United States Currency Transaction Report regime. Singapore’s SGD 20,000 requirement in MAS Notice 626 relates to customer due diligence for one-off transactions by banks, whereas transaction-based cash reporting requirements such as Form NP 784 apply to specific sectors such as regulated dealers (Anti-Money Laundering and Countering the Financing of Terrorism Division, n.d.).</w:t>
      </w:r>
    </w:p>
    <w:p w14:paraId="4A89119D" w14:textId="77777777" w:rsidR="00421F61" w:rsidRPr="00421F61" w:rsidRDefault="00421F61" w:rsidP="00421F61">
      <w:pPr>
        <w:spacing w:after="120"/>
        <w:jc w:val="both"/>
        <w:rPr>
          <w:b/>
          <w:bCs/>
          <w:lang w:val="en-GB"/>
        </w:rPr>
      </w:pPr>
      <w:r w:rsidRPr="00421F61">
        <w:rPr>
          <w:b/>
          <w:bCs/>
          <w:lang w:val="en-GB"/>
        </w:rPr>
        <w:t>Suspicious Transaction Reports</w:t>
      </w:r>
    </w:p>
    <w:p w14:paraId="07759B24" w14:textId="77777777" w:rsidR="00421F61" w:rsidRPr="00421F61" w:rsidRDefault="00421F61" w:rsidP="00421F61">
      <w:pPr>
        <w:spacing w:after="120"/>
        <w:jc w:val="both"/>
        <w:rPr>
          <w:lang w:val="en-GB"/>
        </w:rPr>
      </w:pPr>
      <w:r w:rsidRPr="00421F61">
        <w:rPr>
          <w:lang w:val="en-GB"/>
        </w:rPr>
        <w:t xml:space="preserve">Singapore’s suspicious transaction reporting framework is risk-based and does not impose a fixed monetary threshold. A reporting obligation arises when a bank knows or suspects that property may </w:t>
      </w:r>
      <w:proofErr w:type="gramStart"/>
      <w:r w:rsidRPr="00421F61">
        <w:rPr>
          <w:lang w:val="en-GB"/>
        </w:rPr>
        <w:t>be connected with</w:t>
      </w:r>
      <w:proofErr w:type="gramEnd"/>
      <w:r w:rsidRPr="00421F61">
        <w:rPr>
          <w:lang w:val="en-GB"/>
        </w:rPr>
        <w:t xml:space="preserve"> criminal conduct or terrorism financing. Reports must be filed as soon as practicable after suspicion arises (Corruption, Drug Trafficking and Other Serious Crimes (Confiscation of Benefits) Act, 1992; Terrorism (Suppression of Financing) Act, 2002). This differs materially from the United States suspicious activity reporting framework, which combines suspicion with monetary thresholds for banks.</w:t>
      </w:r>
    </w:p>
    <w:p w14:paraId="45CD6528" w14:textId="77777777" w:rsidR="00421F61" w:rsidRPr="00421F61" w:rsidRDefault="00421F61" w:rsidP="00421F61">
      <w:pPr>
        <w:spacing w:after="120"/>
        <w:jc w:val="both"/>
        <w:rPr>
          <w:b/>
          <w:bCs/>
          <w:lang w:val="en-GB"/>
        </w:rPr>
      </w:pPr>
      <w:r w:rsidRPr="00421F61">
        <w:rPr>
          <w:b/>
          <w:bCs/>
          <w:lang w:val="en-GB"/>
        </w:rPr>
        <w:t>Beneficial Ownership</w:t>
      </w:r>
    </w:p>
    <w:p w14:paraId="73AE8865" w14:textId="77777777" w:rsidR="00421F61" w:rsidRPr="00421F61" w:rsidRDefault="00421F61" w:rsidP="00421F61">
      <w:pPr>
        <w:spacing w:after="120"/>
        <w:jc w:val="both"/>
        <w:rPr>
          <w:lang w:val="en-GB"/>
        </w:rPr>
      </w:pPr>
      <w:r w:rsidRPr="00421F61">
        <w:rPr>
          <w:lang w:val="en-GB"/>
        </w:rPr>
        <w:t>MAS Notice 626 requires banks to identify and verify beneficial owners using reasonable measures (MAS, n.d.-b). Although a 25% ownership benchmark is relevant, Singapore’s framework is not limited to a mechanical threshold test. Where ownership structures are complex or appear designed to obscure control, banks are expected to take reasonable measures to understand the ownership and control structure, document the steps taken, and consider whether the relationship should proceed.</w:t>
      </w:r>
    </w:p>
    <w:p w14:paraId="09B374DE" w14:textId="77777777" w:rsidR="00421F61" w:rsidRPr="00421F61" w:rsidRDefault="00421F61" w:rsidP="00421F61">
      <w:pPr>
        <w:spacing w:after="120"/>
        <w:jc w:val="both"/>
        <w:rPr>
          <w:b/>
          <w:bCs/>
          <w:lang w:val="en-GB"/>
        </w:rPr>
      </w:pPr>
      <w:r w:rsidRPr="00421F61">
        <w:rPr>
          <w:b/>
          <w:bCs/>
          <w:lang w:val="en-GB"/>
        </w:rPr>
        <w:t>Politically Exposed Persons</w:t>
      </w:r>
    </w:p>
    <w:p w14:paraId="44972AF6" w14:textId="77777777" w:rsidR="00421F61" w:rsidRPr="00421F61" w:rsidRDefault="00421F61" w:rsidP="00421F61">
      <w:pPr>
        <w:spacing w:after="120"/>
        <w:jc w:val="both"/>
        <w:rPr>
          <w:lang w:val="en-GB"/>
        </w:rPr>
      </w:pPr>
      <w:r w:rsidRPr="00421F61">
        <w:rPr>
          <w:lang w:val="en-GB"/>
        </w:rPr>
        <w:t>Singapore requires enhanced due diligence for politically exposed persons, including domestic politically exposed persons, foreign politically exposed persons, their immediate family members, and close associates (MAS, n.d.-b). Enhanced due diligence generally includes senior management approval, source-of-wealth and source-of-funds assessment, and enhanced ongoing monitoring. This approach is broader than the United States framework, which focuses more specifically on foreign politically exposed persons in particular account contexts.</w:t>
      </w:r>
    </w:p>
    <w:p w14:paraId="7657EFB0" w14:textId="77777777" w:rsidR="00421F61" w:rsidRPr="00421F61" w:rsidRDefault="00421F61" w:rsidP="00421F61">
      <w:pPr>
        <w:spacing w:after="120"/>
        <w:jc w:val="both"/>
        <w:rPr>
          <w:b/>
          <w:bCs/>
          <w:lang w:val="en-GB"/>
        </w:rPr>
      </w:pPr>
      <w:r w:rsidRPr="00421F61">
        <w:rPr>
          <w:b/>
          <w:bCs/>
          <w:lang w:val="en-GB"/>
        </w:rPr>
        <w:t>Targeted Financial Sanctions</w:t>
      </w:r>
    </w:p>
    <w:p w14:paraId="2693285A" w14:textId="77777777" w:rsidR="00421F61" w:rsidRPr="00421F61" w:rsidRDefault="00421F61" w:rsidP="00421F61">
      <w:pPr>
        <w:spacing w:after="120"/>
        <w:jc w:val="both"/>
        <w:rPr>
          <w:lang w:val="en-GB"/>
        </w:rPr>
      </w:pPr>
      <w:r w:rsidRPr="00421F61">
        <w:rPr>
          <w:lang w:val="en-GB"/>
        </w:rPr>
        <w:t>Singapore’s targeted financial sanctions framework is based on United Nations Security Council sanctions and Singapore-specific implementation measures. MAS guidance requires financial institutions to implement appropriate screening and controls to identify sanctioned individuals, entities, and prohibited relationships (MAS, 2023). This framework may not fully overlap with the United States Office of Foreign Assets Control sanctions regime, creating a need for jurisdiction-specific sanctions configuration.</w:t>
      </w:r>
    </w:p>
    <w:p w14:paraId="0E7D9251" w14:textId="77777777" w:rsidR="002C6653" w:rsidRPr="00421F61" w:rsidRDefault="002C6653">
      <w:pPr>
        <w:spacing w:after="120"/>
        <w:rPr>
          <w:rFonts w:eastAsia="宋体" w:hint="eastAsia"/>
          <w:lang w:val="en-GB" w:eastAsia="zh-CN"/>
        </w:rPr>
      </w:pPr>
    </w:p>
    <w:p w14:paraId="0262D358" w14:textId="77777777" w:rsidR="002C6653" w:rsidRDefault="00000000">
      <w:pPr>
        <w:pStyle w:val="Heading1"/>
        <w:spacing w:after="120"/>
      </w:pPr>
      <w:r>
        <w:rPr>
          <w:rFonts w:ascii="Arial" w:hAnsi="Arial"/>
        </w:rPr>
        <w:lastRenderedPageBreak/>
        <w:t>1.5 Key Jurisdictional Divergences</w:t>
      </w:r>
    </w:p>
    <w:p w14:paraId="24528700" w14:textId="19C354AB" w:rsidR="002C6653" w:rsidRDefault="00752541" w:rsidP="00752541">
      <w:pPr>
        <w:spacing w:after="120"/>
        <w:jc w:val="both"/>
        <w:rPr>
          <w:rFonts w:eastAsia="宋体"/>
          <w:lang w:eastAsia="zh-CN"/>
        </w:rPr>
      </w:pPr>
      <w:r w:rsidRPr="00752541">
        <w:t>The comparison between the United States and Singapore demonstrates that identical transactions may produce different compliance outcomes depending on jurisdiction. These differences are significant for compliance-tool design because a single global rule set would risk either under-compliance in stricter jurisdictions or over-alerting in jurisdictions where a rule does not apply.</w:t>
      </w:r>
    </w:p>
    <w:tbl>
      <w:tblPr>
        <w:tblStyle w:val="TableGrid"/>
        <w:tblW w:w="0" w:type="auto"/>
        <w:tblLook w:val="04A0" w:firstRow="1" w:lastRow="0" w:firstColumn="1" w:lastColumn="0" w:noHBand="0" w:noVBand="1"/>
      </w:tblPr>
      <w:tblGrid>
        <w:gridCol w:w="2484"/>
        <w:gridCol w:w="2484"/>
        <w:gridCol w:w="2484"/>
        <w:gridCol w:w="2484"/>
      </w:tblGrid>
      <w:tr w:rsidR="002C6653" w14:paraId="1914E0F8" w14:textId="77777777">
        <w:tc>
          <w:tcPr>
            <w:tcW w:w="2484" w:type="dxa"/>
            <w:shd w:val="clear" w:color="auto" w:fill="EAF2F8"/>
            <w:tcMar>
              <w:top w:w="80" w:type="dxa"/>
              <w:left w:w="100" w:type="dxa"/>
              <w:bottom w:w="80" w:type="dxa"/>
              <w:right w:w="100" w:type="dxa"/>
            </w:tcMar>
          </w:tcPr>
          <w:p w14:paraId="0D11CF0A" w14:textId="77777777" w:rsidR="002C6653" w:rsidRDefault="00000000">
            <w:r>
              <w:rPr>
                <w:b/>
                <w:sz w:val="19"/>
              </w:rPr>
              <w:t>Dimension</w:t>
            </w:r>
          </w:p>
        </w:tc>
        <w:tc>
          <w:tcPr>
            <w:tcW w:w="2484" w:type="dxa"/>
            <w:shd w:val="clear" w:color="auto" w:fill="EAF2F8"/>
            <w:tcMar>
              <w:top w:w="80" w:type="dxa"/>
              <w:left w:w="100" w:type="dxa"/>
              <w:bottom w:w="80" w:type="dxa"/>
              <w:right w:w="100" w:type="dxa"/>
            </w:tcMar>
          </w:tcPr>
          <w:p w14:paraId="7F407A69" w14:textId="77777777" w:rsidR="002C6653" w:rsidRDefault="00000000">
            <w:r>
              <w:rPr>
                <w:b/>
                <w:sz w:val="19"/>
              </w:rPr>
              <w:t>US (BSA/FinCEN)</w:t>
            </w:r>
          </w:p>
        </w:tc>
        <w:tc>
          <w:tcPr>
            <w:tcW w:w="2484" w:type="dxa"/>
            <w:shd w:val="clear" w:color="auto" w:fill="EAF2F8"/>
            <w:tcMar>
              <w:top w:w="80" w:type="dxa"/>
              <w:left w:w="100" w:type="dxa"/>
              <w:bottom w:w="80" w:type="dxa"/>
              <w:right w:w="100" w:type="dxa"/>
            </w:tcMar>
          </w:tcPr>
          <w:p w14:paraId="67A50ECB" w14:textId="77777777" w:rsidR="002C6653" w:rsidRDefault="00000000">
            <w:r>
              <w:rPr>
                <w:b/>
                <w:sz w:val="19"/>
              </w:rPr>
              <w:t>SG (MAS Notice 626)</w:t>
            </w:r>
          </w:p>
        </w:tc>
        <w:tc>
          <w:tcPr>
            <w:tcW w:w="2484" w:type="dxa"/>
            <w:shd w:val="clear" w:color="auto" w:fill="EAF2F8"/>
            <w:tcMar>
              <w:top w:w="80" w:type="dxa"/>
              <w:left w:w="100" w:type="dxa"/>
              <w:bottom w:w="80" w:type="dxa"/>
              <w:right w:w="100" w:type="dxa"/>
            </w:tcMar>
          </w:tcPr>
          <w:p w14:paraId="42357D4E" w14:textId="77777777" w:rsidR="002C6653" w:rsidRDefault="00000000">
            <w:r>
              <w:rPr>
                <w:b/>
                <w:sz w:val="19"/>
              </w:rPr>
              <w:t>Practical implication</w:t>
            </w:r>
          </w:p>
        </w:tc>
      </w:tr>
      <w:tr w:rsidR="00752541" w14:paraId="74DA9F66" w14:textId="77777777" w:rsidTr="00752541">
        <w:tc>
          <w:tcPr>
            <w:tcW w:w="2484" w:type="dxa"/>
            <w:tcMar>
              <w:top w:w="80" w:type="dxa"/>
              <w:left w:w="100" w:type="dxa"/>
              <w:bottom w:w="80" w:type="dxa"/>
              <w:right w:w="100" w:type="dxa"/>
            </w:tcMar>
          </w:tcPr>
          <w:p w14:paraId="51075672" w14:textId="4928E5C4" w:rsidR="00752541" w:rsidRPr="00752541" w:rsidRDefault="00752541" w:rsidP="00752541">
            <w:pPr>
              <w:rPr>
                <w:sz w:val="19"/>
              </w:rPr>
            </w:pPr>
            <w:r w:rsidRPr="00752541">
              <w:rPr>
                <w:sz w:val="19"/>
              </w:rPr>
              <w:t>Cash or one-off transaction threshold</w:t>
            </w:r>
          </w:p>
        </w:tc>
        <w:tc>
          <w:tcPr>
            <w:tcW w:w="2484" w:type="dxa"/>
            <w:tcMar>
              <w:top w:w="80" w:type="dxa"/>
              <w:left w:w="100" w:type="dxa"/>
              <w:bottom w:w="80" w:type="dxa"/>
              <w:right w:w="100" w:type="dxa"/>
            </w:tcMar>
          </w:tcPr>
          <w:p w14:paraId="218C30C7" w14:textId="2538C218" w:rsidR="00752541" w:rsidRPr="00752541" w:rsidRDefault="00752541" w:rsidP="00752541">
            <w:pPr>
              <w:rPr>
                <w:sz w:val="19"/>
              </w:rPr>
            </w:pPr>
            <w:r w:rsidRPr="00752541">
              <w:rPr>
                <w:sz w:val="19"/>
              </w:rPr>
              <w:t>Currency Transaction Report required for cash transactions exceeding USD 10,000</w:t>
            </w:r>
          </w:p>
        </w:tc>
        <w:tc>
          <w:tcPr>
            <w:tcW w:w="2484" w:type="dxa"/>
            <w:tcMar>
              <w:top w:w="80" w:type="dxa"/>
              <w:left w:w="100" w:type="dxa"/>
              <w:bottom w:w="80" w:type="dxa"/>
              <w:right w:w="100" w:type="dxa"/>
            </w:tcMar>
          </w:tcPr>
          <w:p w14:paraId="1A380236" w14:textId="3B2C8CDA" w:rsidR="00752541" w:rsidRPr="00752541" w:rsidRDefault="00752541" w:rsidP="00752541">
            <w:pPr>
              <w:rPr>
                <w:sz w:val="19"/>
              </w:rPr>
            </w:pPr>
            <w:r w:rsidRPr="00752541">
              <w:rPr>
                <w:sz w:val="19"/>
              </w:rPr>
              <w:t>Customer due diligence required for one-off transactions exceeding SGD 20,000</w:t>
            </w:r>
          </w:p>
        </w:tc>
        <w:tc>
          <w:tcPr>
            <w:tcW w:w="2484" w:type="dxa"/>
            <w:tcMar>
              <w:top w:w="80" w:type="dxa"/>
              <w:left w:w="100" w:type="dxa"/>
              <w:bottom w:w="80" w:type="dxa"/>
              <w:right w:w="100" w:type="dxa"/>
            </w:tcMar>
          </w:tcPr>
          <w:p w14:paraId="71B982C4" w14:textId="17670DF8" w:rsidR="00752541" w:rsidRPr="00752541" w:rsidRDefault="00752541" w:rsidP="00752541">
            <w:pPr>
              <w:rPr>
                <w:sz w:val="19"/>
              </w:rPr>
            </w:pPr>
            <w:r w:rsidRPr="00752541">
              <w:rPr>
                <w:sz w:val="19"/>
              </w:rPr>
              <w:t>A transaction may trigger a United States reporting obligation but not a Singapore one-off customer due diligence trigger, or vice versa</w:t>
            </w:r>
          </w:p>
        </w:tc>
      </w:tr>
      <w:tr w:rsidR="00752541" w14:paraId="6E6BC28A" w14:textId="77777777" w:rsidTr="00752541">
        <w:tc>
          <w:tcPr>
            <w:tcW w:w="2484" w:type="dxa"/>
            <w:tcMar>
              <w:top w:w="80" w:type="dxa"/>
              <w:left w:w="100" w:type="dxa"/>
              <w:bottom w:w="80" w:type="dxa"/>
              <w:right w:w="100" w:type="dxa"/>
            </w:tcMar>
          </w:tcPr>
          <w:p w14:paraId="0221F230" w14:textId="3DD97935" w:rsidR="00752541" w:rsidRPr="00752541" w:rsidRDefault="00752541" w:rsidP="00752541">
            <w:pPr>
              <w:rPr>
                <w:sz w:val="19"/>
              </w:rPr>
            </w:pPr>
            <w:r w:rsidRPr="00752541">
              <w:rPr>
                <w:sz w:val="19"/>
              </w:rPr>
              <w:t>Suspicious reporting standard</w:t>
            </w:r>
          </w:p>
        </w:tc>
        <w:tc>
          <w:tcPr>
            <w:tcW w:w="2484" w:type="dxa"/>
            <w:tcMar>
              <w:top w:w="80" w:type="dxa"/>
              <w:left w:w="100" w:type="dxa"/>
              <w:bottom w:w="80" w:type="dxa"/>
              <w:right w:w="100" w:type="dxa"/>
            </w:tcMar>
          </w:tcPr>
          <w:p w14:paraId="6B54BEBA" w14:textId="3CE69D3F" w:rsidR="00752541" w:rsidRPr="00752541" w:rsidRDefault="00752541" w:rsidP="00752541">
            <w:pPr>
              <w:rPr>
                <w:sz w:val="19"/>
              </w:rPr>
            </w:pPr>
            <w:r w:rsidRPr="00752541">
              <w:rPr>
                <w:sz w:val="19"/>
              </w:rPr>
              <w:t>Suspicious Activity Report generally requires suspicion and a monetary threshold for banks</w:t>
            </w:r>
          </w:p>
        </w:tc>
        <w:tc>
          <w:tcPr>
            <w:tcW w:w="2484" w:type="dxa"/>
            <w:tcMar>
              <w:top w:w="80" w:type="dxa"/>
              <w:left w:w="100" w:type="dxa"/>
              <w:bottom w:w="80" w:type="dxa"/>
              <w:right w:w="100" w:type="dxa"/>
            </w:tcMar>
          </w:tcPr>
          <w:p w14:paraId="2D25D49E" w14:textId="08A2F3D8" w:rsidR="00752541" w:rsidRPr="00752541" w:rsidRDefault="00752541" w:rsidP="00752541">
            <w:pPr>
              <w:rPr>
                <w:sz w:val="19"/>
              </w:rPr>
            </w:pPr>
            <w:r w:rsidRPr="00752541">
              <w:rPr>
                <w:sz w:val="19"/>
              </w:rPr>
              <w:t>Suspicious Transaction Report is based on suspicion without a fixed monetary threshold</w:t>
            </w:r>
          </w:p>
        </w:tc>
        <w:tc>
          <w:tcPr>
            <w:tcW w:w="2484" w:type="dxa"/>
            <w:tcMar>
              <w:top w:w="80" w:type="dxa"/>
              <w:left w:w="100" w:type="dxa"/>
              <w:bottom w:w="80" w:type="dxa"/>
              <w:right w:w="100" w:type="dxa"/>
            </w:tcMar>
          </w:tcPr>
          <w:p w14:paraId="1F5A834C" w14:textId="0CFD14C8" w:rsidR="00752541" w:rsidRPr="00752541" w:rsidRDefault="00752541" w:rsidP="00752541">
            <w:pPr>
              <w:rPr>
                <w:sz w:val="19"/>
              </w:rPr>
            </w:pPr>
            <w:r w:rsidRPr="00752541">
              <w:rPr>
                <w:sz w:val="19"/>
              </w:rPr>
              <w:t xml:space="preserve">A </w:t>
            </w:r>
            <w:proofErr w:type="gramStart"/>
            <w:r w:rsidRPr="00752541">
              <w:rPr>
                <w:sz w:val="19"/>
              </w:rPr>
              <w:t>low-value</w:t>
            </w:r>
            <w:proofErr w:type="gramEnd"/>
            <w:r w:rsidRPr="00752541">
              <w:rPr>
                <w:sz w:val="19"/>
              </w:rPr>
              <w:t xml:space="preserve"> but high-risk transaction may require reporting in Singapore even if it falls below the United States bank SAR threshold</w:t>
            </w:r>
          </w:p>
        </w:tc>
      </w:tr>
      <w:tr w:rsidR="00752541" w14:paraId="4C37B0C6" w14:textId="77777777" w:rsidTr="00752541">
        <w:tc>
          <w:tcPr>
            <w:tcW w:w="2484" w:type="dxa"/>
            <w:tcMar>
              <w:top w:w="80" w:type="dxa"/>
              <w:left w:w="100" w:type="dxa"/>
              <w:bottom w:w="80" w:type="dxa"/>
              <w:right w:w="100" w:type="dxa"/>
            </w:tcMar>
          </w:tcPr>
          <w:p w14:paraId="3713105C" w14:textId="6CFA88B5" w:rsidR="00752541" w:rsidRPr="00752541" w:rsidRDefault="00752541" w:rsidP="00752541">
            <w:pPr>
              <w:rPr>
                <w:sz w:val="19"/>
              </w:rPr>
            </w:pPr>
            <w:r w:rsidRPr="00752541">
              <w:rPr>
                <w:sz w:val="19"/>
              </w:rPr>
              <w:t>Domestic politically exposed persons</w:t>
            </w:r>
          </w:p>
        </w:tc>
        <w:tc>
          <w:tcPr>
            <w:tcW w:w="2484" w:type="dxa"/>
            <w:tcMar>
              <w:top w:w="80" w:type="dxa"/>
              <w:left w:w="100" w:type="dxa"/>
              <w:bottom w:w="80" w:type="dxa"/>
              <w:right w:w="100" w:type="dxa"/>
            </w:tcMar>
          </w:tcPr>
          <w:p w14:paraId="7167665F" w14:textId="76BF1DAC" w:rsidR="00752541" w:rsidRPr="00752541" w:rsidRDefault="00752541" w:rsidP="00752541">
            <w:pPr>
              <w:rPr>
                <w:sz w:val="19"/>
              </w:rPr>
            </w:pPr>
            <w:r w:rsidRPr="00752541">
              <w:rPr>
                <w:sz w:val="19"/>
              </w:rPr>
              <w:t>No equivalent general enhanced due diligence requirement for domestic politically exposed persons</w:t>
            </w:r>
          </w:p>
        </w:tc>
        <w:tc>
          <w:tcPr>
            <w:tcW w:w="2484" w:type="dxa"/>
            <w:tcMar>
              <w:top w:w="80" w:type="dxa"/>
              <w:left w:w="100" w:type="dxa"/>
              <w:bottom w:w="80" w:type="dxa"/>
              <w:right w:w="100" w:type="dxa"/>
            </w:tcMar>
          </w:tcPr>
          <w:p w14:paraId="26CF3942" w14:textId="0CB05620" w:rsidR="00752541" w:rsidRPr="00752541" w:rsidRDefault="00752541" w:rsidP="00752541">
            <w:pPr>
              <w:rPr>
                <w:sz w:val="19"/>
              </w:rPr>
            </w:pPr>
            <w:r w:rsidRPr="00752541">
              <w:rPr>
                <w:sz w:val="19"/>
              </w:rPr>
              <w:t>Enhanced due diligence applies to domestic and foreign politically exposed persons</w:t>
            </w:r>
          </w:p>
        </w:tc>
        <w:tc>
          <w:tcPr>
            <w:tcW w:w="2484" w:type="dxa"/>
            <w:tcMar>
              <w:top w:w="80" w:type="dxa"/>
              <w:left w:w="100" w:type="dxa"/>
              <w:bottom w:w="80" w:type="dxa"/>
              <w:right w:w="100" w:type="dxa"/>
            </w:tcMar>
          </w:tcPr>
          <w:p w14:paraId="76D45E6F" w14:textId="4456E840" w:rsidR="00752541" w:rsidRPr="00752541" w:rsidRDefault="00752541" w:rsidP="00752541">
            <w:pPr>
              <w:rPr>
                <w:sz w:val="19"/>
              </w:rPr>
            </w:pPr>
            <w:r w:rsidRPr="00752541">
              <w:rPr>
                <w:sz w:val="19"/>
              </w:rPr>
              <w:t>A domestic political figure may require enhanced review in Singapore but not under the equivalent United States rule</w:t>
            </w:r>
          </w:p>
        </w:tc>
      </w:tr>
      <w:tr w:rsidR="00752541" w14:paraId="5DA69361" w14:textId="77777777" w:rsidTr="00752541">
        <w:tc>
          <w:tcPr>
            <w:tcW w:w="2484" w:type="dxa"/>
            <w:tcMar>
              <w:top w:w="80" w:type="dxa"/>
              <w:left w:w="100" w:type="dxa"/>
              <w:bottom w:w="80" w:type="dxa"/>
              <w:right w:w="100" w:type="dxa"/>
            </w:tcMar>
          </w:tcPr>
          <w:p w14:paraId="0F857DDD" w14:textId="6A22CEDA" w:rsidR="00752541" w:rsidRPr="00752541" w:rsidRDefault="00752541" w:rsidP="00752541">
            <w:pPr>
              <w:rPr>
                <w:sz w:val="19"/>
              </w:rPr>
            </w:pPr>
            <w:r w:rsidRPr="00752541">
              <w:rPr>
                <w:sz w:val="19"/>
              </w:rPr>
              <w:t>Beneficial ownership</w:t>
            </w:r>
          </w:p>
        </w:tc>
        <w:tc>
          <w:tcPr>
            <w:tcW w:w="2484" w:type="dxa"/>
            <w:tcMar>
              <w:top w:w="80" w:type="dxa"/>
              <w:left w:w="100" w:type="dxa"/>
              <w:bottom w:w="80" w:type="dxa"/>
              <w:right w:w="100" w:type="dxa"/>
            </w:tcMar>
          </w:tcPr>
          <w:p w14:paraId="0F3A4A46" w14:textId="2E3805CB" w:rsidR="00752541" w:rsidRPr="00752541" w:rsidRDefault="00752541" w:rsidP="00752541">
            <w:pPr>
              <w:rPr>
                <w:sz w:val="19"/>
              </w:rPr>
            </w:pPr>
            <w:r w:rsidRPr="00752541">
              <w:rPr>
                <w:sz w:val="19"/>
              </w:rPr>
              <w:t>25% bright-line ownership prong plus one control person</w:t>
            </w:r>
          </w:p>
        </w:tc>
        <w:tc>
          <w:tcPr>
            <w:tcW w:w="2484" w:type="dxa"/>
            <w:tcMar>
              <w:top w:w="80" w:type="dxa"/>
              <w:left w:w="100" w:type="dxa"/>
              <w:bottom w:w="80" w:type="dxa"/>
              <w:right w:w="100" w:type="dxa"/>
            </w:tcMar>
          </w:tcPr>
          <w:p w14:paraId="4A4021BE" w14:textId="59AA5AF1" w:rsidR="00752541" w:rsidRPr="00752541" w:rsidRDefault="00752541" w:rsidP="00752541">
            <w:pPr>
              <w:rPr>
                <w:sz w:val="19"/>
              </w:rPr>
            </w:pPr>
            <w:r w:rsidRPr="00752541">
              <w:rPr>
                <w:sz w:val="19"/>
              </w:rPr>
              <w:t>25% benchmark combined with reasonable measures</w:t>
            </w:r>
          </w:p>
        </w:tc>
        <w:tc>
          <w:tcPr>
            <w:tcW w:w="2484" w:type="dxa"/>
            <w:tcMar>
              <w:top w:w="80" w:type="dxa"/>
              <w:left w:w="100" w:type="dxa"/>
              <w:bottom w:w="80" w:type="dxa"/>
              <w:right w:w="100" w:type="dxa"/>
            </w:tcMar>
          </w:tcPr>
          <w:p w14:paraId="195B4659" w14:textId="2F6205F6" w:rsidR="00752541" w:rsidRPr="00752541" w:rsidRDefault="00752541" w:rsidP="00752541">
            <w:pPr>
              <w:rPr>
                <w:sz w:val="19"/>
              </w:rPr>
            </w:pPr>
            <w:r w:rsidRPr="00752541">
              <w:rPr>
                <w:sz w:val="19"/>
              </w:rPr>
              <w:t>Singapore may require further investigation where ownership is deliberately structured below threshold</w:t>
            </w:r>
          </w:p>
        </w:tc>
      </w:tr>
      <w:tr w:rsidR="00752541" w14:paraId="61271136" w14:textId="77777777" w:rsidTr="00752541">
        <w:tc>
          <w:tcPr>
            <w:tcW w:w="2484" w:type="dxa"/>
            <w:tcMar>
              <w:top w:w="80" w:type="dxa"/>
              <w:left w:w="100" w:type="dxa"/>
              <w:bottom w:w="80" w:type="dxa"/>
              <w:right w:w="100" w:type="dxa"/>
            </w:tcMar>
          </w:tcPr>
          <w:p w14:paraId="5A70E247" w14:textId="7A5CA4C9" w:rsidR="00752541" w:rsidRPr="00752541" w:rsidRDefault="00752541" w:rsidP="00752541">
            <w:pPr>
              <w:rPr>
                <w:sz w:val="19"/>
              </w:rPr>
            </w:pPr>
            <w:r w:rsidRPr="00752541">
              <w:rPr>
                <w:sz w:val="19"/>
              </w:rPr>
              <w:t xml:space="preserve">Sanctions </w:t>
            </w:r>
            <w:proofErr w:type="spellStart"/>
            <w:r w:rsidRPr="00752541">
              <w:rPr>
                <w:sz w:val="19"/>
              </w:rPr>
              <w:t>programme</w:t>
            </w:r>
            <w:proofErr w:type="spellEnd"/>
          </w:p>
        </w:tc>
        <w:tc>
          <w:tcPr>
            <w:tcW w:w="2484" w:type="dxa"/>
            <w:tcMar>
              <w:top w:w="80" w:type="dxa"/>
              <w:left w:w="100" w:type="dxa"/>
              <w:bottom w:w="80" w:type="dxa"/>
              <w:right w:w="100" w:type="dxa"/>
            </w:tcMar>
          </w:tcPr>
          <w:p w14:paraId="37A5A92B" w14:textId="44E08005" w:rsidR="00752541" w:rsidRPr="00752541" w:rsidRDefault="00752541" w:rsidP="00752541">
            <w:pPr>
              <w:rPr>
                <w:sz w:val="19"/>
              </w:rPr>
            </w:pPr>
            <w:r w:rsidRPr="00752541">
              <w:rPr>
                <w:sz w:val="19"/>
              </w:rPr>
              <w:t xml:space="preserve">Office of Foreign Assets Control sanctions lists and United States sanctions </w:t>
            </w:r>
            <w:proofErr w:type="spellStart"/>
            <w:r w:rsidRPr="00752541">
              <w:rPr>
                <w:sz w:val="19"/>
              </w:rPr>
              <w:t>programmes</w:t>
            </w:r>
            <w:proofErr w:type="spellEnd"/>
          </w:p>
        </w:tc>
        <w:tc>
          <w:tcPr>
            <w:tcW w:w="2484" w:type="dxa"/>
            <w:tcMar>
              <w:top w:w="80" w:type="dxa"/>
              <w:left w:w="100" w:type="dxa"/>
              <w:bottom w:w="80" w:type="dxa"/>
              <w:right w:w="100" w:type="dxa"/>
            </w:tcMar>
          </w:tcPr>
          <w:p w14:paraId="69579542" w14:textId="15BBC539" w:rsidR="00752541" w:rsidRPr="00752541" w:rsidRDefault="00752541" w:rsidP="00752541">
            <w:pPr>
              <w:rPr>
                <w:sz w:val="19"/>
              </w:rPr>
            </w:pPr>
            <w:r w:rsidRPr="00752541">
              <w:rPr>
                <w:sz w:val="19"/>
              </w:rPr>
              <w:t>MAS targeted financial sanctions, United Nations sanctions, and Singapore designations</w:t>
            </w:r>
          </w:p>
        </w:tc>
        <w:tc>
          <w:tcPr>
            <w:tcW w:w="2484" w:type="dxa"/>
            <w:tcMar>
              <w:top w:w="80" w:type="dxa"/>
              <w:left w:w="100" w:type="dxa"/>
              <w:bottom w:w="80" w:type="dxa"/>
              <w:right w:w="100" w:type="dxa"/>
            </w:tcMar>
          </w:tcPr>
          <w:p w14:paraId="6005FF7C" w14:textId="28687CC6" w:rsidR="00752541" w:rsidRPr="00752541" w:rsidRDefault="00752541" w:rsidP="00752541">
            <w:pPr>
              <w:rPr>
                <w:sz w:val="19"/>
              </w:rPr>
            </w:pPr>
            <w:r w:rsidRPr="00752541">
              <w:rPr>
                <w:sz w:val="19"/>
              </w:rPr>
              <w:t xml:space="preserve">A party may be captured by one </w:t>
            </w:r>
            <w:proofErr w:type="gramStart"/>
            <w:r w:rsidRPr="00752541">
              <w:rPr>
                <w:sz w:val="19"/>
              </w:rPr>
              <w:t>sanctions</w:t>
            </w:r>
            <w:proofErr w:type="gramEnd"/>
            <w:r w:rsidRPr="00752541">
              <w:rPr>
                <w:sz w:val="19"/>
              </w:rPr>
              <w:t xml:space="preserve"> regime but not the other</w:t>
            </w:r>
          </w:p>
        </w:tc>
      </w:tr>
      <w:tr w:rsidR="00752541" w14:paraId="3F5BDE00" w14:textId="77777777" w:rsidTr="00752541">
        <w:trPr>
          <w:trHeight w:val="16"/>
        </w:trPr>
        <w:tc>
          <w:tcPr>
            <w:tcW w:w="2484" w:type="dxa"/>
            <w:tcMar>
              <w:top w:w="80" w:type="dxa"/>
              <w:left w:w="100" w:type="dxa"/>
              <w:bottom w:w="80" w:type="dxa"/>
              <w:right w:w="100" w:type="dxa"/>
            </w:tcMar>
          </w:tcPr>
          <w:p w14:paraId="32CC244D" w14:textId="333BCE1D" w:rsidR="00752541" w:rsidRPr="00752541" w:rsidRDefault="00752541" w:rsidP="00752541">
            <w:pPr>
              <w:rPr>
                <w:sz w:val="19"/>
              </w:rPr>
            </w:pPr>
            <w:r w:rsidRPr="00752541">
              <w:rPr>
                <w:sz w:val="19"/>
              </w:rPr>
              <w:t>Filing timeline</w:t>
            </w:r>
          </w:p>
        </w:tc>
        <w:tc>
          <w:tcPr>
            <w:tcW w:w="2484" w:type="dxa"/>
            <w:tcMar>
              <w:top w:w="80" w:type="dxa"/>
              <w:left w:w="100" w:type="dxa"/>
              <w:bottom w:w="80" w:type="dxa"/>
              <w:right w:w="100" w:type="dxa"/>
            </w:tcMar>
          </w:tcPr>
          <w:p w14:paraId="5C997616" w14:textId="4762EA43" w:rsidR="00752541" w:rsidRPr="00752541" w:rsidRDefault="00752541" w:rsidP="00752541">
            <w:pPr>
              <w:rPr>
                <w:sz w:val="19"/>
              </w:rPr>
            </w:pPr>
            <w:r w:rsidRPr="00752541">
              <w:rPr>
                <w:sz w:val="19"/>
              </w:rPr>
              <w:t>Suspicious Activity Report generally due within 30 calendar days</w:t>
            </w:r>
          </w:p>
        </w:tc>
        <w:tc>
          <w:tcPr>
            <w:tcW w:w="2484" w:type="dxa"/>
            <w:tcMar>
              <w:top w:w="80" w:type="dxa"/>
              <w:left w:w="100" w:type="dxa"/>
              <w:bottom w:w="80" w:type="dxa"/>
              <w:right w:w="100" w:type="dxa"/>
            </w:tcMar>
          </w:tcPr>
          <w:p w14:paraId="06541B36" w14:textId="44A49255" w:rsidR="00752541" w:rsidRPr="00752541" w:rsidRDefault="00752541" w:rsidP="00752541">
            <w:pPr>
              <w:rPr>
                <w:sz w:val="19"/>
              </w:rPr>
            </w:pPr>
            <w:r w:rsidRPr="00752541">
              <w:rPr>
                <w:sz w:val="19"/>
              </w:rPr>
              <w:t>Suspicious Transaction Report due as soon as practicable</w:t>
            </w:r>
          </w:p>
        </w:tc>
        <w:tc>
          <w:tcPr>
            <w:tcW w:w="2484" w:type="dxa"/>
            <w:tcMar>
              <w:top w:w="80" w:type="dxa"/>
              <w:left w:w="100" w:type="dxa"/>
              <w:bottom w:w="80" w:type="dxa"/>
              <w:right w:w="100" w:type="dxa"/>
            </w:tcMar>
          </w:tcPr>
          <w:p w14:paraId="63A4ABB3" w14:textId="29DC10A8" w:rsidR="00752541" w:rsidRPr="00752541" w:rsidRDefault="00752541" w:rsidP="00752541">
            <w:pPr>
              <w:rPr>
                <w:sz w:val="19"/>
              </w:rPr>
            </w:pPr>
            <w:r w:rsidRPr="00752541">
              <w:rPr>
                <w:sz w:val="19"/>
              </w:rPr>
              <w:t>Singapore’s framework creates a more immediate escalation expectation</w:t>
            </w:r>
          </w:p>
        </w:tc>
      </w:tr>
    </w:tbl>
    <w:p w14:paraId="6AF72A0A" w14:textId="77777777" w:rsidR="004C3066" w:rsidRDefault="004C3066">
      <w:pPr>
        <w:rPr>
          <w:rFonts w:eastAsiaTheme="majorEastAsia" w:cstheme="majorBidi"/>
          <w:b/>
          <w:bCs/>
          <w:color w:val="1F4E79"/>
          <w:sz w:val="32"/>
          <w:szCs w:val="28"/>
        </w:rPr>
      </w:pPr>
      <w:r>
        <w:rPr>
          <w:rFonts w:eastAsiaTheme="majorEastAsia" w:cstheme="majorBidi"/>
          <w:b/>
          <w:bCs/>
          <w:color w:val="1F4E79"/>
          <w:sz w:val="32"/>
          <w:szCs w:val="28"/>
        </w:rPr>
        <w:br w:type="page"/>
      </w:r>
    </w:p>
    <w:p w14:paraId="585B7801" w14:textId="43AD07CC" w:rsidR="002C6653" w:rsidRDefault="00000000">
      <w:pPr>
        <w:pStyle w:val="Heading1"/>
        <w:spacing w:after="120"/>
      </w:pPr>
      <w:r>
        <w:rPr>
          <w:rFonts w:ascii="Arial" w:hAnsi="Arial"/>
        </w:rPr>
        <w:lastRenderedPageBreak/>
        <w:t>1.6 Why This Domain Fits the Chosen Tool Format (Option A — Prototype)</w:t>
      </w:r>
    </w:p>
    <w:p w14:paraId="0AD88CE4" w14:textId="77777777" w:rsidR="00752541" w:rsidRPr="00752541" w:rsidRDefault="00752541" w:rsidP="00752541">
      <w:pPr>
        <w:spacing w:after="120"/>
        <w:jc w:val="both"/>
        <w:rPr>
          <w:lang w:val="en-GB"/>
        </w:rPr>
      </w:pPr>
      <w:r w:rsidRPr="00752541">
        <w:rPr>
          <w:lang w:val="en-GB"/>
        </w:rPr>
        <w:t>The AML/KYC domain is well suited to a prototype-based compliance tool because many relevant obligations can be expressed through jurisdiction-specific configuration. Threshold-based obligations, such as the United States Currency Transaction Report threshold and Singapore’s one-off customer due diligence threshold, can be codified as structured rules. Similarly, politically exposed person classifications, beneficial ownership standards, sanctions list references, and suspicious reporting triggers can be maintained as configurable parameters.</w:t>
      </w:r>
    </w:p>
    <w:p w14:paraId="30A1B6C9" w14:textId="77777777" w:rsidR="00752541" w:rsidRPr="00752541" w:rsidRDefault="00752541" w:rsidP="00752541">
      <w:pPr>
        <w:spacing w:after="120"/>
        <w:jc w:val="both"/>
        <w:rPr>
          <w:lang w:val="en-GB"/>
        </w:rPr>
      </w:pPr>
      <w:r w:rsidRPr="00752541">
        <w:rPr>
          <w:lang w:val="en-GB"/>
        </w:rPr>
        <w:t>A prototype built on a jurisdiction configuration layer would offer several advantages. First, it would improve consistency by ensuring that the applicable rule set is determined by booking jurisdiction, customer type, transaction type, and risk indicators. Second, it would improve auditability by linking each alert to a specific regulatory basis. Third, it would support regulatory change management because updates to thresholds, classifications, or screening requirements could be made through configuration rather than wholesale system redevelopment. Fourth, it would reduce the risk of inappropriate rule transposition, such as applying a United States Currency Transaction Report logic to Singapore bank transactions where the equivalent obligation does not operate in the same way.</w:t>
      </w:r>
    </w:p>
    <w:p w14:paraId="46EDFA16" w14:textId="77777777" w:rsidR="00752541" w:rsidRPr="00752541" w:rsidRDefault="00752541" w:rsidP="00752541">
      <w:pPr>
        <w:spacing w:after="120"/>
        <w:jc w:val="both"/>
        <w:rPr>
          <w:lang w:val="en-GB"/>
        </w:rPr>
      </w:pPr>
      <w:r w:rsidRPr="00752541">
        <w:rPr>
          <w:lang w:val="en-GB"/>
        </w:rPr>
        <w:t>For a bank such as Standard Chartered, this design is particularly relevant because past enforcement actions involved failures in sanctions compliance, transaction transparency, and anti-money laundering controls (DOJ, 2019; NYDFS, 2012). A transparent and explainable rules engine would support both operational compliance and regulatory defensibility.</w:t>
      </w:r>
    </w:p>
    <w:p w14:paraId="71185B2F" w14:textId="77777777" w:rsidR="00752541" w:rsidRPr="00752541" w:rsidRDefault="00752541" w:rsidP="00752541">
      <w:pPr>
        <w:pStyle w:val="Heading1"/>
        <w:spacing w:after="120"/>
        <w:rPr>
          <w:rFonts w:ascii="Arial" w:hAnsi="Arial"/>
        </w:rPr>
      </w:pPr>
      <w:r w:rsidRPr="00752541">
        <w:rPr>
          <w:rFonts w:ascii="Arial" w:hAnsi="Arial"/>
        </w:rPr>
        <w:t>Conclusion</w:t>
      </w:r>
    </w:p>
    <w:p w14:paraId="4E6F1196" w14:textId="77777777" w:rsidR="00752541" w:rsidRPr="00752541" w:rsidRDefault="00752541" w:rsidP="00752541">
      <w:pPr>
        <w:spacing w:after="120"/>
        <w:jc w:val="both"/>
        <w:rPr>
          <w:lang w:val="en-GB"/>
        </w:rPr>
      </w:pPr>
      <w:r w:rsidRPr="00752541">
        <w:rPr>
          <w:lang w:val="en-GB"/>
        </w:rPr>
        <w:t>Standard Chartered Bank provides a strong case study for jurisdiction-aware AML/KYC compliance tooling because it operates in multiple major financial centres and has previously faced significant enforcement action for sanctions and anti-money laundering control failures. The comparison between the United States and Singapore demonstrates that AML/KYC obligations differ materially across reporting thresholds, suspicious reporting standards, politically exposed person treatment, beneficial ownership expectations, sanctions programmes, and filing timelines.</w:t>
      </w:r>
    </w:p>
    <w:p w14:paraId="1602768B" w14:textId="77777777" w:rsidR="00752541" w:rsidRPr="00752541" w:rsidRDefault="00752541" w:rsidP="00752541">
      <w:pPr>
        <w:spacing w:after="120"/>
        <w:jc w:val="both"/>
        <w:rPr>
          <w:lang w:val="en-GB"/>
        </w:rPr>
      </w:pPr>
      <w:r w:rsidRPr="00752541">
        <w:rPr>
          <w:lang w:val="en-GB"/>
        </w:rPr>
        <w:t>These divergences support the use of a configurable prototype rather than a single undifferentiated compliance model. By mapping jurisdiction-specific rules into a structured configuration layer, financial institutions can improve accuracy, auditability, and responsiveness to regulatory change. In cross-border banking, such a tool would not merely improve operational efficiency; it would also reduce legal and regulatory risk by ensuring that the correct compliance logic is applied to the correct jurisdiction.</w:t>
      </w:r>
    </w:p>
    <w:p w14:paraId="708262E7" w14:textId="0ECE11FE" w:rsidR="0040216A" w:rsidRDefault="0040216A">
      <w:pPr>
        <w:rPr>
          <w:lang w:val="en-GB"/>
        </w:rPr>
      </w:pPr>
      <w:r>
        <w:rPr>
          <w:lang w:val="en-GB"/>
        </w:rPr>
        <w:br w:type="page"/>
      </w:r>
    </w:p>
    <w:p w14:paraId="4827C661" w14:textId="77777777" w:rsidR="002C6653" w:rsidRDefault="00000000">
      <w:pPr>
        <w:pStyle w:val="Heading1"/>
        <w:spacing w:after="120"/>
      </w:pPr>
      <w:r>
        <w:rPr>
          <w:rFonts w:ascii="Arial" w:hAnsi="Arial"/>
        </w:rPr>
        <w:lastRenderedPageBreak/>
        <w:t>References</w:t>
      </w:r>
    </w:p>
    <w:p w14:paraId="01314D2B" w14:textId="77777777" w:rsidR="00815A33" w:rsidRPr="00815A33" w:rsidRDefault="00815A33" w:rsidP="00815A33">
      <w:pPr>
        <w:pStyle w:val="ListNumber"/>
        <w:spacing w:after="120"/>
        <w:jc w:val="both"/>
        <w:rPr>
          <w:lang w:val="en-GB"/>
        </w:rPr>
      </w:pPr>
      <w:r w:rsidRPr="00815A33">
        <w:rPr>
          <w:lang w:val="en-GB"/>
        </w:rPr>
        <w:t xml:space="preserve">Anti-Money Laundering and Countering the Financing of Terrorism Division. (n.d.). </w:t>
      </w:r>
      <w:r w:rsidRPr="00815A33">
        <w:rPr>
          <w:i/>
          <w:iCs/>
          <w:lang w:val="en-GB"/>
        </w:rPr>
        <w:t>Transaction-based requirements</w:t>
      </w:r>
      <w:r w:rsidRPr="00815A33">
        <w:rPr>
          <w:lang w:val="en-GB"/>
        </w:rPr>
        <w:t xml:space="preserve">. Ministry of Law, Singapore. </w:t>
      </w:r>
      <w:hyperlink r:id="rId9" w:tgtFrame="_new" w:history="1">
        <w:r w:rsidRPr="00815A33">
          <w:rPr>
            <w:rStyle w:val="Hyperlink"/>
            <w:lang w:val="en-GB"/>
          </w:rPr>
          <w:t>https://acd.mlaw.gov.sg/transaction-based-requirements/</w:t>
        </w:r>
      </w:hyperlink>
    </w:p>
    <w:p w14:paraId="5B6A11F5" w14:textId="77777777" w:rsidR="00815A33" w:rsidRPr="00815A33" w:rsidRDefault="00815A33" w:rsidP="00815A33">
      <w:pPr>
        <w:pStyle w:val="ListNumber"/>
        <w:spacing w:after="120"/>
        <w:jc w:val="both"/>
        <w:rPr>
          <w:lang w:val="en-GB"/>
        </w:rPr>
      </w:pPr>
      <w:r w:rsidRPr="00815A33">
        <w:rPr>
          <w:lang w:val="en-GB"/>
        </w:rPr>
        <w:t>Bank Secrecy Act, 31 U.S.C. §§ 5311–5336 (1970).</w:t>
      </w:r>
    </w:p>
    <w:p w14:paraId="0F3FCBB6" w14:textId="77777777" w:rsidR="00815A33" w:rsidRPr="00815A33" w:rsidRDefault="00815A33" w:rsidP="00815A33">
      <w:pPr>
        <w:pStyle w:val="ListNumber"/>
        <w:spacing w:after="120"/>
        <w:jc w:val="both"/>
        <w:rPr>
          <w:lang w:val="en-GB"/>
        </w:rPr>
      </w:pPr>
      <w:r w:rsidRPr="00815A33">
        <w:rPr>
          <w:lang w:val="en-GB"/>
        </w:rPr>
        <w:t>Corruption, Drug Trafficking and Other Serious Crimes (Confiscation of Benefits) Act 1992.</w:t>
      </w:r>
    </w:p>
    <w:p w14:paraId="1D76ACAF" w14:textId="77777777" w:rsidR="00815A33" w:rsidRPr="00815A33" w:rsidRDefault="00815A33" w:rsidP="00815A33">
      <w:pPr>
        <w:pStyle w:val="ListNumber"/>
        <w:spacing w:after="120"/>
        <w:jc w:val="both"/>
        <w:rPr>
          <w:lang w:val="en-GB"/>
        </w:rPr>
      </w:pPr>
      <w:r w:rsidRPr="00815A33">
        <w:rPr>
          <w:lang w:val="en-GB"/>
        </w:rPr>
        <w:t>Customer due diligence requirements for financial institutions, 31 C.F.R. § 1010.230 (2018).</w:t>
      </w:r>
    </w:p>
    <w:p w14:paraId="6CCB6573" w14:textId="77777777" w:rsidR="00815A33" w:rsidRPr="00815A33" w:rsidRDefault="00815A33" w:rsidP="00815A33">
      <w:pPr>
        <w:pStyle w:val="ListNumber"/>
        <w:spacing w:after="120"/>
        <w:jc w:val="both"/>
        <w:rPr>
          <w:lang w:val="en-GB"/>
        </w:rPr>
      </w:pPr>
      <w:r w:rsidRPr="00815A33">
        <w:rPr>
          <w:lang w:val="en-GB"/>
        </w:rPr>
        <w:t>Currency transaction reports, 31 C.F.R. § 1010.311 (2025).</w:t>
      </w:r>
    </w:p>
    <w:p w14:paraId="51FFEF9A" w14:textId="77777777" w:rsidR="00815A33" w:rsidRPr="00815A33" w:rsidRDefault="00815A33" w:rsidP="00815A33">
      <w:pPr>
        <w:pStyle w:val="ListNumber"/>
        <w:spacing w:after="120"/>
        <w:jc w:val="both"/>
        <w:rPr>
          <w:lang w:val="en-GB"/>
        </w:rPr>
      </w:pPr>
      <w:r w:rsidRPr="00815A33">
        <w:rPr>
          <w:lang w:val="en-GB"/>
        </w:rPr>
        <w:t xml:space="preserve">Financial Crimes Enforcement Network. (n.d.). </w:t>
      </w:r>
      <w:r w:rsidRPr="00815A33">
        <w:rPr>
          <w:i/>
          <w:iCs/>
          <w:lang w:val="en-GB"/>
        </w:rPr>
        <w:t>Customer due diligence final rule</w:t>
      </w:r>
      <w:r w:rsidRPr="00815A33">
        <w:rPr>
          <w:lang w:val="en-GB"/>
        </w:rPr>
        <w:t xml:space="preserve">. U.S. Department of the Treasury. </w:t>
      </w:r>
      <w:hyperlink r:id="rId10" w:tgtFrame="_new" w:history="1">
        <w:r w:rsidRPr="00815A33">
          <w:rPr>
            <w:rStyle w:val="Hyperlink"/>
            <w:lang w:val="en-GB"/>
          </w:rPr>
          <w:t>https://www.fincen.gov/resources/statutes-and-regulations/cdd-final-rule</w:t>
        </w:r>
      </w:hyperlink>
    </w:p>
    <w:p w14:paraId="6297C67A" w14:textId="77777777" w:rsidR="00815A33" w:rsidRPr="00815A33" w:rsidRDefault="00815A33" w:rsidP="00815A33">
      <w:pPr>
        <w:pStyle w:val="ListNumber"/>
        <w:spacing w:after="120"/>
        <w:jc w:val="both"/>
        <w:rPr>
          <w:lang w:val="en-GB"/>
        </w:rPr>
      </w:pPr>
      <w:r w:rsidRPr="00815A33">
        <w:rPr>
          <w:lang w:val="en-GB"/>
        </w:rPr>
        <w:t xml:space="preserve">Financial Crimes Enforcement Network. (2021). </w:t>
      </w:r>
      <w:r w:rsidRPr="00815A33">
        <w:rPr>
          <w:i/>
          <w:iCs/>
          <w:lang w:val="en-GB"/>
        </w:rPr>
        <w:t>Anti-money laundering and countering the financing of terrorism national priorities</w:t>
      </w:r>
      <w:r w:rsidRPr="00815A33">
        <w:rPr>
          <w:lang w:val="en-GB"/>
        </w:rPr>
        <w:t>. U.S. Department of the Treasury.</w:t>
      </w:r>
    </w:p>
    <w:p w14:paraId="73A626DC" w14:textId="77777777" w:rsidR="00815A33" w:rsidRPr="00815A33" w:rsidRDefault="00815A33" w:rsidP="00815A33">
      <w:pPr>
        <w:pStyle w:val="ListNumber"/>
        <w:spacing w:after="120"/>
        <w:jc w:val="both"/>
        <w:rPr>
          <w:lang w:val="en-GB"/>
        </w:rPr>
      </w:pPr>
      <w:r w:rsidRPr="00815A33">
        <w:rPr>
          <w:lang w:val="en-GB"/>
        </w:rPr>
        <w:t xml:space="preserve">Monetary Authority of Singapore. (n.d.-a). </w:t>
      </w:r>
      <w:r w:rsidRPr="00815A33">
        <w:rPr>
          <w:i/>
          <w:iCs/>
          <w:lang w:val="en-GB"/>
        </w:rPr>
        <w:t>Financial institutions directory: Banking</w:t>
      </w:r>
      <w:r w:rsidRPr="00815A33">
        <w:rPr>
          <w:lang w:val="en-GB"/>
        </w:rPr>
        <w:t xml:space="preserve">. </w:t>
      </w:r>
      <w:hyperlink r:id="rId11" w:tgtFrame="_new" w:history="1">
        <w:r w:rsidRPr="00815A33">
          <w:rPr>
            <w:rStyle w:val="Hyperlink"/>
            <w:lang w:val="en-GB"/>
          </w:rPr>
          <w:t>https://www.mas.gov.sg/regulation/banking</w:t>
        </w:r>
      </w:hyperlink>
    </w:p>
    <w:p w14:paraId="482DBF61" w14:textId="77777777" w:rsidR="00815A33" w:rsidRPr="00815A33" w:rsidRDefault="00815A33" w:rsidP="00815A33">
      <w:pPr>
        <w:pStyle w:val="ListNumber"/>
        <w:spacing w:after="120"/>
        <w:jc w:val="both"/>
        <w:rPr>
          <w:lang w:val="en-GB"/>
        </w:rPr>
      </w:pPr>
      <w:r w:rsidRPr="00815A33">
        <w:rPr>
          <w:lang w:val="en-GB"/>
        </w:rPr>
        <w:t xml:space="preserve">Monetary Authority of Singapore. (n.d.-b). </w:t>
      </w:r>
      <w:r w:rsidRPr="00815A33">
        <w:rPr>
          <w:i/>
          <w:iCs/>
          <w:lang w:val="en-GB"/>
        </w:rPr>
        <w:t>MAS Notice 626: Prevention of money laundering and countering the financing of terrorism—Banks</w:t>
      </w:r>
      <w:r w:rsidRPr="00815A33">
        <w:rPr>
          <w:lang w:val="en-GB"/>
        </w:rPr>
        <w:t xml:space="preserve">. </w:t>
      </w:r>
      <w:hyperlink r:id="rId12" w:tgtFrame="_new" w:history="1">
        <w:r w:rsidRPr="00815A33">
          <w:rPr>
            <w:rStyle w:val="Hyperlink"/>
            <w:lang w:val="en-GB"/>
          </w:rPr>
          <w:t>https://www.mas.gov.sg/regulation/notices/notice-626</w:t>
        </w:r>
      </w:hyperlink>
    </w:p>
    <w:p w14:paraId="1E13D703" w14:textId="77777777" w:rsidR="00815A33" w:rsidRPr="00815A33" w:rsidRDefault="00815A33" w:rsidP="00815A33">
      <w:pPr>
        <w:pStyle w:val="ListNumber"/>
        <w:spacing w:after="120"/>
        <w:jc w:val="both"/>
        <w:rPr>
          <w:lang w:val="en-GB"/>
        </w:rPr>
      </w:pPr>
      <w:r w:rsidRPr="00815A33">
        <w:rPr>
          <w:lang w:val="en-GB"/>
        </w:rPr>
        <w:t xml:space="preserve">Monetary Authority of Singapore. (2023). </w:t>
      </w:r>
      <w:r w:rsidRPr="00815A33">
        <w:rPr>
          <w:i/>
          <w:iCs/>
          <w:lang w:val="en-GB"/>
        </w:rPr>
        <w:t>Targeted financial sanctions</w:t>
      </w:r>
      <w:r w:rsidRPr="00815A33">
        <w:rPr>
          <w:lang w:val="en-GB"/>
        </w:rPr>
        <w:t xml:space="preserve">. </w:t>
      </w:r>
      <w:hyperlink r:id="rId13" w:tgtFrame="_new" w:history="1">
        <w:r w:rsidRPr="00815A33">
          <w:rPr>
            <w:rStyle w:val="Hyperlink"/>
            <w:lang w:val="en-GB"/>
          </w:rPr>
          <w:t>https://www.mas.gov.sg/regulation/anti-money-laundering/targeted-financial-sanctions</w:t>
        </w:r>
      </w:hyperlink>
    </w:p>
    <w:p w14:paraId="7A2C61B5" w14:textId="77777777" w:rsidR="00815A33" w:rsidRPr="00815A33" w:rsidRDefault="00815A33" w:rsidP="00815A33">
      <w:pPr>
        <w:pStyle w:val="ListNumber"/>
        <w:spacing w:after="120"/>
        <w:jc w:val="both"/>
        <w:rPr>
          <w:lang w:val="en-GB"/>
        </w:rPr>
      </w:pPr>
      <w:r w:rsidRPr="00815A33">
        <w:rPr>
          <w:lang w:val="en-GB"/>
        </w:rPr>
        <w:t xml:space="preserve">New York State Department of Financial Services. (2012). </w:t>
      </w:r>
      <w:r w:rsidRPr="00815A33">
        <w:rPr>
          <w:i/>
          <w:iCs/>
          <w:lang w:val="en-GB"/>
        </w:rPr>
        <w:t>In the matter of Standard Chartered Bank, New York Branch: Consent order under New York Banking Law §§ 44 and 44-a</w:t>
      </w:r>
      <w:r w:rsidRPr="00815A33">
        <w:rPr>
          <w:lang w:val="en-GB"/>
        </w:rPr>
        <w:t xml:space="preserve">. </w:t>
      </w:r>
      <w:hyperlink r:id="rId14" w:tgtFrame="_new" w:history="1">
        <w:r w:rsidRPr="00815A33">
          <w:rPr>
            <w:rStyle w:val="Hyperlink"/>
            <w:lang w:val="en-GB"/>
          </w:rPr>
          <w:t>https://www.dfs.ny.gov/system/files/documents/2018/07/ea120806.pdf</w:t>
        </w:r>
      </w:hyperlink>
    </w:p>
    <w:p w14:paraId="13AD51DF" w14:textId="77777777" w:rsidR="00815A33" w:rsidRPr="00815A33" w:rsidRDefault="00815A33" w:rsidP="00815A33">
      <w:pPr>
        <w:pStyle w:val="ListNumber"/>
        <w:spacing w:after="120"/>
        <w:jc w:val="both"/>
        <w:rPr>
          <w:lang w:val="en-GB"/>
        </w:rPr>
      </w:pPr>
      <w:r w:rsidRPr="00815A33">
        <w:rPr>
          <w:lang w:val="en-GB"/>
        </w:rPr>
        <w:t>Reports by banks of suspicious transactions, 31 C.F.R. § 1020.320 (2025).</w:t>
      </w:r>
    </w:p>
    <w:p w14:paraId="7B2A87E3" w14:textId="77777777" w:rsidR="00815A33" w:rsidRPr="00815A33" w:rsidRDefault="00815A33" w:rsidP="00815A33">
      <w:pPr>
        <w:pStyle w:val="ListNumber"/>
        <w:spacing w:after="120"/>
        <w:jc w:val="both"/>
        <w:rPr>
          <w:lang w:val="en-GB"/>
        </w:rPr>
      </w:pPr>
      <w:r w:rsidRPr="00815A33">
        <w:rPr>
          <w:lang w:val="en-GB"/>
        </w:rPr>
        <w:t xml:space="preserve">Standard Chartered PLC. (2024). </w:t>
      </w:r>
      <w:r w:rsidRPr="00815A33">
        <w:rPr>
          <w:i/>
          <w:iCs/>
          <w:lang w:val="en-GB"/>
        </w:rPr>
        <w:t>Annual report 2023</w:t>
      </w:r>
      <w:r w:rsidRPr="00815A33">
        <w:rPr>
          <w:lang w:val="en-GB"/>
        </w:rPr>
        <w:t xml:space="preserve">. </w:t>
      </w:r>
      <w:hyperlink r:id="rId15" w:tgtFrame="_new" w:history="1">
        <w:r w:rsidRPr="00815A33">
          <w:rPr>
            <w:rStyle w:val="Hyperlink"/>
            <w:lang w:val="en-GB"/>
          </w:rPr>
          <w:t>https://www.sc.com/en/investors/annual-reports/</w:t>
        </w:r>
      </w:hyperlink>
    </w:p>
    <w:p w14:paraId="29AC124B" w14:textId="77777777" w:rsidR="00815A33" w:rsidRPr="00815A33" w:rsidRDefault="00815A33" w:rsidP="00815A33">
      <w:pPr>
        <w:pStyle w:val="ListNumber"/>
        <w:spacing w:after="120"/>
        <w:jc w:val="both"/>
        <w:rPr>
          <w:lang w:val="en-GB"/>
        </w:rPr>
      </w:pPr>
      <w:r w:rsidRPr="00815A33">
        <w:rPr>
          <w:lang w:val="en-GB"/>
        </w:rPr>
        <w:t>Terrorism (Suppression of Financing) Act 2002.</w:t>
      </w:r>
    </w:p>
    <w:p w14:paraId="4946806B" w14:textId="77777777" w:rsidR="00815A33" w:rsidRPr="00815A33" w:rsidRDefault="00815A33" w:rsidP="00815A33">
      <w:pPr>
        <w:pStyle w:val="ListNumber"/>
        <w:spacing w:after="120"/>
        <w:jc w:val="both"/>
        <w:rPr>
          <w:lang w:val="en-GB"/>
        </w:rPr>
      </w:pPr>
      <w:r w:rsidRPr="00815A33">
        <w:rPr>
          <w:lang w:val="en-GB"/>
        </w:rPr>
        <w:t xml:space="preserve">U.S. Department of Justice. (2019, April 9). </w:t>
      </w:r>
      <w:r w:rsidRPr="00815A33">
        <w:rPr>
          <w:i/>
          <w:iCs/>
          <w:lang w:val="en-GB"/>
        </w:rPr>
        <w:t>Standard Chartered Bank agrees to pay $947 million to resolve criminal and civil sanctions violations</w:t>
      </w:r>
      <w:r w:rsidRPr="00815A33">
        <w:rPr>
          <w:lang w:val="en-GB"/>
        </w:rPr>
        <w:t xml:space="preserve">. </w:t>
      </w:r>
      <w:hyperlink r:id="rId16" w:tgtFrame="_new" w:history="1">
        <w:r w:rsidRPr="00815A33">
          <w:rPr>
            <w:rStyle w:val="Hyperlink"/>
            <w:lang w:val="en-GB"/>
          </w:rPr>
          <w:t>https://www.justice.gov/opa/pr/standard-chartered-bank-agrees-pay-947-million-resolve-criminal-and-civil-sanctions-violations</w:t>
        </w:r>
      </w:hyperlink>
    </w:p>
    <w:p w14:paraId="30B9530D" w14:textId="77777777" w:rsidR="00815A33" w:rsidRPr="00815A33" w:rsidRDefault="00815A33" w:rsidP="00815A33">
      <w:pPr>
        <w:pStyle w:val="ListNumber"/>
        <w:spacing w:after="120"/>
        <w:jc w:val="both"/>
        <w:rPr>
          <w:lang w:val="en-GB"/>
        </w:rPr>
      </w:pPr>
      <w:r w:rsidRPr="00815A33">
        <w:rPr>
          <w:lang w:val="en-GB"/>
        </w:rPr>
        <w:t>USA PATRIOT Act § 312, 31 U.S.C. § 5318(</w:t>
      </w:r>
      <w:proofErr w:type="spellStart"/>
      <w:r w:rsidRPr="00815A33">
        <w:rPr>
          <w:lang w:val="en-GB"/>
        </w:rPr>
        <w:t>i</w:t>
      </w:r>
      <w:proofErr w:type="spellEnd"/>
      <w:r w:rsidRPr="00815A33">
        <w:rPr>
          <w:lang w:val="en-GB"/>
        </w:rPr>
        <w:t>) (2001).</w:t>
      </w:r>
    </w:p>
    <w:p w14:paraId="4D3DC38C" w14:textId="62E63CBE" w:rsidR="002C6653" w:rsidRDefault="002C6653" w:rsidP="00815A33">
      <w:pPr>
        <w:pStyle w:val="ListNumber"/>
        <w:numPr>
          <w:ilvl w:val="0"/>
          <w:numId w:val="0"/>
        </w:numPr>
        <w:spacing w:after="120"/>
        <w:ind w:left="360"/>
      </w:pPr>
    </w:p>
    <w:sectPr w:rsidR="002C6653" w:rsidSect="00034616">
      <w:headerReference w:type="default" r:id="rId17"/>
      <w:footerReference w:type="default" r:id="rId18"/>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8AEC1" w14:textId="77777777" w:rsidR="00FB7D0D" w:rsidRDefault="00FB7D0D">
      <w:pPr>
        <w:spacing w:after="0" w:line="240" w:lineRule="auto"/>
      </w:pPr>
      <w:r>
        <w:separator/>
      </w:r>
    </w:p>
  </w:endnote>
  <w:endnote w:type="continuationSeparator" w:id="0">
    <w:p w14:paraId="46173D57" w14:textId="77777777" w:rsidR="00FB7D0D" w:rsidRDefault="00FB7D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24706" w14:textId="77777777" w:rsidR="002C6653" w:rsidRDefault="00000000">
    <w:pPr>
      <w:pStyle w:val="Footer"/>
      <w:jc w:val="right"/>
    </w:pPr>
    <w:r>
      <w:rPr>
        <w:color w:val="606060"/>
        <w:sz w:val="16"/>
      </w:rPr>
      <w:t>Generated Word copy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CE2D76" w14:textId="77777777" w:rsidR="00FB7D0D" w:rsidRDefault="00FB7D0D">
      <w:pPr>
        <w:spacing w:after="0" w:line="240" w:lineRule="auto"/>
      </w:pPr>
      <w:r>
        <w:separator/>
      </w:r>
    </w:p>
  </w:footnote>
  <w:footnote w:type="continuationSeparator" w:id="0">
    <w:p w14:paraId="73EBC10C" w14:textId="77777777" w:rsidR="00FB7D0D" w:rsidRDefault="00FB7D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6494B" w14:textId="4846715E" w:rsidR="002C6653" w:rsidRDefault="002C6653">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1909644">
    <w:abstractNumId w:val="8"/>
  </w:num>
  <w:num w:numId="2" w16cid:durableId="1057243173">
    <w:abstractNumId w:val="6"/>
  </w:num>
  <w:num w:numId="3" w16cid:durableId="1996496618">
    <w:abstractNumId w:val="5"/>
  </w:num>
  <w:num w:numId="4" w16cid:durableId="341904068">
    <w:abstractNumId w:val="4"/>
  </w:num>
  <w:num w:numId="5" w16cid:durableId="1952976978">
    <w:abstractNumId w:val="7"/>
  </w:num>
  <w:num w:numId="6" w16cid:durableId="1342926918">
    <w:abstractNumId w:val="3"/>
  </w:num>
  <w:num w:numId="7" w16cid:durableId="105008479">
    <w:abstractNumId w:val="2"/>
  </w:num>
  <w:num w:numId="8" w16cid:durableId="295449839">
    <w:abstractNumId w:val="1"/>
  </w:num>
  <w:num w:numId="9" w16cid:durableId="530456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653"/>
    <w:rsid w:val="00326F90"/>
    <w:rsid w:val="0040216A"/>
    <w:rsid w:val="00421F61"/>
    <w:rsid w:val="004C3066"/>
    <w:rsid w:val="004C32A0"/>
    <w:rsid w:val="006864F4"/>
    <w:rsid w:val="00752541"/>
    <w:rsid w:val="00815A33"/>
    <w:rsid w:val="00AA1D8D"/>
    <w:rsid w:val="00B33262"/>
    <w:rsid w:val="00B47730"/>
    <w:rsid w:val="00CB0664"/>
    <w:rsid w:val="00FB7D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131499C"/>
  <w14:defaultImageDpi w14:val="300"/>
  <w15:docId w15:val="{9FD7F8B5-E0A8-4466-9808-C78B4388E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864F4"/>
    <w:rPr>
      <w:color w:val="0000FF" w:themeColor="hyperlink"/>
      <w:u w:val="single"/>
    </w:rPr>
  </w:style>
  <w:style w:type="character" w:styleId="UnresolvedMention">
    <w:name w:val="Unresolved Mention"/>
    <w:basedOn w:val="DefaultParagraphFont"/>
    <w:uiPriority w:val="99"/>
    <w:semiHidden/>
    <w:unhideWhenUsed/>
    <w:rsid w:val="006864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onhoongwong@yahoo.com" TargetMode="External"/><Relationship Id="rId13" Type="http://schemas.openxmlformats.org/officeDocument/2006/relationships/hyperlink" Target="https://www.mas.gov.sg/regulation/anti-money-laundering/targeted-financial-sanction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as.gov.sg/regulation/notices/notice-626"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justice.gov/opa/pr/standard-chartered-bank-agrees-pay-947-million-resolve-criminal-and-civil-sanctions-violation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as.gov.sg/regulation/banking" TargetMode="External"/><Relationship Id="rId5" Type="http://schemas.openxmlformats.org/officeDocument/2006/relationships/webSettings" Target="webSettings.xml"/><Relationship Id="rId15" Type="http://schemas.openxmlformats.org/officeDocument/2006/relationships/hyperlink" Target="https://www.sc.com/en/investors/annual-reports/" TargetMode="External"/><Relationship Id="rId10" Type="http://schemas.openxmlformats.org/officeDocument/2006/relationships/hyperlink" Target="https://www.fincen.gov/resources/statutes-and-regulations/cdd-final-rul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cd.mlaw.gov.sg/transaction-based-requirements/" TargetMode="External"/><Relationship Id="rId14" Type="http://schemas.openxmlformats.org/officeDocument/2006/relationships/hyperlink" Target="https://www.dfs.ny.gov/system/files/documents/2018/07/ea12080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9</Pages>
  <Words>3304</Words>
  <Characters>18838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Joon Hoong Wong</cp:lastModifiedBy>
  <cp:revision>4</cp:revision>
  <dcterms:created xsi:type="dcterms:W3CDTF">2013-12-23T23:15:00Z</dcterms:created>
  <dcterms:modified xsi:type="dcterms:W3CDTF">2026-05-10T06:32:00Z</dcterms:modified>
  <cp:category/>
</cp:coreProperties>
</file>