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VAE-NLME Parameter Estimates: neonates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96"/>
        <w:gridCol w:w="1658"/>
        <w:gridCol w:w="1914"/>
      </w:tblGrid>
      <w:tr>
        <w:trPr>
          <w:trHeight w:val="617" w:hRule="auto"/>
          <w:tblHeader/>
        </w:trPr>
        <w:tc>
          <w:tcPr>
            <w:tcBorders>
              <w:bottom w:val="single" w:sz="12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Linear.</w:t>
            </w:r>
          </w:p>
        </w:tc>
        <w:tc>
          <w:tcPr>
            <w:tcBorders>
              <w:bottom w:val="single" w:sz="12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Imp. Sampling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Fixed Effects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W0_pop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3433.8408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kin_pop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82.0532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Tlag_pop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koutmax_pop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T50_pop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Covariate Effects (selected)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Sex_W0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GAexact_W0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GAexact_kin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Para2_kin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Mage_TL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Mage_kout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Random Effects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omega_W0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omega_kin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omega_Tlag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omega_koutmax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omega_T50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Error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30.7881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Information Criteria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Criterion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Linearisation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Imp. Sampling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12692.04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12715.11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12726.04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12749.11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12781.15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12804.22</w:t>
            </w:r>
          </w:p>
        </w:tc>
      </w:tr>
      <w:tr>
        <w:trPr>
          <w:trHeight w:val="574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BICc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12791.83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12814.90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2026-05-22T14:03:18Z</dcterms:modified>
  <cp:category/>
</cp:coreProperties>
</file>