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VAE-NLME Parameter Estimates: pheno_sd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96"/>
        <w:gridCol w:w="1658"/>
        <w:gridCol w:w="1914"/>
      </w:tblGrid>
      <w:tr>
        <w:trPr>
          <w:trHeight w:val="617" w:hRule="auto"/>
          <w:tblHeader/>
        </w:trPr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Linear.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Imp. Sampling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Fixed Effects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Covariate Effects (selected)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WT_CL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WT_V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Random Effects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omega_CL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Error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Information Criteria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Criterion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Imp. Sampling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875.28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876.62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890.62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903.82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905.16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BICc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906.72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908.06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2026-05-22T15:17:47Z</dcterms:modified>
  <cp:category/>
</cp:coreProperties>
</file>