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2"/>
      </w:pPr>
      <w:r>
        <w:t xml:space="preserve">VAE-NLME Parameter Estimates: mavoglurant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296"/>
        <w:gridCol w:w="1658"/>
        <w:gridCol w:w="1914"/>
      </w:tblGrid>
      <w:tr>
        <w:trPr>
          <w:trHeight w:val="617" w:hRule="auto"/>
          <w:tblHeader/>
        </w:trPr>
        <w:tc>
          <w:tcPr>
            <w:tcBorders>
              <w:bottom w:val="single" w:sz="12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Parameter</w:t>
            </w:r>
          </w:p>
        </w:tc>
        <w:tc>
          <w:tcPr>
            <w:tcBorders>
              <w:bottom w:val="single" w:sz="12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Linear.</w:t>
            </w:r>
          </w:p>
        </w:tc>
        <w:tc>
          <w:tcPr>
            <w:tcBorders>
              <w:bottom w:val="single" w:sz="12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Imp. Sampling</w:t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E8E8E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Fixed Effects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E8E8E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E8E8E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CL_pop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26.7734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V1_pop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53.3257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Q_pop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30.4686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V2_pop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62.7671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8E8E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Covariate Effects (selected)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8E8E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8E8E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SEX_CL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0.2654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WT_CL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0.8277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WT_V1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0.7279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WT_Q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0.8265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WT_V2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8E8E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Random Effects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8E8E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8E8E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omega_CL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omega_V1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0.4046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omega_Q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0.5697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omega_V2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8E8E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Error Model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8E8E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8E8E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34.7879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8E8E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Information Criteria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8E8E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8E8E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Criterion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Linearisation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Imp. Sampling</w:t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OFV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25744.56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25867.71</w:t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25772.56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25895.71</w:t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25818.60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25941.74</w:t>
            </w:r>
          </w:p>
        </w:tc>
      </w:tr>
      <w:tr>
        <w:trPr>
          <w:trHeight w:val="574" w:hRule="auto"/>
        </w:trPr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BICc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25831.24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25954.38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2026-05-23T09:51:42Z</dcterms:modified>
  <cp:category/>
</cp:coreProperties>
</file>