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VAE-NLME Parameter Estimates: pheno_sd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96"/>
        <w:gridCol w:w="1658"/>
        <w:gridCol w:w="1914"/>
      </w:tblGrid>
      <w:tr>
        <w:trPr>
          <w:trHeight w:val="617" w:hRule="auto"/>
          <w:tblHeader/>
        </w:trPr>
        <w:tc>
          <w:tcPr>
            <w:tcBorders>
              <w:bottom w:val="single" w:sz="12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Linear.</w:t>
            </w:r>
          </w:p>
        </w:tc>
        <w:tc>
          <w:tcPr>
            <w:tcBorders>
              <w:bottom w:val="single" w:sz="12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Imp. Sampling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Fixed Effects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Covariate Effects (selected)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WT_CL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WT_V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Random Effects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omega_CL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omega_V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Error 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Information Criteria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Criterion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Linearisation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Imp. Sampling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OFV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876.61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889.38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890.61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903.93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905.16</w:t>
            </w:r>
          </w:p>
        </w:tc>
      </w:tr>
      <w:tr>
        <w:trPr>
          <w:trHeight w:val="574" w:hRule="auto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BICc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906.82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908.05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2026-05-23T09:22:12Z</dcterms:modified>
  <cp:category/>
</cp:coreProperties>
</file>