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VAE-NLME Parameter Estimates: theophylline_multiple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96"/>
        <w:gridCol w:w="1658"/>
        <w:gridCol w:w="1914"/>
      </w:tblGrid>
      <w:tr>
        <w:trPr>
          <w:trHeight w:val="617" w:hRule="auto"/>
          <w:tblHeader/>
        </w:trPr>
        <w:tc>
          <w:tcPr>
            <w:tcBorders>
              <w:bottom w:val="single" w:sz="12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Linear.</w:t>
            </w:r>
          </w:p>
        </w:tc>
        <w:tc>
          <w:tcPr>
            <w:tcBorders>
              <w:bottom w:val="single" w:sz="12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Imp. Sampling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Fixed Effects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ka_pop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ke_pop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V_pop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31.6359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Covariate Effects (selected)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beta_ka_weight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beta_V_weight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Random Effects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omega_ka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omega_ke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omega_V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Error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Information Criteria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Criterion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Linearisation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Imp. Sampling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2518.37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2518.83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2536.37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2536.83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2545.34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2545.79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BICc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2561.37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2561.82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2026-05-23T08:42:40Z</dcterms:modified>
  <cp:category/>
</cp:coreProperties>
</file>