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8ED" w:rsidRPr="000368ED" w:rsidRDefault="000368ED" w:rsidP="000368ED">
      <w:pPr>
        <w:pStyle w:val="NoSpacing"/>
        <w:rPr>
          <w:sz w:val="48"/>
          <w:szCs w:val="48"/>
        </w:rPr>
      </w:pPr>
      <w:r>
        <w:rPr>
          <w:sz w:val="48"/>
          <w:szCs w:val="48"/>
        </w:rPr>
        <w:t>Econometrics Assignment 4</w:t>
      </w:r>
      <w:r w:rsidRPr="000368ED">
        <w:rPr>
          <w:sz w:val="48"/>
          <w:szCs w:val="48"/>
        </w:rPr>
        <w:t>b</w:t>
      </w:r>
    </w:p>
    <w:p w:rsidR="000368ED" w:rsidRDefault="000368ED" w:rsidP="000368ED">
      <w:pPr>
        <w:pStyle w:val="NoSpacing"/>
      </w:pPr>
      <w:proofErr w:type="spellStart"/>
      <w:r>
        <w:t>Joost</w:t>
      </w:r>
      <w:proofErr w:type="spellEnd"/>
      <w:r>
        <w:t xml:space="preserve"> </w:t>
      </w:r>
      <w:proofErr w:type="spellStart"/>
      <w:r>
        <w:t>Bouten</w:t>
      </w:r>
      <w:proofErr w:type="spellEnd"/>
      <w:r>
        <w:t xml:space="preserve">, </w:t>
      </w:r>
      <w:r>
        <w:tab/>
      </w:r>
      <w:r>
        <w:t>SNR: 1265889</w:t>
      </w:r>
    </w:p>
    <w:p w:rsidR="000368ED" w:rsidRDefault="000368ED" w:rsidP="000368ED">
      <w:pPr>
        <w:pStyle w:val="NoSpacing"/>
      </w:pPr>
      <w:proofErr w:type="spellStart"/>
      <w:r>
        <w:t>Twan</w:t>
      </w:r>
      <w:proofErr w:type="spellEnd"/>
      <w:r>
        <w:t xml:space="preserve"> Vissers, </w:t>
      </w:r>
      <w:r>
        <w:tab/>
      </w:r>
      <w:r>
        <w:t>SNR: 1266283</w:t>
      </w:r>
    </w:p>
    <w:p w:rsidR="004B42CC" w:rsidRDefault="000368ED" w:rsidP="000368ED">
      <w:pPr>
        <w:pStyle w:val="NoSpacing"/>
      </w:pPr>
      <w:proofErr w:type="spellStart"/>
      <w:r>
        <w:t>Fons</w:t>
      </w:r>
      <w:proofErr w:type="spellEnd"/>
      <w:r>
        <w:t xml:space="preserve"> </w:t>
      </w:r>
      <w:proofErr w:type="spellStart"/>
      <w:r>
        <w:t>Strik</w:t>
      </w:r>
      <w:proofErr w:type="spellEnd"/>
      <w:r>
        <w:t xml:space="preserve">, </w:t>
      </w:r>
      <w:r>
        <w:tab/>
      </w:r>
      <w:r>
        <w:t>SNR: 1257943</w:t>
      </w:r>
    </w:p>
    <w:p w:rsidR="000368ED" w:rsidRDefault="000368ED" w:rsidP="000368ED">
      <w:pPr>
        <w:pStyle w:val="NoSpacing"/>
      </w:pPr>
    </w:p>
    <w:p w:rsidR="004B42CC" w:rsidRDefault="004B42CC">
      <w:r>
        <w:t>1.</w:t>
      </w:r>
    </w:p>
    <w:p w:rsidR="004B42CC" w:rsidRDefault="004B42CC">
      <w:r>
        <w:t>a)</w:t>
      </w:r>
      <w:r>
        <w:tab/>
      </w:r>
    </w:p>
    <w:p w:rsidR="004B42CC" w:rsidRDefault="004B42CC">
      <w:pPr>
        <w:rPr>
          <w:noProof/>
        </w:rPr>
      </w:pPr>
      <w:r>
        <w:t>We find that the average value of the outcome variable before starting the treatment equals to 9.7097</w:t>
      </w:r>
      <w:r w:rsidR="008942AC">
        <w:t xml:space="preserve"> tons of residual waste per week and route. This means that an average household produces 0.</w:t>
      </w:r>
      <w:r w:rsidR="008942AC" w:rsidRPr="008942AC">
        <w:t>00924735</w:t>
      </w:r>
      <w:r w:rsidR="008942AC">
        <w:t xml:space="preserve"> tons of residual waste per week. This is the equivalent of approximately 9.2 kilogram.</w:t>
      </w:r>
    </w:p>
    <w:p w:rsidR="004B42CC" w:rsidRDefault="004B42CC" w:rsidP="008942AC">
      <w:pPr>
        <w:jc w:val="center"/>
      </w:pPr>
      <w:r w:rsidRPr="004B42CC">
        <w:rPr>
          <w:noProof/>
        </w:rPr>
        <w:drawing>
          <wp:inline distT="0" distB="0" distL="0" distR="0">
            <wp:extent cx="5010150" cy="4836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58383" b="-5932"/>
                    <a:stretch/>
                  </pic:blipFill>
                  <pic:spPr bwMode="auto">
                    <a:xfrm>
                      <a:off x="0" y="0"/>
                      <a:ext cx="5255632" cy="507302"/>
                    </a:xfrm>
                    <a:prstGeom prst="rect">
                      <a:avLst/>
                    </a:prstGeom>
                    <a:noFill/>
                    <a:ln>
                      <a:noFill/>
                    </a:ln>
                    <a:extLst>
                      <a:ext uri="{53640926-AAD7-44D8-BBD7-CCE9431645EC}">
                        <a14:shadowObscured xmlns:a14="http://schemas.microsoft.com/office/drawing/2010/main"/>
                      </a:ext>
                    </a:extLst>
                  </pic:spPr>
                </pic:pic>
              </a:graphicData>
            </a:graphic>
          </wp:inline>
        </w:drawing>
      </w:r>
    </w:p>
    <w:p w:rsidR="008942AC" w:rsidRDefault="008942AC">
      <w:r>
        <w:t>b)</w:t>
      </w:r>
    </w:p>
    <w:p w:rsidR="008942AC" w:rsidRDefault="008942AC">
      <w:r>
        <w:t>Looking at the distribution of the outcome variable using</w:t>
      </w:r>
      <w:r w:rsidR="00B639B2">
        <w:t xml:space="preserve"> the</w:t>
      </w:r>
      <w:r>
        <w:t xml:space="preserve"> histogram command</w:t>
      </w:r>
      <w:r w:rsidR="00B639B2">
        <w:t>, we can say that it is close to a normal distribution.</w:t>
      </w:r>
    </w:p>
    <w:p w:rsidR="008942AC" w:rsidRDefault="008942AC" w:rsidP="008942AC">
      <w:pPr>
        <w:jc w:val="center"/>
      </w:pPr>
      <w:r w:rsidRPr="008942AC">
        <w:rPr>
          <w:noProof/>
        </w:rPr>
        <w:drawing>
          <wp:inline distT="0" distB="0" distL="0" distR="0">
            <wp:extent cx="5114925" cy="3743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rsidR="00B639B2" w:rsidRDefault="00B639B2" w:rsidP="00B639B2"/>
    <w:p w:rsidR="000368ED" w:rsidRDefault="000368ED" w:rsidP="00B639B2"/>
    <w:p w:rsidR="00B639B2" w:rsidRDefault="00B639B2" w:rsidP="00B639B2">
      <w:r>
        <w:lastRenderedPageBreak/>
        <w:t>2.</w:t>
      </w:r>
    </w:p>
    <w:p w:rsidR="00B639B2" w:rsidRDefault="00B639B2" w:rsidP="00B639B2">
      <w:r>
        <w:t>a)</w:t>
      </w:r>
    </w:p>
    <w:p w:rsidR="00B639B2" w:rsidRDefault="00B639B2" w:rsidP="00B639B2">
      <w:r>
        <w:t xml:space="preserve">According to the figure below, we assume that the common trend assumption holds. The trend for both the treatment and the control group are </w:t>
      </w:r>
      <w:r w:rsidR="00752BE3">
        <w:t>almost</w:t>
      </w:r>
      <w:r>
        <w:t xml:space="preserve"> similar.</w:t>
      </w:r>
    </w:p>
    <w:p w:rsidR="00B639B2" w:rsidRDefault="00B639B2" w:rsidP="00B639B2">
      <w:r w:rsidRPr="00B639B2">
        <w:rPr>
          <w:noProof/>
        </w:rPr>
        <w:drawing>
          <wp:inline distT="0" distB="0" distL="0" distR="0">
            <wp:extent cx="5114925" cy="3743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rsidR="00B639B2" w:rsidRDefault="00B639B2" w:rsidP="00B639B2">
      <w:r>
        <w:t>b)</w:t>
      </w:r>
    </w:p>
    <w:tbl>
      <w:tblPr>
        <w:tblStyle w:val="TableGrid"/>
        <w:tblW w:w="0" w:type="auto"/>
        <w:tblLook w:val="04A0" w:firstRow="1" w:lastRow="0" w:firstColumn="1" w:lastColumn="0" w:noHBand="0" w:noVBand="1"/>
      </w:tblPr>
      <w:tblGrid>
        <w:gridCol w:w="2337"/>
        <w:gridCol w:w="2337"/>
        <w:gridCol w:w="2338"/>
        <w:gridCol w:w="2338"/>
      </w:tblGrid>
      <w:tr w:rsidR="002267D3" w:rsidTr="002267D3">
        <w:tc>
          <w:tcPr>
            <w:tcW w:w="2337" w:type="dxa"/>
            <w:tcBorders>
              <w:bottom w:val="single" w:sz="4" w:space="0" w:color="auto"/>
            </w:tcBorders>
          </w:tcPr>
          <w:p w:rsidR="002267D3" w:rsidRDefault="002267D3" w:rsidP="00B639B2"/>
        </w:tc>
        <w:tc>
          <w:tcPr>
            <w:tcW w:w="2337" w:type="dxa"/>
            <w:tcBorders>
              <w:bottom w:val="single" w:sz="4" w:space="0" w:color="auto"/>
            </w:tcBorders>
          </w:tcPr>
          <w:p w:rsidR="002267D3" w:rsidRDefault="002267D3" w:rsidP="002267D3">
            <w:pPr>
              <w:jc w:val="center"/>
            </w:pPr>
            <w:r>
              <w:t>Before</w:t>
            </w:r>
          </w:p>
        </w:tc>
        <w:tc>
          <w:tcPr>
            <w:tcW w:w="2338" w:type="dxa"/>
            <w:tcBorders>
              <w:bottom w:val="single" w:sz="4" w:space="0" w:color="auto"/>
            </w:tcBorders>
          </w:tcPr>
          <w:p w:rsidR="002267D3" w:rsidRDefault="002267D3" w:rsidP="002267D3">
            <w:pPr>
              <w:jc w:val="center"/>
            </w:pPr>
            <w:r>
              <w:t>After</w:t>
            </w:r>
          </w:p>
        </w:tc>
        <w:tc>
          <w:tcPr>
            <w:tcW w:w="2338" w:type="dxa"/>
            <w:tcBorders>
              <w:bottom w:val="single" w:sz="4" w:space="0" w:color="auto"/>
            </w:tcBorders>
          </w:tcPr>
          <w:p w:rsidR="002267D3" w:rsidRDefault="002267D3" w:rsidP="002267D3">
            <w:pPr>
              <w:jc w:val="center"/>
            </w:pPr>
            <w:r>
              <w:t>Difference</w:t>
            </w:r>
          </w:p>
        </w:tc>
      </w:tr>
      <w:tr w:rsidR="002267D3" w:rsidTr="002267D3">
        <w:tc>
          <w:tcPr>
            <w:tcW w:w="2337" w:type="dxa"/>
            <w:tcBorders>
              <w:top w:val="single" w:sz="4" w:space="0" w:color="auto"/>
              <w:left w:val="single" w:sz="4" w:space="0" w:color="auto"/>
              <w:bottom w:val="nil"/>
              <w:right w:val="single" w:sz="4" w:space="0" w:color="auto"/>
            </w:tcBorders>
          </w:tcPr>
          <w:p w:rsidR="002267D3" w:rsidRDefault="002267D3" w:rsidP="00B639B2">
            <w:r>
              <w:t>Treatment group</w:t>
            </w:r>
          </w:p>
        </w:tc>
        <w:tc>
          <w:tcPr>
            <w:tcW w:w="2337" w:type="dxa"/>
            <w:tcBorders>
              <w:top w:val="single" w:sz="4" w:space="0" w:color="auto"/>
              <w:left w:val="single" w:sz="4" w:space="0" w:color="auto"/>
              <w:bottom w:val="nil"/>
              <w:right w:val="nil"/>
            </w:tcBorders>
          </w:tcPr>
          <w:p w:rsidR="002267D3" w:rsidRDefault="002267D3" w:rsidP="002267D3">
            <w:pPr>
              <w:jc w:val="center"/>
            </w:pPr>
            <w:r>
              <w:t>9.7445</w:t>
            </w:r>
          </w:p>
        </w:tc>
        <w:tc>
          <w:tcPr>
            <w:tcW w:w="2338" w:type="dxa"/>
            <w:tcBorders>
              <w:top w:val="single" w:sz="4" w:space="0" w:color="auto"/>
              <w:left w:val="nil"/>
              <w:bottom w:val="nil"/>
              <w:right w:val="nil"/>
            </w:tcBorders>
          </w:tcPr>
          <w:p w:rsidR="002267D3" w:rsidRDefault="002267D3" w:rsidP="002267D3">
            <w:pPr>
              <w:jc w:val="center"/>
            </w:pPr>
            <w:r>
              <w:t>8.5619</w:t>
            </w:r>
          </w:p>
        </w:tc>
        <w:tc>
          <w:tcPr>
            <w:tcW w:w="2338" w:type="dxa"/>
            <w:tcBorders>
              <w:top w:val="single" w:sz="4" w:space="0" w:color="auto"/>
              <w:left w:val="nil"/>
              <w:bottom w:val="nil"/>
              <w:right w:val="single" w:sz="4" w:space="0" w:color="auto"/>
            </w:tcBorders>
          </w:tcPr>
          <w:p w:rsidR="002267D3" w:rsidRDefault="002267D3" w:rsidP="002267D3">
            <w:pPr>
              <w:jc w:val="center"/>
            </w:pPr>
            <w:r>
              <w:t>-1.1826</w:t>
            </w:r>
          </w:p>
        </w:tc>
      </w:tr>
      <w:tr w:rsidR="002267D3" w:rsidTr="002267D3">
        <w:tc>
          <w:tcPr>
            <w:tcW w:w="2337" w:type="dxa"/>
            <w:tcBorders>
              <w:top w:val="nil"/>
              <w:left w:val="single" w:sz="4" w:space="0" w:color="auto"/>
              <w:bottom w:val="single" w:sz="4" w:space="0" w:color="auto"/>
              <w:right w:val="single" w:sz="4" w:space="0" w:color="auto"/>
            </w:tcBorders>
          </w:tcPr>
          <w:p w:rsidR="002267D3" w:rsidRDefault="002267D3" w:rsidP="00B639B2">
            <w:r>
              <w:t>Control group</w:t>
            </w:r>
          </w:p>
        </w:tc>
        <w:tc>
          <w:tcPr>
            <w:tcW w:w="2337" w:type="dxa"/>
            <w:tcBorders>
              <w:top w:val="nil"/>
              <w:left w:val="single" w:sz="4" w:space="0" w:color="auto"/>
              <w:bottom w:val="single" w:sz="4" w:space="0" w:color="auto"/>
              <w:right w:val="nil"/>
            </w:tcBorders>
          </w:tcPr>
          <w:p w:rsidR="002267D3" w:rsidRDefault="002267D3" w:rsidP="002267D3">
            <w:pPr>
              <w:jc w:val="center"/>
            </w:pPr>
            <w:r>
              <w:t>9.6750</w:t>
            </w:r>
          </w:p>
        </w:tc>
        <w:tc>
          <w:tcPr>
            <w:tcW w:w="2338" w:type="dxa"/>
            <w:tcBorders>
              <w:top w:val="nil"/>
              <w:left w:val="nil"/>
              <w:bottom w:val="single" w:sz="4" w:space="0" w:color="auto"/>
              <w:right w:val="nil"/>
            </w:tcBorders>
          </w:tcPr>
          <w:p w:rsidR="002267D3" w:rsidRDefault="002267D3" w:rsidP="002267D3">
            <w:pPr>
              <w:jc w:val="center"/>
            </w:pPr>
            <w:r>
              <w:t>9.6020</w:t>
            </w:r>
          </w:p>
        </w:tc>
        <w:tc>
          <w:tcPr>
            <w:tcW w:w="2338" w:type="dxa"/>
            <w:tcBorders>
              <w:top w:val="nil"/>
              <w:left w:val="nil"/>
              <w:bottom w:val="single" w:sz="4" w:space="0" w:color="auto"/>
              <w:right w:val="single" w:sz="4" w:space="0" w:color="auto"/>
            </w:tcBorders>
          </w:tcPr>
          <w:p w:rsidR="002267D3" w:rsidRDefault="002267D3" w:rsidP="002267D3">
            <w:pPr>
              <w:jc w:val="center"/>
            </w:pPr>
            <w:r>
              <w:t>-0.0730</w:t>
            </w:r>
          </w:p>
        </w:tc>
      </w:tr>
      <w:tr w:rsidR="002267D3" w:rsidTr="002267D3">
        <w:tc>
          <w:tcPr>
            <w:tcW w:w="2337" w:type="dxa"/>
            <w:tcBorders>
              <w:top w:val="single" w:sz="4" w:space="0" w:color="auto"/>
              <w:left w:val="nil"/>
              <w:bottom w:val="nil"/>
              <w:right w:val="nil"/>
            </w:tcBorders>
          </w:tcPr>
          <w:p w:rsidR="002267D3" w:rsidRDefault="002267D3" w:rsidP="00B639B2"/>
        </w:tc>
        <w:tc>
          <w:tcPr>
            <w:tcW w:w="2337" w:type="dxa"/>
            <w:tcBorders>
              <w:top w:val="single" w:sz="4" w:space="0" w:color="auto"/>
              <w:left w:val="nil"/>
              <w:bottom w:val="nil"/>
              <w:right w:val="single" w:sz="4" w:space="0" w:color="auto"/>
            </w:tcBorders>
          </w:tcPr>
          <w:p w:rsidR="002267D3" w:rsidRDefault="002267D3" w:rsidP="00B639B2"/>
        </w:tc>
        <w:tc>
          <w:tcPr>
            <w:tcW w:w="2338" w:type="dxa"/>
            <w:tcBorders>
              <w:top w:val="single" w:sz="4" w:space="0" w:color="auto"/>
              <w:left w:val="single" w:sz="4" w:space="0" w:color="auto"/>
              <w:bottom w:val="single" w:sz="4" w:space="0" w:color="auto"/>
              <w:right w:val="nil"/>
            </w:tcBorders>
          </w:tcPr>
          <w:p w:rsidR="002267D3" w:rsidRDefault="002267D3" w:rsidP="002267D3">
            <w:pPr>
              <w:jc w:val="right"/>
            </w:pPr>
            <w:r>
              <w:t>Treatment effect</w:t>
            </w:r>
          </w:p>
        </w:tc>
        <w:tc>
          <w:tcPr>
            <w:tcW w:w="2338" w:type="dxa"/>
            <w:tcBorders>
              <w:top w:val="single" w:sz="4" w:space="0" w:color="auto"/>
              <w:left w:val="nil"/>
            </w:tcBorders>
          </w:tcPr>
          <w:p w:rsidR="002267D3" w:rsidRDefault="002267D3" w:rsidP="002267D3">
            <w:pPr>
              <w:jc w:val="center"/>
            </w:pPr>
            <w:r>
              <w:t>-1.1096</w:t>
            </w:r>
          </w:p>
        </w:tc>
      </w:tr>
    </w:tbl>
    <w:p w:rsidR="00A220FC" w:rsidRDefault="00A220FC" w:rsidP="00B639B2"/>
    <w:p w:rsidR="00A220FC" w:rsidRDefault="002267D3" w:rsidP="00B639B2">
      <w:pPr>
        <w:rPr>
          <w:rFonts w:eastAsiaTheme="minorEastAsia"/>
        </w:rPr>
      </w:pPr>
      <w:r>
        <w:t>In percentage terms, the treatment effect equals</w:t>
      </w:r>
      <m:oMath>
        <m:r>
          <w:rPr>
            <w:rFonts w:ascii="Cambria Math" w:hAnsi="Cambria Math"/>
          </w:rPr>
          <m:t xml:space="preserve"> </m:t>
        </m:r>
        <m:f>
          <m:fPr>
            <m:ctrlPr>
              <w:rPr>
                <w:rFonts w:ascii="Cambria Math"/>
              </w:rPr>
            </m:ctrlPr>
          </m:fPr>
          <m:num>
            <m:r>
              <m:rPr>
                <m:sty m:val="p"/>
              </m:rPr>
              <w:rPr>
                <w:rFonts w:ascii="Cambria Math" w:hAnsi="Cambria Math"/>
              </w:rPr>
              <m:t>-</m:t>
            </m:r>
            <m:r>
              <m:rPr>
                <m:sty m:val="p"/>
              </m:rPr>
              <w:rPr>
                <w:rFonts w:ascii="Cambria Math" w:hAnsi="Cambria Math"/>
              </w:rPr>
              <m:t>1.1096</m:t>
            </m:r>
            <m:ctrlPr>
              <w:rPr>
                <w:rFonts w:ascii="Cambria Math" w:hAnsi="Cambria Math"/>
              </w:rPr>
            </m:ctrlPr>
          </m:num>
          <m:den>
            <m:r>
              <w:rPr>
                <w:rFonts w:ascii="Cambria Math" w:hAnsi="Cambria Math"/>
              </w:rPr>
              <m:t>9.7445</m:t>
            </m:r>
          </m:den>
        </m:f>
        <m:r>
          <w:rPr>
            <w:rFonts w:ascii="Cambria Math" w:hAnsi="Cambria Math" w:cs="Cambria Math"/>
          </w:rPr>
          <m:t>⋅</m:t>
        </m:r>
        <m:r>
          <w:rPr>
            <w:rFonts w:ascii="Cambria Math"/>
          </w:rPr>
          <m:t>100%=</m:t>
        </m:r>
        <m:r>
          <w:rPr>
            <w:rFonts w:ascii="Cambria Math"/>
          </w:rPr>
          <m:t>-</m:t>
        </m:r>
        <m:r>
          <w:rPr>
            <w:rFonts w:ascii="Cambria Math"/>
          </w:rPr>
          <m:t>11</m:t>
        </m:r>
        <m:r>
          <w:rPr>
            <w:rFonts w:ascii="Cambria Math"/>
          </w:rPr>
          <m:t>.39%</m:t>
        </m:r>
      </m:oMath>
      <w:r w:rsidR="00A220FC">
        <w:rPr>
          <w:rFonts w:eastAsiaTheme="minorEastAsia"/>
        </w:rPr>
        <w:t>.</w:t>
      </w:r>
    </w:p>
    <w:p w:rsidR="00A220FC" w:rsidRDefault="00A220FC" w:rsidP="00B639B2">
      <w:pPr>
        <w:rPr>
          <w:rFonts w:eastAsiaTheme="minorEastAsia"/>
        </w:rPr>
      </w:pPr>
    </w:p>
    <w:p w:rsidR="00A220FC" w:rsidRDefault="00A220FC" w:rsidP="00B639B2">
      <w:pPr>
        <w:rPr>
          <w:rFonts w:eastAsiaTheme="minorEastAsia"/>
        </w:rPr>
      </w:pPr>
    </w:p>
    <w:p w:rsidR="00A220FC" w:rsidRDefault="00A220FC" w:rsidP="00B639B2">
      <w:pPr>
        <w:rPr>
          <w:rFonts w:eastAsiaTheme="minorEastAsia"/>
        </w:rPr>
      </w:pPr>
    </w:p>
    <w:p w:rsidR="00A220FC" w:rsidRDefault="00A220FC" w:rsidP="00B639B2">
      <w:pPr>
        <w:rPr>
          <w:rFonts w:eastAsiaTheme="minorEastAsia"/>
        </w:rPr>
      </w:pPr>
    </w:p>
    <w:p w:rsidR="00A220FC" w:rsidRDefault="00A220FC" w:rsidP="00B639B2">
      <w:pPr>
        <w:rPr>
          <w:rFonts w:eastAsiaTheme="minorEastAsia"/>
        </w:rPr>
      </w:pPr>
    </w:p>
    <w:p w:rsidR="00A220FC" w:rsidRDefault="00A220FC" w:rsidP="00B639B2">
      <w:pPr>
        <w:rPr>
          <w:rFonts w:eastAsiaTheme="minorEastAsia"/>
        </w:rPr>
      </w:pPr>
    </w:p>
    <w:p w:rsidR="00A220FC" w:rsidRDefault="00A220FC" w:rsidP="00B639B2">
      <w:pPr>
        <w:rPr>
          <w:rFonts w:eastAsiaTheme="minorEastAsia"/>
        </w:rPr>
      </w:pPr>
      <w:r>
        <w:rPr>
          <w:rFonts w:eastAsiaTheme="minorEastAsia"/>
        </w:rPr>
        <w:lastRenderedPageBreak/>
        <w:t>c)</w:t>
      </w:r>
      <w:r w:rsidRPr="00A220FC">
        <w:rPr>
          <w:rFonts w:eastAsiaTheme="minorEastAsia"/>
        </w:rPr>
        <w:t xml:space="preserve"> </w:t>
      </w:r>
    </w:p>
    <w:p w:rsidR="00A220FC" w:rsidRDefault="00A220FC" w:rsidP="00B639B2">
      <w:pPr>
        <w:rPr>
          <w:rFonts w:eastAsiaTheme="minorEastAsia"/>
        </w:rPr>
      </w:pPr>
      <w:r w:rsidRPr="00A220FC">
        <w:rPr>
          <w:rFonts w:eastAsiaTheme="minorEastAsia"/>
          <w:noProof/>
        </w:rPr>
        <w:drawing>
          <wp:inline distT="0" distB="0" distL="0" distR="0">
            <wp:extent cx="5114925" cy="3743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rsidR="002267D3" w:rsidRDefault="00A220FC" w:rsidP="00B639B2">
      <w:pPr>
        <w:rPr>
          <w:rFonts w:eastAsiaTheme="minorEastAsia"/>
        </w:rPr>
      </w:pPr>
      <w:r>
        <w:t>Under b we found that the treatment effect is negative and equal to</w:t>
      </w:r>
      <m:oMath>
        <m:r>
          <w:rPr>
            <w:rFonts w:ascii="Cambria Math" w:hAnsi="Cambria Math"/>
          </w:rPr>
          <m:t xml:space="preserve"> </m:t>
        </m:r>
        <m:r>
          <w:rPr>
            <w:rFonts w:ascii="Cambria Math"/>
          </w:rPr>
          <m:t>-</m:t>
        </m:r>
        <m:r>
          <w:rPr>
            <w:rFonts w:ascii="Cambria Math"/>
          </w:rPr>
          <m:t>11</m:t>
        </m:r>
        <m:r>
          <w:rPr>
            <w:rFonts w:ascii="Cambria Math"/>
          </w:rPr>
          <m:t>.39%</m:t>
        </m:r>
      </m:oMath>
      <w:r>
        <w:rPr>
          <w:rFonts w:eastAsiaTheme="minorEastAsia"/>
        </w:rPr>
        <w:t>. This induces that the line corresponding to the treatment group (red line) drops below the line of the control group (blue line) after the treatment is implemented. That is what can be seen in the figure above. Therefore the plot is in line with the results under b.</w:t>
      </w:r>
    </w:p>
    <w:p w:rsidR="00752BE3" w:rsidRDefault="00752BE3" w:rsidP="00B639B2">
      <w:pPr>
        <w:rPr>
          <w:rFonts w:eastAsiaTheme="minorEastAsia"/>
        </w:rPr>
      </w:pPr>
    </w:p>
    <w:p w:rsidR="00752BE3" w:rsidRDefault="00752BE3" w:rsidP="00B639B2">
      <w:pPr>
        <w:rPr>
          <w:rFonts w:eastAsiaTheme="minorEastAsia"/>
        </w:rPr>
      </w:pPr>
      <w:r>
        <w:rPr>
          <w:rFonts w:eastAsiaTheme="minorEastAsia"/>
        </w:rPr>
        <w:t>3.</w:t>
      </w:r>
    </w:p>
    <w:p w:rsidR="00A3207D" w:rsidRDefault="00402C51" w:rsidP="00402C51">
      <w:pPr>
        <w:rPr>
          <w:rFonts w:eastAsiaTheme="minorEastAsia"/>
        </w:rPr>
      </w:pPr>
      <w:r>
        <w:rPr>
          <w:rFonts w:eastAsiaTheme="minorEastAsia"/>
        </w:rPr>
        <w:t>a)</w:t>
      </w:r>
    </w:p>
    <w:p w:rsidR="00A3207D" w:rsidRDefault="00A3207D" w:rsidP="00402C51">
      <w:pPr>
        <w:rPr>
          <w:rFonts w:eastAsiaTheme="minorEastAsia"/>
        </w:rPr>
      </w:pPr>
      <w:r>
        <w:rPr>
          <w:rFonts w:eastAsiaTheme="minorEastAsia"/>
        </w:rPr>
        <w:t>The d-i-d regression for this field experiment is as follows:</w:t>
      </w:r>
    </w:p>
    <w:p w:rsidR="00752BE3" w:rsidRPr="00A3207D" w:rsidRDefault="00752BE3" w:rsidP="00402C51">
      <w:pPr>
        <w:rPr>
          <w:rFonts w:eastAsiaTheme="minorEastAsia"/>
        </w:rPr>
      </w:pPr>
      <m:oMathPara>
        <m:oMathParaPr>
          <m:jc m:val="left"/>
        </m:oMathParaPr>
        <m:oMath>
          <m:sSub>
            <m:sSubPr>
              <m:ctrlPr>
                <w:rPr>
                  <w:rFonts w:ascii="Cambria Math" w:hAnsi="Cambria Math"/>
                </w:rPr>
              </m:ctrlPr>
            </m:sSubPr>
            <m:e>
              <m:r>
                <m:rPr>
                  <m:sty m:val="p"/>
                </m:rPr>
                <w:rPr>
                  <w:rFonts w:ascii="Cambria Math" w:hAnsi="Cambria Math"/>
                </w:rPr>
                <m:t>residual_weight</m:t>
              </m:r>
            </m:e>
            <m:sub>
              <m:r>
                <m:rPr>
                  <m:sty m:val="p"/>
                </m:rPr>
                <w:rPr>
                  <w:rFonts w:ascii="Cambria Math" w:hAnsi="Cambria Math"/>
                </w:rPr>
                <m:t>i</m:t>
              </m:r>
              <m:r>
                <m:rPr>
                  <m:sty m:val="p"/>
                </m:rPr>
                <w:rPr>
                  <w:rFonts w:ascii="Cambria Math" w:hAnsi="Cambria Math"/>
                </w:rPr>
                <m:t>t</m:t>
              </m:r>
            </m:sub>
          </m:sSub>
          <m:r>
            <m:rPr>
              <m:sty m:val="p"/>
            </m:rPr>
            <w:rPr>
              <w:rFonts w:ascii="Cambria Math" w:hAnsi="Cambria Math"/>
            </w:rPr>
            <m:t>=α+β</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treatment_group</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treatment_period</m:t>
                  </m:r>
                </m:e>
                <m:sub>
                  <m:r>
                    <m:rPr>
                      <m:sty m:val="p"/>
                    </m:rPr>
                    <w:rPr>
                      <w:rFonts w:ascii="Cambria Math" w:hAnsi="Cambria Math"/>
                    </w:rPr>
                    <m:t>i</m:t>
                  </m:r>
                </m:sub>
              </m:sSub>
            </m:e>
          </m:d>
          <m:r>
            <m:rPr>
              <m:sty m:val="p"/>
            </m:rPr>
            <w:rPr>
              <w:rFonts w:ascii="Cambria Math" w:hAnsi="Cambria Math"/>
            </w:rPr>
            <m:t>+δ⋅treatment_</m:t>
          </m:r>
          <m:sSub>
            <m:sSubPr>
              <m:ctrlPr>
                <w:rPr>
                  <w:rFonts w:ascii="Cambria Math" w:hAnsi="Cambria Math"/>
                </w:rPr>
              </m:ctrlPr>
            </m:sSubPr>
            <m:e>
              <m:r>
                <m:rPr>
                  <m:sty m:val="p"/>
                </m:rPr>
                <w:rPr>
                  <w:rFonts w:ascii="Cambria Math" w:hAnsi="Cambria Math"/>
                </w:rPr>
                <m:t>group</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i</m:t>
              </m:r>
              <m:r>
                <m:rPr>
                  <m:sty m:val="p"/>
                </m:rPr>
                <w:rPr>
                  <w:rFonts w:ascii="Cambria Math" w:hAnsi="Cambria Math"/>
                </w:rPr>
                <m:t>t</m:t>
              </m:r>
            </m:sub>
          </m:sSub>
        </m:oMath>
      </m:oMathPara>
    </w:p>
    <w:p w:rsidR="00A3207D" w:rsidRDefault="00A3207D" w:rsidP="00402C51">
      <w:pPr>
        <w:rPr>
          <w:rFonts w:eastAsiaTheme="minorEastAsia"/>
        </w:rPr>
      </w:pPr>
      <w:r>
        <w:rPr>
          <w:rFonts w:eastAsiaTheme="minorEastAsia"/>
        </w:rPr>
        <w:t>Where</w:t>
      </w:r>
      <w:r w:rsidRPr="00A3207D">
        <w:rPr>
          <w:rFonts w:eastAsiaTheme="minorEastAsia"/>
          <w:i/>
        </w:rPr>
        <w:t xml:space="preserve"> </w:t>
      </w:r>
      <m:oMath>
        <m:sSub>
          <m:sSubPr>
            <m:ctrlPr>
              <w:rPr>
                <w:rFonts w:ascii="Cambria Math" w:hAnsi="Cambria Math"/>
                <w:i/>
              </w:rPr>
            </m:ctrlPr>
          </m:sSubPr>
          <m:e>
            <m:r>
              <w:rPr>
                <w:rFonts w:ascii="Cambria Math" w:hAnsi="Cambria Math"/>
              </w:rPr>
              <m:t>treatment_group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treatment_period</m:t>
            </m:r>
          </m:e>
          <m:sub>
            <m:r>
              <w:rPr>
                <w:rFonts w:ascii="Cambria Math" w:hAnsi="Cambria Math"/>
              </w:rPr>
              <m:t>i</m:t>
            </m:r>
          </m:sub>
        </m:sSub>
        <m:r>
          <w:rPr>
            <w:rFonts w:ascii="Cambria Math" w:hAnsi="Cambria Math"/>
          </w:rPr>
          <m:t xml:space="preserve"> </m:t>
        </m:r>
      </m:oMath>
      <w:r>
        <w:rPr>
          <w:rFonts w:eastAsiaTheme="minorEastAsia"/>
        </w:rPr>
        <w:t>is the treatment dummy,</w:t>
      </w:r>
      <w:r w:rsidRPr="00A3207D">
        <w:rPr>
          <w:rFonts w:eastAsiaTheme="minorEastAsia"/>
          <w:i/>
        </w:rPr>
        <w:t xml:space="preserve"> </w:t>
      </w:r>
      <m:oMath>
        <m:r>
          <w:rPr>
            <w:rFonts w:ascii="Cambria Math" w:hAnsi="Cambria Math"/>
          </w:rPr>
          <m:t>δ⋅treatment_</m:t>
        </m:r>
        <m:sSub>
          <m:sSubPr>
            <m:ctrlPr>
              <w:rPr>
                <w:rFonts w:ascii="Cambria Math" w:hAnsi="Cambria Math"/>
                <w:i/>
              </w:rPr>
            </m:ctrlPr>
          </m:sSubPr>
          <m:e>
            <m:r>
              <w:rPr>
                <w:rFonts w:ascii="Cambria Math" w:hAnsi="Cambria Math"/>
              </w:rPr>
              <m:t>group</m:t>
            </m:r>
          </m:e>
          <m:sub>
            <m:r>
              <w:rPr>
                <w:rFonts w:ascii="Cambria Math" w:hAnsi="Cambria Math"/>
              </w:rPr>
              <m:t>i</m:t>
            </m:r>
          </m:sub>
        </m:sSub>
      </m:oMath>
      <w:r>
        <w:rPr>
          <w:rFonts w:eastAsiaTheme="minorEastAsia"/>
          <w:i/>
        </w:rPr>
        <w:t xml:space="preserve"> </w:t>
      </w:r>
      <w:r>
        <w:rPr>
          <w:rFonts w:eastAsiaTheme="minorEastAsia"/>
        </w:rPr>
        <w:t>controls for the fixed differences between the two groups</w:t>
      </w:r>
      <w:r w:rsidR="00533357">
        <w:rPr>
          <w:rFonts w:eastAsiaTheme="minorEastAsia"/>
        </w:rPr>
        <w:t xml:space="preserve"> and </w:t>
      </w:r>
      <m:oMath>
        <m:sSub>
          <m:sSubPr>
            <m:ctrlPr>
              <w:rPr>
                <w:rFonts w:ascii="Cambria Math" w:hAnsi="Cambria Math"/>
                <w:i/>
              </w:rPr>
            </m:ctrlPr>
          </m:sSubPr>
          <m:e>
            <m:r>
              <w:rPr>
                <w:rFonts w:ascii="Cambria Math" w:hAnsi="Cambria Math"/>
              </w:rPr>
              <m:t>γ</m:t>
            </m:r>
          </m:e>
          <m:sub>
            <m:r>
              <w:rPr>
                <w:rFonts w:ascii="Cambria Math" w:hAnsi="Cambria Math"/>
              </w:rPr>
              <m:t>t</m:t>
            </m:r>
          </m:sub>
        </m:sSub>
      </m:oMath>
      <w:r w:rsidR="00533357">
        <w:rPr>
          <w:rFonts w:eastAsiaTheme="minorEastAsia"/>
        </w:rPr>
        <w:t xml:space="preserve"> controls for the time-fixed effects.</w:t>
      </w:r>
    </w:p>
    <w:p w:rsidR="003460A1" w:rsidRDefault="003460A1" w:rsidP="00402C51">
      <w:pPr>
        <w:rPr>
          <w:rFonts w:eastAsiaTheme="minorEastAsia"/>
        </w:rPr>
      </w:pPr>
    </w:p>
    <w:p w:rsidR="003460A1" w:rsidRDefault="003460A1" w:rsidP="00402C51">
      <w:pPr>
        <w:rPr>
          <w:rFonts w:eastAsiaTheme="minorEastAsia"/>
        </w:rPr>
      </w:pPr>
    </w:p>
    <w:p w:rsidR="003460A1" w:rsidRDefault="003460A1" w:rsidP="00402C51">
      <w:pPr>
        <w:rPr>
          <w:rFonts w:eastAsiaTheme="minorEastAsia"/>
        </w:rPr>
      </w:pPr>
    </w:p>
    <w:p w:rsidR="003460A1" w:rsidRPr="00A3207D" w:rsidRDefault="003460A1" w:rsidP="00402C51">
      <w:pPr>
        <w:rPr>
          <w:rFonts w:eastAsiaTheme="minorEastAsia"/>
        </w:rPr>
      </w:pPr>
    </w:p>
    <w:p w:rsidR="00A3207D" w:rsidRDefault="00A3207D" w:rsidP="00402C51">
      <w:pPr>
        <w:rPr>
          <w:rFonts w:eastAsiaTheme="minorEastAsia"/>
        </w:rPr>
      </w:pPr>
      <w:r>
        <w:rPr>
          <w:rFonts w:eastAsiaTheme="minorEastAsia"/>
        </w:rPr>
        <w:lastRenderedPageBreak/>
        <w:t xml:space="preserve">b) </w:t>
      </w:r>
    </w:p>
    <w:p w:rsidR="003460A1" w:rsidRDefault="003460A1" w:rsidP="003460A1">
      <w:pPr>
        <w:jc w:val="center"/>
        <w:rPr>
          <w:rFonts w:eastAsiaTheme="minorEastAsia"/>
        </w:rPr>
      </w:pPr>
      <w:r w:rsidRPr="003460A1">
        <w:rPr>
          <w:rFonts w:eastAsiaTheme="minorEastAsia"/>
          <w:noProof/>
        </w:rPr>
        <w:drawing>
          <wp:inline distT="0" distB="0" distL="0" distR="0">
            <wp:extent cx="5334000" cy="7424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r="53686"/>
                    <a:stretch/>
                  </pic:blipFill>
                  <pic:spPr bwMode="auto">
                    <a:xfrm>
                      <a:off x="0" y="0"/>
                      <a:ext cx="5350738" cy="7447833"/>
                    </a:xfrm>
                    <a:prstGeom prst="rect">
                      <a:avLst/>
                    </a:prstGeom>
                    <a:noFill/>
                    <a:ln>
                      <a:noFill/>
                    </a:ln>
                    <a:extLst>
                      <a:ext uri="{53640926-AAD7-44D8-BBD7-CCE9431645EC}">
                        <a14:shadowObscured xmlns:a14="http://schemas.microsoft.com/office/drawing/2010/main"/>
                      </a:ext>
                    </a:extLst>
                  </pic:spPr>
                </pic:pic>
              </a:graphicData>
            </a:graphic>
          </wp:inline>
        </w:drawing>
      </w:r>
    </w:p>
    <w:p w:rsidR="00B64FB3" w:rsidRDefault="00B64FB3" w:rsidP="00402C51">
      <w:pPr>
        <w:rPr>
          <w:rFonts w:eastAsiaTheme="minorEastAsia"/>
        </w:rPr>
      </w:pPr>
      <w:r>
        <w:rPr>
          <w:rFonts w:eastAsiaTheme="minorEastAsia"/>
        </w:rPr>
        <w:t>The estimated effect is negative and equal to -1.1096 significant at t</w:t>
      </w:r>
      <w:r w:rsidR="000B1453">
        <w:rPr>
          <w:rFonts w:eastAsiaTheme="minorEastAsia"/>
        </w:rPr>
        <w:t xml:space="preserve">he 1%-level. The treatment effect in percentage terms is equal to </w:t>
      </w:r>
      <w:r w:rsidR="000B1453" w:rsidRPr="000B1453">
        <w:rPr>
          <w:rFonts w:eastAsiaTheme="minorEastAsia"/>
        </w:rPr>
        <w:t>-11</w:t>
      </w:r>
      <w:r w:rsidR="000B1453">
        <w:rPr>
          <w:rFonts w:eastAsiaTheme="minorEastAsia"/>
        </w:rPr>
        <w:t>.74%.</w:t>
      </w:r>
    </w:p>
    <w:p w:rsidR="001E06D5" w:rsidRPr="001E06D5" w:rsidRDefault="001E06D5" w:rsidP="000368ED">
      <w:pPr>
        <w:pStyle w:val="NoSpacing"/>
        <w:rPr>
          <w:rFonts w:ascii="Arial" w:hAnsi="Arial" w:cs="Arial"/>
          <w:sz w:val="48"/>
          <w:szCs w:val="48"/>
        </w:rPr>
      </w:pPr>
      <w:r w:rsidRPr="001E06D5">
        <w:rPr>
          <w:rFonts w:ascii="Arial" w:hAnsi="Arial" w:cs="Arial"/>
          <w:sz w:val="48"/>
          <w:szCs w:val="48"/>
        </w:rPr>
        <w:lastRenderedPageBreak/>
        <w:t>Copy of our Do-file</w:t>
      </w:r>
      <w:bookmarkStart w:id="0" w:name="_GoBack"/>
      <w:bookmarkEnd w:id="0"/>
    </w:p>
    <w:p w:rsidR="001E06D5" w:rsidRDefault="001E06D5" w:rsidP="000368ED">
      <w:pPr>
        <w:pStyle w:val="NoSpacing"/>
        <w:rPr>
          <w:rFonts w:ascii="Consolas" w:hAnsi="Consolas" w:cs="Consolas"/>
        </w:rPr>
      </w:pPr>
    </w:p>
    <w:p w:rsidR="000368ED" w:rsidRPr="000368ED" w:rsidRDefault="000368ED" w:rsidP="000368ED">
      <w:pPr>
        <w:pStyle w:val="NoSpacing"/>
        <w:rPr>
          <w:rFonts w:ascii="Consolas" w:hAnsi="Consolas" w:cs="Consolas"/>
        </w:rPr>
      </w:pPr>
      <w:r w:rsidRPr="000368ED">
        <w:rPr>
          <w:rFonts w:ascii="Consolas" w:hAnsi="Consolas" w:cs="Consolas"/>
        </w:rPr>
        <w:t>* Computer Assignment 4b</w:t>
      </w:r>
    </w:p>
    <w:p w:rsidR="000368ED" w:rsidRPr="000368ED" w:rsidRDefault="000368ED" w:rsidP="000368ED">
      <w:pPr>
        <w:pStyle w:val="NoSpacing"/>
        <w:rPr>
          <w:rFonts w:ascii="Consolas" w:hAnsi="Consolas" w:cs="Consolas"/>
        </w:rPr>
      </w:pPr>
    </w:p>
    <w:p w:rsidR="000368ED" w:rsidRPr="000368ED" w:rsidRDefault="000368ED" w:rsidP="000368ED">
      <w:pPr>
        <w:pStyle w:val="NoSpacing"/>
        <w:rPr>
          <w:rFonts w:ascii="Consolas" w:hAnsi="Consolas" w:cs="Consolas"/>
        </w:rPr>
      </w:pPr>
      <w:proofErr w:type="gramStart"/>
      <w:r w:rsidRPr="000368ED">
        <w:rPr>
          <w:rFonts w:ascii="Consolas" w:hAnsi="Consolas" w:cs="Consolas"/>
        </w:rPr>
        <w:t>use</w:t>
      </w:r>
      <w:proofErr w:type="gramEnd"/>
      <w:r w:rsidRPr="000368ED">
        <w:rPr>
          <w:rFonts w:ascii="Consolas" w:hAnsi="Consolas" w:cs="Consolas"/>
        </w:rPr>
        <w:t xml:space="preserve"> "C:\Users\u1266283\Downloads\bat_did_2017.dta" </w:t>
      </w:r>
    </w:p>
    <w:p w:rsidR="000368ED" w:rsidRPr="000368ED" w:rsidRDefault="000368ED" w:rsidP="000368ED">
      <w:pPr>
        <w:pStyle w:val="NoSpacing"/>
        <w:rPr>
          <w:rFonts w:ascii="Consolas" w:hAnsi="Consolas" w:cs="Consolas"/>
        </w:rPr>
      </w:pPr>
    </w:p>
    <w:p w:rsidR="000368ED" w:rsidRPr="000368ED" w:rsidRDefault="000368ED" w:rsidP="000368ED">
      <w:pPr>
        <w:pStyle w:val="NoSpacing"/>
        <w:rPr>
          <w:rFonts w:ascii="Consolas" w:hAnsi="Consolas" w:cs="Consolas"/>
        </w:rPr>
      </w:pPr>
      <w:r w:rsidRPr="000368ED">
        <w:rPr>
          <w:rFonts w:ascii="Consolas" w:hAnsi="Consolas" w:cs="Consolas"/>
        </w:rPr>
        <w:t>* 1</w:t>
      </w:r>
    </w:p>
    <w:p w:rsidR="000368ED" w:rsidRPr="000368ED" w:rsidRDefault="000368ED" w:rsidP="000368ED">
      <w:pPr>
        <w:pStyle w:val="NoSpacing"/>
        <w:rPr>
          <w:rFonts w:ascii="Consolas" w:hAnsi="Consolas" w:cs="Consolas"/>
        </w:rPr>
      </w:pPr>
      <w:proofErr w:type="spellStart"/>
      <w:proofErr w:type="gramStart"/>
      <w:r w:rsidRPr="000368ED">
        <w:rPr>
          <w:rFonts w:ascii="Consolas" w:hAnsi="Consolas" w:cs="Consolas"/>
        </w:rPr>
        <w:t>xtset</w:t>
      </w:r>
      <w:proofErr w:type="spellEnd"/>
      <w:proofErr w:type="gramEnd"/>
      <w:r w:rsidRPr="000368ED">
        <w:rPr>
          <w:rFonts w:ascii="Consolas" w:hAnsi="Consolas" w:cs="Consolas"/>
        </w:rPr>
        <w:t xml:space="preserve"> </w:t>
      </w:r>
      <w:proofErr w:type="spellStart"/>
      <w:r w:rsidRPr="000368ED">
        <w:rPr>
          <w:rFonts w:ascii="Consolas" w:hAnsi="Consolas" w:cs="Consolas"/>
        </w:rPr>
        <w:t>treatment_group</w:t>
      </w:r>
      <w:proofErr w:type="spellEnd"/>
      <w:r w:rsidRPr="000368ED">
        <w:rPr>
          <w:rFonts w:ascii="Consolas" w:hAnsi="Consolas" w:cs="Consolas"/>
        </w:rPr>
        <w:t xml:space="preserve"> </w:t>
      </w:r>
      <w:proofErr w:type="spellStart"/>
      <w:r w:rsidRPr="000368ED">
        <w:rPr>
          <w:rFonts w:ascii="Consolas" w:hAnsi="Consolas" w:cs="Consolas"/>
        </w:rPr>
        <w:t>calendar_week</w:t>
      </w:r>
      <w:proofErr w:type="spellEnd"/>
    </w:p>
    <w:p w:rsidR="000368ED" w:rsidRPr="000368ED" w:rsidRDefault="000368ED" w:rsidP="000368ED">
      <w:pPr>
        <w:pStyle w:val="NoSpacing"/>
        <w:rPr>
          <w:rFonts w:ascii="Consolas" w:hAnsi="Consolas" w:cs="Consolas"/>
        </w:rPr>
      </w:pPr>
      <w:r w:rsidRPr="000368ED">
        <w:rPr>
          <w:rFonts w:ascii="Consolas" w:hAnsi="Consolas" w:cs="Consolas"/>
        </w:rPr>
        <w:t>* (a)</w:t>
      </w:r>
    </w:p>
    <w:p w:rsidR="000368ED" w:rsidRPr="000368ED" w:rsidRDefault="000368ED" w:rsidP="000368ED">
      <w:pPr>
        <w:pStyle w:val="NoSpacing"/>
        <w:rPr>
          <w:rFonts w:ascii="Consolas" w:hAnsi="Consolas" w:cs="Consolas"/>
        </w:rPr>
      </w:pPr>
      <w:proofErr w:type="gramStart"/>
      <w:r w:rsidRPr="000368ED">
        <w:rPr>
          <w:rFonts w:ascii="Consolas" w:hAnsi="Consolas" w:cs="Consolas"/>
        </w:rPr>
        <w:t>sum</w:t>
      </w:r>
      <w:proofErr w:type="gramEnd"/>
      <w:r w:rsidRPr="000368ED">
        <w:rPr>
          <w:rFonts w:ascii="Consolas" w:hAnsi="Consolas" w:cs="Consolas"/>
        </w:rPr>
        <w:t xml:space="preserve"> </w:t>
      </w:r>
      <w:proofErr w:type="spellStart"/>
      <w:r w:rsidRPr="000368ED">
        <w:rPr>
          <w:rFonts w:ascii="Consolas" w:hAnsi="Consolas" w:cs="Consolas"/>
        </w:rPr>
        <w:t>residual_weight</w:t>
      </w:r>
      <w:proofErr w:type="spellEnd"/>
      <w:r w:rsidRPr="000368ED">
        <w:rPr>
          <w:rFonts w:ascii="Consolas" w:hAnsi="Consolas" w:cs="Consolas"/>
        </w:rPr>
        <w:t xml:space="preserve"> if </w:t>
      </w:r>
      <w:proofErr w:type="spellStart"/>
      <w:r w:rsidRPr="000368ED">
        <w:rPr>
          <w:rFonts w:ascii="Consolas" w:hAnsi="Consolas" w:cs="Consolas"/>
        </w:rPr>
        <w:t>treatment_period</w:t>
      </w:r>
      <w:proofErr w:type="spellEnd"/>
      <w:r w:rsidRPr="000368ED">
        <w:rPr>
          <w:rFonts w:ascii="Consolas" w:hAnsi="Consolas" w:cs="Consolas"/>
        </w:rPr>
        <w:t>==0</w:t>
      </w:r>
    </w:p>
    <w:p w:rsidR="000368ED" w:rsidRPr="000368ED" w:rsidRDefault="000368ED" w:rsidP="000368ED">
      <w:pPr>
        <w:pStyle w:val="NoSpacing"/>
        <w:rPr>
          <w:rFonts w:ascii="Consolas" w:hAnsi="Consolas" w:cs="Consolas"/>
        </w:rPr>
      </w:pPr>
      <w:proofErr w:type="gramStart"/>
      <w:r w:rsidRPr="000368ED">
        <w:rPr>
          <w:rFonts w:ascii="Consolas" w:hAnsi="Consolas" w:cs="Consolas"/>
        </w:rPr>
        <w:t>display</w:t>
      </w:r>
      <w:proofErr w:type="gramEnd"/>
      <w:r w:rsidRPr="000368ED">
        <w:rPr>
          <w:rFonts w:ascii="Consolas" w:hAnsi="Consolas" w:cs="Consolas"/>
        </w:rPr>
        <w:t xml:space="preserve"> 9.709718/1050</w:t>
      </w:r>
    </w:p>
    <w:p w:rsidR="000368ED" w:rsidRPr="000368ED" w:rsidRDefault="000368ED" w:rsidP="000368ED">
      <w:pPr>
        <w:pStyle w:val="NoSpacing"/>
        <w:rPr>
          <w:rFonts w:ascii="Consolas" w:hAnsi="Consolas" w:cs="Consolas"/>
        </w:rPr>
      </w:pPr>
      <w:r w:rsidRPr="000368ED">
        <w:rPr>
          <w:rFonts w:ascii="Consolas" w:hAnsi="Consolas" w:cs="Consolas"/>
        </w:rPr>
        <w:t>* (b)</w:t>
      </w:r>
    </w:p>
    <w:p w:rsidR="000368ED" w:rsidRPr="000368ED" w:rsidRDefault="000368ED" w:rsidP="000368ED">
      <w:pPr>
        <w:pStyle w:val="NoSpacing"/>
        <w:rPr>
          <w:rFonts w:ascii="Consolas" w:hAnsi="Consolas" w:cs="Consolas"/>
        </w:rPr>
      </w:pPr>
      <w:proofErr w:type="gramStart"/>
      <w:r w:rsidRPr="000368ED">
        <w:rPr>
          <w:rFonts w:ascii="Consolas" w:hAnsi="Consolas" w:cs="Consolas"/>
        </w:rPr>
        <w:t>histogram</w:t>
      </w:r>
      <w:proofErr w:type="gramEnd"/>
      <w:r w:rsidRPr="000368ED">
        <w:rPr>
          <w:rFonts w:ascii="Consolas" w:hAnsi="Consolas" w:cs="Consolas"/>
        </w:rPr>
        <w:t xml:space="preserve"> </w:t>
      </w:r>
      <w:proofErr w:type="spellStart"/>
      <w:r w:rsidRPr="000368ED">
        <w:rPr>
          <w:rFonts w:ascii="Consolas" w:hAnsi="Consolas" w:cs="Consolas"/>
        </w:rPr>
        <w:t>residual_weight</w:t>
      </w:r>
      <w:proofErr w:type="spellEnd"/>
    </w:p>
    <w:p w:rsidR="000368ED" w:rsidRPr="000368ED" w:rsidRDefault="000368ED" w:rsidP="000368ED">
      <w:pPr>
        <w:pStyle w:val="NoSpacing"/>
        <w:rPr>
          <w:rFonts w:ascii="Consolas" w:hAnsi="Consolas" w:cs="Consolas"/>
        </w:rPr>
      </w:pPr>
    </w:p>
    <w:p w:rsidR="000368ED" w:rsidRPr="000368ED" w:rsidRDefault="000368ED" w:rsidP="000368ED">
      <w:pPr>
        <w:pStyle w:val="NoSpacing"/>
        <w:rPr>
          <w:rFonts w:ascii="Consolas" w:hAnsi="Consolas" w:cs="Consolas"/>
        </w:rPr>
      </w:pPr>
      <w:r w:rsidRPr="000368ED">
        <w:rPr>
          <w:rFonts w:ascii="Consolas" w:hAnsi="Consolas" w:cs="Consolas"/>
        </w:rPr>
        <w:t>*2</w:t>
      </w:r>
    </w:p>
    <w:p w:rsidR="000368ED" w:rsidRPr="000368ED" w:rsidRDefault="000368ED" w:rsidP="000368ED">
      <w:pPr>
        <w:pStyle w:val="NoSpacing"/>
        <w:rPr>
          <w:rFonts w:ascii="Consolas" w:hAnsi="Consolas" w:cs="Consolas"/>
        </w:rPr>
      </w:pPr>
      <w:r w:rsidRPr="000368ED">
        <w:rPr>
          <w:rFonts w:ascii="Consolas" w:hAnsi="Consolas" w:cs="Consolas"/>
        </w:rPr>
        <w:t>* (a)</w:t>
      </w:r>
    </w:p>
    <w:p w:rsidR="000368ED" w:rsidRPr="000368ED" w:rsidRDefault="000368ED" w:rsidP="000368ED">
      <w:pPr>
        <w:pStyle w:val="NoSpacing"/>
        <w:rPr>
          <w:rFonts w:ascii="Consolas" w:hAnsi="Consolas" w:cs="Consolas"/>
        </w:rPr>
      </w:pPr>
      <w:proofErr w:type="gramStart"/>
      <w:r w:rsidRPr="000368ED">
        <w:rPr>
          <w:rFonts w:ascii="Consolas" w:hAnsi="Consolas" w:cs="Consolas"/>
        </w:rPr>
        <w:t>graph</w:t>
      </w:r>
      <w:proofErr w:type="gramEnd"/>
      <w:r w:rsidRPr="000368ED">
        <w:rPr>
          <w:rFonts w:ascii="Consolas" w:hAnsi="Consolas" w:cs="Consolas"/>
        </w:rPr>
        <w:t xml:space="preserve"> </w:t>
      </w:r>
      <w:proofErr w:type="spellStart"/>
      <w:r w:rsidRPr="000368ED">
        <w:rPr>
          <w:rFonts w:ascii="Consolas" w:hAnsi="Consolas" w:cs="Consolas"/>
        </w:rPr>
        <w:t>twoway</w:t>
      </w:r>
      <w:proofErr w:type="spellEnd"/>
      <w:r w:rsidRPr="000368ED">
        <w:rPr>
          <w:rFonts w:ascii="Consolas" w:hAnsi="Consolas" w:cs="Consolas"/>
        </w:rPr>
        <w:t xml:space="preserve"> (line </w:t>
      </w:r>
      <w:proofErr w:type="spellStart"/>
      <w:r w:rsidRPr="000368ED">
        <w:rPr>
          <w:rFonts w:ascii="Consolas" w:hAnsi="Consolas" w:cs="Consolas"/>
        </w:rPr>
        <w:t>residual_weight</w:t>
      </w:r>
      <w:proofErr w:type="spellEnd"/>
      <w:r w:rsidRPr="000368ED">
        <w:rPr>
          <w:rFonts w:ascii="Consolas" w:hAnsi="Consolas" w:cs="Consolas"/>
        </w:rPr>
        <w:t xml:space="preserve"> </w:t>
      </w:r>
      <w:proofErr w:type="spellStart"/>
      <w:r w:rsidRPr="000368ED">
        <w:rPr>
          <w:rFonts w:ascii="Consolas" w:hAnsi="Consolas" w:cs="Consolas"/>
        </w:rPr>
        <w:t>calendar_week</w:t>
      </w:r>
      <w:proofErr w:type="spellEnd"/>
      <w:r w:rsidRPr="000368ED">
        <w:rPr>
          <w:rFonts w:ascii="Consolas" w:hAnsi="Consolas" w:cs="Consolas"/>
        </w:rPr>
        <w:t xml:space="preserve"> if </w:t>
      </w:r>
      <w:proofErr w:type="spellStart"/>
      <w:r w:rsidRPr="000368ED">
        <w:rPr>
          <w:rFonts w:ascii="Consolas" w:hAnsi="Consolas" w:cs="Consolas"/>
        </w:rPr>
        <w:t>treatment_group</w:t>
      </w:r>
      <w:proofErr w:type="spellEnd"/>
      <w:r w:rsidRPr="000368ED">
        <w:rPr>
          <w:rFonts w:ascii="Consolas" w:hAnsi="Consolas" w:cs="Consolas"/>
        </w:rPr>
        <w:t xml:space="preserve">==0)(line </w:t>
      </w:r>
      <w:proofErr w:type="spellStart"/>
      <w:r w:rsidRPr="000368ED">
        <w:rPr>
          <w:rFonts w:ascii="Consolas" w:hAnsi="Consolas" w:cs="Consolas"/>
        </w:rPr>
        <w:t>residual_weight</w:t>
      </w:r>
      <w:proofErr w:type="spellEnd"/>
      <w:r w:rsidRPr="000368ED">
        <w:rPr>
          <w:rFonts w:ascii="Consolas" w:hAnsi="Consolas" w:cs="Consolas"/>
        </w:rPr>
        <w:t xml:space="preserve"> </w:t>
      </w:r>
      <w:proofErr w:type="spellStart"/>
      <w:r w:rsidRPr="000368ED">
        <w:rPr>
          <w:rFonts w:ascii="Consolas" w:hAnsi="Consolas" w:cs="Consolas"/>
        </w:rPr>
        <w:t>calendar_week</w:t>
      </w:r>
      <w:proofErr w:type="spellEnd"/>
      <w:r w:rsidRPr="000368ED">
        <w:rPr>
          <w:rFonts w:ascii="Consolas" w:hAnsi="Consolas" w:cs="Consolas"/>
        </w:rPr>
        <w:t xml:space="preserve"> if </w:t>
      </w:r>
      <w:proofErr w:type="spellStart"/>
      <w:r w:rsidRPr="000368ED">
        <w:rPr>
          <w:rFonts w:ascii="Consolas" w:hAnsi="Consolas" w:cs="Consolas"/>
        </w:rPr>
        <w:t>treatment_group</w:t>
      </w:r>
      <w:proofErr w:type="spellEnd"/>
      <w:r w:rsidRPr="000368ED">
        <w:rPr>
          <w:rFonts w:ascii="Consolas" w:hAnsi="Consolas" w:cs="Consolas"/>
        </w:rPr>
        <w:t xml:space="preserve">==1) if </w:t>
      </w:r>
      <w:proofErr w:type="spellStart"/>
      <w:r w:rsidRPr="000368ED">
        <w:rPr>
          <w:rFonts w:ascii="Consolas" w:hAnsi="Consolas" w:cs="Consolas"/>
        </w:rPr>
        <w:t>treatment_period</w:t>
      </w:r>
      <w:proofErr w:type="spellEnd"/>
      <w:r w:rsidRPr="000368ED">
        <w:rPr>
          <w:rFonts w:ascii="Consolas" w:hAnsi="Consolas" w:cs="Consolas"/>
        </w:rPr>
        <w:t>~=1</w:t>
      </w:r>
    </w:p>
    <w:p w:rsidR="000368ED" w:rsidRPr="000368ED" w:rsidRDefault="000368ED" w:rsidP="000368ED">
      <w:pPr>
        <w:pStyle w:val="NoSpacing"/>
        <w:rPr>
          <w:rFonts w:ascii="Consolas" w:hAnsi="Consolas" w:cs="Consolas"/>
        </w:rPr>
      </w:pPr>
      <w:r w:rsidRPr="000368ED">
        <w:rPr>
          <w:rFonts w:ascii="Consolas" w:hAnsi="Consolas" w:cs="Consolas"/>
        </w:rPr>
        <w:t>* (b)</w:t>
      </w:r>
    </w:p>
    <w:p w:rsidR="000368ED" w:rsidRPr="000368ED" w:rsidRDefault="000368ED" w:rsidP="000368ED">
      <w:pPr>
        <w:pStyle w:val="NoSpacing"/>
        <w:rPr>
          <w:rFonts w:ascii="Consolas" w:hAnsi="Consolas" w:cs="Consolas"/>
        </w:rPr>
      </w:pPr>
      <w:proofErr w:type="gramStart"/>
      <w:r w:rsidRPr="000368ED">
        <w:rPr>
          <w:rFonts w:ascii="Consolas" w:hAnsi="Consolas" w:cs="Consolas"/>
        </w:rPr>
        <w:t>sum</w:t>
      </w:r>
      <w:proofErr w:type="gramEnd"/>
      <w:r w:rsidRPr="000368ED">
        <w:rPr>
          <w:rFonts w:ascii="Consolas" w:hAnsi="Consolas" w:cs="Consolas"/>
        </w:rPr>
        <w:t xml:space="preserve"> </w:t>
      </w:r>
      <w:proofErr w:type="spellStart"/>
      <w:r w:rsidRPr="000368ED">
        <w:rPr>
          <w:rFonts w:ascii="Consolas" w:hAnsi="Consolas" w:cs="Consolas"/>
        </w:rPr>
        <w:t>residual_weight</w:t>
      </w:r>
      <w:proofErr w:type="spellEnd"/>
      <w:r w:rsidRPr="000368ED">
        <w:rPr>
          <w:rFonts w:ascii="Consolas" w:hAnsi="Consolas" w:cs="Consolas"/>
        </w:rPr>
        <w:t xml:space="preserve"> if </w:t>
      </w:r>
      <w:proofErr w:type="spellStart"/>
      <w:r w:rsidRPr="000368ED">
        <w:rPr>
          <w:rFonts w:ascii="Consolas" w:hAnsi="Consolas" w:cs="Consolas"/>
        </w:rPr>
        <w:t>treatment_period</w:t>
      </w:r>
      <w:proofErr w:type="spellEnd"/>
      <w:r w:rsidRPr="000368ED">
        <w:rPr>
          <w:rFonts w:ascii="Consolas" w:hAnsi="Consolas" w:cs="Consolas"/>
        </w:rPr>
        <w:t xml:space="preserve">==0 &amp; </w:t>
      </w:r>
      <w:proofErr w:type="spellStart"/>
      <w:r w:rsidRPr="000368ED">
        <w:rPr>
          <w:rFonts w:ascii="Consolas" w:hAnsi="Consolas" w:cs="Consolas"/>
        </w:rPr>
        <w:t>treatment_group</w:t>
      </w:r>
      <w:proofErr w:type="spellEnd"/>
      <w:r w:rsidRPr="000368ED">
        <w:rPr>
          <w:rFonts w:ascii="Consolas" w:hAnsi="Consolas" w:cs="Consolas"/>
        </w:rPr>
        <w:t>==1</w:t>
      </w:r>
    </w:p>
    <w:p w:rsidR="000368ED" w:rsidRPr="000368ED" w:rsidRDefault="000368ED" w:rsidP="000368ED">
      <w:pPr>
        <w:pStyle w:val="NoSpacing"/>
        <w:rPr>
          <w:rFonts w:ascii="Consolas" w:hAnsi="Consolas" w:cs="Consolas"/>
        </w:rPr>
      </w:pPr>
      <w:proofErr w:type="gramStart"/>
      <w:r w:rsidRPr="000368ED">
        <w:rPr>
          <w:rFonts w:ascii="Consolas" w:hAnsi="Consolas" w:cs="Consolas"/>
        </w:rPr>
        <w:t>sum</w:t>
      </w:r>
      <w:proofErr w:type="gramEnd"/>
      <w:r w:rsidRPr="000368ED">
        <w:rPr>
          <w:rFonts w:ascii="Consolas" w:hAnsi="Consolas" w:cs="Consolas"/>
        </w:rPr>
        <w:t xml:space="preserve"> </w:t>
      </w:r>
      <w:proofErr w:type="spellStart"/>
      <w:r w:rsidRPr="000368ED">
        <w:rPr>
          <w:rFonts w:ascii="Consolas" w:hAnsi="Consolas" w:cs="Consolas"/>
        </w:rPr>
        <w:t>residual_weight</w:t>
      </w:r>
      <w:proofErr w:type="spellEnd"/>
      <w:r w:rsidRPr="000368ED">
        <w:rPr>
          <w:rFonts w:ascii="Consolas" w:hAnsi="Consolas" w:cs="Consolas"/>
        </w:rPr>
        <w:t xml:space="preserve"> if </w:t>
      </w:r>
      <w:proofErr w:type="spellStart"/>
      <w:r w:rsidRPr="000368ED">
        <w:rPr>
          <w:rFonts w:ascii="Consolas" w:hAnsi="Consolas" w:cs="Consolas"/>
        </w:rPr>
        <w:t>treatment_period</w:t>
      </w:r>
      <w:proofErr w:type="spellEnd"/>
      <w:r w:rsidRPr="000368ED">
        <w:rPr>
          <w:rFonts w:ascii="Consolas" w:hAnsi="Consolas" w:cs="Consolas"/>
        </w:rPr>
        <w:t xml:space="preserve">==0 &amp; </w:t>
      </w:r>
      <w:proofErr w:type="spellStart"/>
      <w:r w:rsidRPr="000368ED">
        <w:rPr>
          <w:rFonts w:ascii="Consolas" w:hAnsi="Consolas" w:cs="Consolas"/>
        </w:rPr>
        <w:t>treatment_group</w:t>
      </w:r>
      <w:proofErr w:type="spellEnd"/>
      <w:r w:rsidRPr="000368ED">
        <w:rPr>
          <w:rFonts w:ascii="Consolas" w:hAnsi="Consolas" w:cs="Consolas"/>
        </w:rPr>
        <w:t>==0</w:t>
      </w:r>
    </w:p>
    <w:p w:rsidR="000368ED" w:rsidRPr="000368ED" w:rsidRDefault="000368ED" w:rsidP="000368ED">
      <w:pPr>
        <w:pStyle w:val="NoSpacing"/>
        <w:rPr>
          <w:rFonts w:ascii="Consolas" w:hAnsi="Consolas" w:cs="Consolas"/>
        </w:rPr>
      </w:pPr>
      <w:proofErr w:type="gramStart"/>
      <w:r w:rsidRPr="000368ED">
        <w:rPr>
          <w:rFonts w:ascii="Consolas" w:hAnsi="Consolas" w:cs="Consolas"/>
        </w:rPr>
        <w:t>sum</w:t>
      </w:r>
      <w:proofErr w:type="gramEnd"/>
      <w:r w:rsidRPr="000368ED">
        <w:rPr>
          <w:rFonts w:ascii="Consolas" w:hAnsi="Consolas" w:cs="Consolas"/>
        </w:rPr>
        <w:t xml:space="preserve"> </w:t>
      </w:r>
      <w:proofErr w:type="spellStart"/>
      <w:r w:rsidRPr="000368ED">
        <w:rPr>
          <w:rFonts w:ascii="Consolas" w:hAnsi="Consolas" w:cs="Consolas"/>
        </w:rPr>
        <w:t>residual_weight</w:t>
      </w:r>
      <w:proofErr w:type="spellEnd"/>
      <w:r w:rsidRPr="000368ED">
        <w:rPr>
          <w:rFonts w:ascii="Consolas" w:hAnsi="Consolas" w:cs="Consolas"/>
        </w:rPr>
        <w:t xml:space="preserve"> if </w:t>
      </w:r>
      <w:proofErr w:type="spellStart"/>
      <w:r w:rsidRPr="000368ED">
        <w:rPr>
          <w:rFonts w:ascii="Consolas" w:hAnsi="Consolas" w:cs="Consolas"/>
        </w:rPr>
        <w:t>treatment_period</w:t>
      </w:r>
      <w:proofErr w:type="spellEnd"/>
      <w:r w:rsidRPr="000368ED">
        <w:rPr>
          <w:rFonts w:ascii="Consolas" w:hAnsi="Consolas" w:cs="Consolas"/>
        </w:rPr>
        <w:t xml:space="preserve">==1 &amp; </w:t>
      </w:r>
      <w:proofErr w:type="spellStart"/>
      <w:r w:rsidRPr="000368ED">
        <w:rPr>
          <w:rFonts w:ascii="Consolas" w:hAnsi="Consolas" w:cs="Consolas"/>
        </w:rPr>
        <w:t>treatment_group</w:t>
      </w:r>
      <w:proofErr w:type="spellEnd"/>
      <w:r w:rsidRPr="000368ED">
        <w:rPr>
          <w:rFonts w:ascii="Consolas" w:hAnsi="Consolas" w:cs="Consolas"/>
        </w:rPr>
        <w:t>==1</w:t>
      </w:r>
    </w:p>
    <w:p w:rsidR="000368ED" w:rsidRPr="000368ED" w:rsidRDefault="000368ED" w:rsidP="000368ED">
      <w:pPr>
        <w:pStyle w:val="NoSpacing"/>
        <w:rPr>
          <w:rFonts w:ascii="Consolas" w:hAnsi="Consolas" w:cs="Consolas"/>
        </w:rPr>
      </w:pPr>
      <w:proofErr w:type="gramStart"/>
      <w:r w:rsidRPr="000368ED">
        <w:rPr>
          <w:rFonts w:ascii="Consolas" w:hAnsi="Consolas" w:cs="Consolas"/>
        </w:rPr>
        <w:t>sum</w:t>
      </w:r>
      <w:proofErr w:type="gramEnd"/>
      <w:r w:rsidRPr="000368ED">
        <w:rPr>
          <w:rFonts w:ascii="Consolas" w:hAnsi="Consolas" w:cs="Consolas"/>
        </w:rPr>
        <w:t xml:space="preserve"> </w:t>
      </w:r>
      <w:proofErr w:type="spellStart"/>
      <w:r w:rsidRPr="000368ED">
        <w:rPr>
          <w:rFonts w:ascii="Consolas" w:hAnsi="Consolas" w:cs="Consolas"/>
        </w:rPr>
        <w:t>residual_weight</w:t>
      </w:r>
      <w:proofErr w:type="spellEnd"/>
      <w:r w:rsidRPr="000368ED">
        <w:rPr>
          <w:rFonts w:ascii="Consolas" w:hAnsi="Consolas" w:cs="Consolas"/>
        </w:rPr>
        <w:t xml:space="preserve"> if </w:t>
      </w:r>
      <w:proofErr w:type="spellStart"/>
      <w:r w:rsidRPr="000368ED">
        <w:rPr>
          <w:rFonts w:ascii="Consolas" w:hAnsi="Consolas" w:cs="Consolas"/>
        </w:rPr>
        <w:t>treatment_period</w:t>
      </w:r>
      <w:proofErr w:type="spellEnd"/>
      <w:r w:rsidRPr="000368ED">
        <w:rPr>
          <w:rFonts w:ascii="Consolas" w:hAnsi="Consolas" w:cs="Consolas"/>
        </w:rPr>
        <w:t xml:space="preserve">==1 &amp; </w:t>
      </w:r>
      <w:proofErr w:type="spellStart"/>
      <w:r w:rsidRPr="000368ED">
        <w:rPr>
          <w:rFonts w:ascii="Consolas" w:hAnsi="Consolas" w:cs="Consolas"/>
        </w:rPr>
        <w:t>treatment_group</w:t>
      </w:r>
      <w:proofErr w:type="spellEnd"/>
      <w:r w:rsidRPr="000368ED">
        <w:rPr>
          <w:rFonts w:ascii="Consolas" w:hAnsi="Consolas" w:cs="Consolas"/>
        </w:rPr>
        <w:t>==0</w:t>
      </w:r>
    </w:p>
    <w:p w:rsidR="000368ED" w:rsidRPr="000368ED" w:rsidRDefault="000368ED" w:rsidP="000368ED">
      <w:pPr>
        <w:pStyle w:val="NoSpacing"/>
        <w:rPr>
          <w:rFonts w:ascii="Consolas" w:hAnsi="Consolas" w:cs="Consolas"/>
        </w:rPr>
      </w:pPr>
      <w:proofErr w:type="gramStart"/>
      <w:r w:rsidRPr="000368ED">
        <w:rPr>
          <w:rFonts w:ascii="Consolas" w:hAnsi="Consolas" w:cs="Consolas"/>
        </w:rPr>
        <w:t>display</w:t>
      </w:r>
      <w:proofErr w:type="gramEnd"/>
      <w:r w:rsidRPr="000368ED">
        <w:rPr>
          <w:rFonts w:ascii="Consolas" w:hAnsi="Consolas" w:cs="Consolas"/>
        </w:rPr>
        <w:t xml:space="preserve"> (-1.1096)/9.7445</w:t>
      </w:r>
    </w:p>
    <w:p w:rsidR="000368ED" w:rsidRPr="000368ED" w:rsidRDefault="000368ED" w:rsidP="000368ED">
      <w:pPr>
        <w:pStyle w:val="NoSpacing"/>
        <w:rPr>
          <w:rFonts w:ascii="Consolas" w:hAnsi="Consolas" w:cs="Consolas"/>
        </w:rPr>
      </w:pPr>
      <w:r w:rsidRPr="000368ED">
        <w:rPr>
          <w:rFonts w:ascii="Consolas" w:hAnsi="Consolas" w:cs="Consolas"/>
        </w:rPr>
        <w:t>* (c)</w:t>
      </w:r>
    </w:p>
    <w:p w:rsidR="000368ED" w:rsidRPr="000368ED" w:rsidRDefault="000368ED" w:rsidP="000368ED">
      <w:pPr>
        <w:pStyle w:val="NoSpacing"/>
        <w:rPr>
          <w:rFonts w:ascii="Consolas" w:hAnsi="Consolas" w:cs="Consolas"/>
        </w:rPr>
      </w:pPr>
      <w:proofErr w:type="gramStart"/>
      <w:r w:rsidRPr="000368ED">
        <w:rPr>
          <w:rFonts w:ascii="Consolas" w:hAnsi="Consolas" w:cs="Consolas"/>
        </w:rPr>
        <w:t>graph</w:t>
      </w:r>
      <w:proofErr w:type="gramEnd"/>
      <w:r w:rsidRPr="000368ED">
        <w:rPr>
          <w:rFonts w:ascii="Consolas" w:hAnsi="Consolas" w:cs="Consolas"/>
        </w:rPr>
        <w:t xml:space="preserve"> </w:t>
      </w:r>
      <w:proofErr w:type="spellStart"/>
      <w:r w:rsidRPr="000368ED">
        <w:rPr>
          <w:rFonts w:ascii="Consolas" w:hAnsi="Consolas" w:cs="Consolas"/>
        </w:rPr>
        <w:t>twoway</w:t>
      </w:r>
      <w:proofErr w:type="spellEnd"/>
      <w:r w:rsidRPr="000368ED">
        <w:rPr>
          <w:rFonts w:ascii="Consolas" w:hAnsi="Consolas" w:cs="Consolas"/>
        </w:rPr>
        <w:t xml:space="preserve"> (line </w:t>
      </w:r>
      <w:proofErr w:type="spellStart"/>
      <w:r w:rsidRPr="000368ED">
        <w:rPr>
          <w:rFonts w:ascii="Consolas" w:hAnsi="Consolas" w:cs="Consolas"/>
        </w:rPr>
        <w:t>residual_weight</w:t>
      </w:r>
      <w:proofErr w:type="spellEnd"/>
      <w:r w:rsidRPr="000368ED">
        <w:rPr>
          <w:rFonts w:ascii="Consolas" w:hAnsi="Consolas" w:cs="Consolas"/>
        </w:rPr>
        <w:t xml:space="preserve"> </w:t>
      </w:r>
      <w:proofErr w:type="spellStart"/>
      <w:r w:rsidRPr="000368ED">
        <w:rPr>
          <w:rFonts w:ascii="Consolas" w:hAnsi="Consolas" w:cs="Consolas"/>
        </w:rPr>
        <w:t>calendar_week</w:t>
      </w:r>
      <w:proofErr w:type="spellEnd"/>
      <w:r w:rsidRPr="000368ED">
        <w:rPr>
          <w:rFonts w:ascii="Consolas" w:hAnsi="Consolas" w:cs="Consolas"/>
        </w:rPr>
        <w:t xml:space="preserve"> if </w:t>
      </w:r>
      <w:proofErr w:type="spellStart"/>
      <w:r w:rsidRPr="000368ED">
        <w:rPr>
          <w:rFonts w:ascii="Consolas" w:hAnsi="Consolas" w:cs="Consolas"/>
        </w:rPr>
        <w:t>treatment_group</w:t>
      </w:r>
      <w:proofErr w:type="spellEnd"/>
      <w:r w:rsidRPr="000368ED">
        <w:rPr>
          <w:rFonts w:ascii="Consolas" w:hAnsi="Consolas" w:cs="Consolas"/>
        </w:rPr>
        <w:t xml:space="preserve">==0)(line </w:t>
      </w:r>
      <w:proofErr w:type="spellStart"/>
      <w:r w:rsidRPr="000368ED">
        <w:rPr>
          <w:rFonts w:ascii="Consolas" w:hAnsi="Consolas" w:cs="Consolas"/>
        </w:rPr>
        <w:t>residual_weight</w:t>
      </w:r>
      <w:proofErr w:type="spellEnd"/>
      <w:r w:rsidRPr="000368ED">
        <w:rPr>
          <w:rFonts w:ascii="Consolas" w:hAnsi="Consolas" w:cs="Consolas"/>
        </w:rPr>
        <w:t xml:space="preserve"> </w:t>
      </w:r>
      <w:proofErr w:type="spellStart"/>
      <w:r w:rsidRPr="000368ED">
        <w:rPr>
          <w:rFonts w:ascii="Consolas" w:hAnsi="Consolas" w:cs="Consolas"/>
        </w:rPr>
        <w:t>calendar_week</w:t>
      </w:r>
      <w:proofErr w:type="spellEnd"/>
      <w:r w:rsidRPr="000368ED">
        <w:rPr>
          <w:rFonts w:ascii="Consolas" w:hAnsi="Consolas" w:cs="Consolas"/>
        </w:rPr>
        <w:t xml:space="preserve"> if </w:t>
      </w:r>
      <w:proofErr w:type="spellStart"/>
      <w:r w:rsidRPr="000368ED">
        <w:rPr>
          <w:rFonts w:ascii="Consolas" w:hAnsi="Consolas" w:cs="Consolas"/>
        </w:rPr>
        <w:t>treatment_group</w:t>
      </w:r>
      <w:proofErr w:type="spellEnd"/>
      <w:r w:rsidRPr="000368ED">
        <w:rPr>
          <w:rFonts w:ascii="Consolas" w:hAnsi="Consolas" w:cs="Consolas"/>
        </w:rPr>
        <w:t xml:space="preserve">==1), </w:t>
      </w:r>
      <w:proofErr w:type="spellStart"/>
      <w:r w:rsidRPr="000368ED">
        <w:rPr>
          <w:rFonts w:ascii="Consolas" w:hAnsi="Consolas" w:cs="Consolas"/>
        </w:rPr>
        <w:t>xline</w:t>
      </w:r>
      <w:proofErr w:type="spellEnd"/>
      <w:r w:rsidRPr="000368ED">
        <w:rPr>
          <w:rFonts w:ascii="Consolas" w:hAnsi="Consolas" w:cs="Consolas"/>
        </w:rPr>
        <w:t xml:space="preserve">(23) </w:t>
      </w:r>
      <w:proofErr w:type="spellStart"/>
      <w:r w:rsidRPr="000368ED">
        <w:rPr>
          <w:rFonts w:ascii="Consolas" w:hAnsi="Consolas" w:cs="Consolas"/>
        </w:rPr>
        <w:t>yscale</w:t>
      </w:r>
      <w:proofErr w:type="spellEnd"/>
      <w:r w:rsidRPr="000368ED">
        <w:rPr>
          <w:rFonts w:ascii="Consolas" w:hAnsi="Consolas" w:cs="Consolas"/>
        </w:rPr>
        <w:t xml:space="preserve">(range(0)) </w:t>
      </w:r>
      <w:proofErr w:type="spellStart"/>
      <w:r w:rsidRPr="000368ED">
        <w:rPr>
          <w:rFonts w:ascii="Consolas" w:hAnsi="Consolas" w:cs="Consolas"/>
        </w:rPr>
        <w:t>ylabel</w:t>
      </w:r>
      <w:proofErr w:type="spellEnd"/>
      <w:r w:rsidRPr="000368ED">
        <w:rPr>
          <w:rFonts w:ascii="Consolas" w:hAnsi="Consolas" w:cs="Consolas"/>
        </w:rPr>
        <w:t>(0(2)12)</w:t>
      </w:r>
    </w:p>
    <w:p w:rsidR="000368ED" w:rsidRPr="000368ED" w:rsidRDefault="000368ED" w:rsidP="000368ED">
      <w:pPr>
        <w:pStyle w:val="NoSpacing"/>
        <w:rPr>
          <w:rFonts w:ascii="Consolas" w:hAnsi="Consolas" w:cs="Consolas"/>
        </w:rPr>
      </w:pPr>
      <w:proofErr w:type="gramStart"/>
      <w:r w:rsidRPr="000368ED">
        <w:rPr>
          <w:rFonts w:ascii="Consolas" w:hAnsi="Consolas" w:cs="Consolas"/>
        </w:rPr>
        <w:t>graph</w:t>
      </w:r>
      <w:proofErr w:type="gramEnd"/>
      <w:r w:rsidRPr="000368ED">
        <w:rPr>
          <w:rFonts w:ascii="Consolas" w:hAnsi="Consolas" w:cs="Consolas"/>
        </w:rPr>
        <w:t xml:space="preserve"> </w:t>
      </w:r>
      <w:proofErr w:type="spellStart"/>
      <w:r w:rsidRPr="000368ED">
        <w:rPr>
          <w:rFonts w:ascii="Consolas" w:hAnsi="Consolas" w:cs="Consolas"/>
        </w:rPr>
        <w:t>twoway</w:t>
      </w:r>
      <w:proofErr w:type="spellEnd"/>
      <w:r w:rsidRPr="000368ED">
        <w:rPr>
          <w:rFonts w:ascii="Consolas" w:hAnsi="Consolas" w:cs="Consolas"/>
        </w:rPr>
        <w:t xml:space="preserve"> (line </w:t>
      </w:r>
      <w:proofErr w:type="spellStart"/>
      <w:r w:rsidRPr="000368ED">
        <w:rPr>
          <w:rFonts w:ascii="Consolas" w:hAnsi="Consolas" w:cs="Consolas"/>
        </w:rPr>
        <w:t>residual_weight</w:t>
      </w:r>
      <w:proofErr w:type="spellEnd"/>
      <w:r w:rsidRPr="000368ED">
        <w:rPr>
          <w:rFonts w:ascii="Consolas" w:hAnsi="Consolas" w:cs="Consolas"/>
        </w:rPr>
        <w:t xml:space="preserve"> </w:t>
      </w:r>
      <w:proofErr w:type="spellStart"/>
      <w:r w:rsidRPr="000368ED">
        <w:rPr>
          <w:rFonts w:ascii="Consolas" w:hAnsi="Consolas" w:cs="Consolas"/>
        </w:rPr>
        <w:t>calendar_week</w:t>
      </w:r>
      <w:proofErr w:type="spellEnd"/>
      <w:r w:rsidRPr="000368ED">
        <w:rPr>
          <w:rFonts w:ascii="Consolas" w:hAnsi="Consolas" w:cs="Consolas"/>
        </w:rPr>
        <w:t xml:space="preserve"> if </w:t>
      </w:r>
      <w:proofErr w:type="spellStart"/>
      <w:r w:rsidRPr="000368ED">
        <w:rPr>
          <w:rFonts w:ascii="Consolas" w:hAnsi="Consolas" w:cs="Consolas"/>
        </w:rPr>
        <w:t>treatment_group</w:t>
      </w:r>
      <w:proofErr w:type="spellEnd"/>
      <w:r w:rsidRPr="000368ED">
        <w:rPr>
          <w:rFonts w:ascii="Consolas" w:hAnsi="Consolas" w:cs="Consolas"/>
        </w:rPr>
        <w:t xml:space="preserve">==0), </w:t>
      </w:r>
      <w:proofErr w:type="spellStart"/>
      <w:r w:rsidRPr="000368ED">
        <w:rPr>
          <w:rFonts w:ascii="Consolas" w:hAnsi="Consolas" w:cs="Consolas"/>
        </w:rPr>
        <w:t>xline</w:t>
      </w:r>
      <w:proofErr w:type="spellEnd"/>
      <w:r w:rsidRPr="000368ED">
        <w:rPr>
          <w:rFonts w:ascii="Consolas" w:hAnsi="Consolas" w:cs="Consolas"/>
        </w:rPr>
        <w:t xml:space="preserve">(23) </w:t>
      </w:r>
      <w:proofErr w:type="spellStart"/>
      <w:r w:rsidRPr="000368ED">
        <w:rPr>
          <w:rFonts w:ascii="Consolas" w:hAnsi="Consolas" w:cs="Consolas"/>
        </w:rPr>
        <w:t>yscale</w:t>
      </w:r>
      <w:proofErr w:type="spellEnd"/>
      <w:r w:rsidRPr="000368ED">
        <w:rPr>
          <w:rFonts w:ascii="Consolas" w:hAnsi="Consolas" w:cs="Consolas"/>
        </w:rPr>
        <w:t xml:space="preserve">(range(0)) </w:t>
      </w:r>
      <w:proofErr w:type="spellStart"/>
      <w:r w:rsidRPr="000368ED">
        <w:rPr>
          <w:rFonts w:ascii="Consolas" w:hAnsi="Consolas" w:cs="Consolas"/>
        </w:rPr>
        <w:t>ylabel</w:t>
      </w:r>
      <w:proofErr w:type="spellEnd"/>
      <w:r w:rsidRPr="000368ED">
        <w:rPr>
          <w:rFonts w:ascii="Consolas" w:hAnsi="Consolas" w:cs="Consolas"/>
        </w:rPr>
        <w:t>(0(2)12)</w:t>
      </w:r>
    </w:p>
    <w:p w:rsidR="000368ED" w:rsidRPr="000368ED" w:rsidRDefault="000368ED" w:rsidP="000368ED">
      <w:pPr>
        <w:pStyle w:val="NoSpacing"/>
        <w:rPr>
          <w:rFonts w:ascii="Consolas" w:hAnsi="Consolas" w:cs="Consolas"/>
        </w:rPr>
      </w:pPr>
    </w:p>
    <w:p w:rsidR="000368ED" w:rsidRPr="000368ED" w:rsidRDefault="000368ED" w:rsidP="000368ED">
      <w:pPr>
        <w:pStyle w:val="NoSpacing"/>
        <w:rPr>
          <w:rFonts w:ascii="Consolas" w:hAnsi="Consolas" w:cs="Consolas"/>
        </w:rPr>
      </w:pPr>
    </w:p>
    <w:p w:rsidR="000368ED" w:rsidRPr="000368ED" w:rsidRDefault="000368ED" w:rsidP="000368ED">
      <w:pPr>
        <w:pStyle w:val="NoSpacing"/>
        <w:rPr>
          <w:rFonts w:ascii="Consolas" w:hAnsi="Consolas" w:cs="Consolas"/>
        </w:rPr>
      </w:pPr>
      <w:r w:rsidRPr="000368ED">
        <w:rPr>
          <w:rFonts w:ascii="Consolas" w:hAnsi="Consolas" w:cs="Consolas"/>
        </w:rPr>
        <w:t>*3</w:t>
      </w:r>
    </w:p>
    <w:p w:rsidR="000368ED" w:rsidRPr="000368ED" w:rsidRDefault="000368ED" w:rsidP="000368ED">
      <w:pPr>
        <w:pStyle w:val="NoSpacing"/>
        <w:rPr>
          <w:rFonts w:ascii="Consolas" w:hAnsi="Consolas" w:cs="Consolas"/>
        </w:rPr>
      </w:pPr>
      <w:r w:rsidRPr="000368ED">
        <w:rPr>
          <w:rFonts w:ascii="Consolas" w:hAnsi="Consolas" w:cs="Consolas"/>
        </w:rPr>
        <w:t>* (b)</w:t>
      </w:r>
    </w:p>
    <w:p w:rsidR="000368ED" w:rsidRPr="000368ED" w:rsidRDefault="000368ED" w:rsidP="000368ED">
      <w:pPr>
        <w:pStyle w:val="NoSpacing"/>
        <w:rPr>
          <w:rFonts w:ascii="Consolas" w:hAnsi="Consolas" w:cs="Consolas"/>
        </w:rPr>
      </w:pPr>
      <w:proofErr w:type="gramStart"/>
      <w:r w:rsidRPr="000368ED">
        <w:rPr>
          <w:rFonts w:ascii="Consolas" w:hAnsi="Consolas" w:cs="Consolas"/>
        </w:rPr>
        <w:t>gen</w:t>
      </w:r>
      <w:proofErr w:type="gramEnd"/>
      <w:r w:rsidRPr="000368ED">
        <w:rPr>
          <w:rFonts w:ascii="Consolas" w:hAnsi="Consolas" w:cs="Consolas"/>
        </w:rPr>
        <w:t xml:space="preserve"> </w:t>
      </w:r>
      <w:proofErr w:type="spellStart"/>
      <w:r w:rsidRPr="000368ED">
        <w:rPr>
          <w:rFonts w:ascii="Consolas" w:hAnsi="Consolas" w:cs="Consolas"/>
        </w:rPr>
        <w:t>treatment_dummy</w:t>
      </w:r>
      <w:proofErr w:type="spellEnd"/>
      <w:r w:rsidRPr="000368ED">
        <w:rPr>
          <w:rFonts w:ascii="Consolas" w:hAnsi="Consolas" w:cs="Consolas"/>
        </w:rPr>
        <w:t xml:space="preserve">= </w:t>
      </w:r>
      <w:proofErr w:type="spellStart"/>
      <w:r w:rsidRPr="000368ED">
        <w:rPr>
          <w:rFonts w:ascii="Consolas" w:hAnsi="Consolas" w:cs="Consolas"/>
        </w:rPr>
        <w:t>treatment_group</w:t>
      </w:r>
      <w:proofErr w:type="spellEnd"/>
      <w:r w:rsidRPr="000368ED">
        <w:rPr>
          <w:rFonts w:ascii="Consolas" w:hAnsi="Consolas" w:cs="Consolas"/>
        </w:rPr>
        <w:t>*</w:t>
      </w:r>
      <w:proofErr w:type="spellStart"/>
      <w:r w:rsidRPr="000368ED">
        <w:rPr>
          <w:rFonts w:ascii="Consolas" w:hAnsi="Consolas" w:cs="Consolas"/>
        </w:rPr>
        <w:t>treatment_period</w:t>
      </w:r>
      <w:proofErr w:type="spellEnd"/>
    </w:p>
    <w:p w:rsidR="000368ED" w:rsidRPr="000368ED" w:rsidRDefault="000368ED" w:rsidP="000368ED">
      <w:pPr>
        <w:pStyle w:val="NoSpacing"/>
        <w:rPr>
          <w:rFonts w:ascii="Consolas" w:hAnsi="Consolas" w:cs="Consolas"/>
        </w:rPr>
      </w:pPr>
      <w:proofErr w:type="spellStart"/>
      <w:proofErr w:type="gramStart"/>
      <w:r w:rsidRPr="000368ED">
        <w:rPr>
          <w:rFonts w:ascii="Consolas" w:hAnsi="Consolas" w:cs="Consolas"/>
        </w:rPr>
        <w:t>reg</w:t>
      </w:r>
      <w:proofErr w:type="spellEnd"/>
      <w:proofErr w:type="gramEnd"/>
      <w:r w:rsidRPr="000368ED">
        <w:rPr>
          <w:rFonts w:ascii="Consolas" w:hAnsi="Consolas" w:cs="Consolas"/>
        </w:rPr>
        <w:t xml:space="preserve"> </w:t>
      </w:r>
      <w:proofErr w:type="spellStart"/>
      <w:r w:rsidRPr="000368ED">
        <w:rPr>
          <w:rFonts w:ascii="Consolas" w:hAnsi="Consolas" w:cs="Consolas"/>
        </w:rPr>
        <w:t>residual_weight</w:t>
      </w:r>
      <w:proofErr w:type="spellEnd"/>
      <w:r w:rsidRPr="000368ED">
        <w:rPr>
          <w:rFonts w:ascii="Consolas" w:hAnsi="Consolas" w:cs="Consolas"/>
        </w:rPr>
        <w:t xml:space="preserve"> </w:t>
      </w:r>
      <w:proofErr w:type="spellStart"/>
      <w:r w:rsidRPr="000368ED">
        <w:rPr>
          <w:rFonts w:ascii="Consolas" w:hAnsi="Consolas" w:cs="Consolas"/>
        </w:rPr>
        <w:t>treatment_dummy</w:t>
      </w:r>
      <w:proofErr w:type="spellEnd"/>
      <w:r w:rsidRPr="000368ED">
        <w:rPr>
          <w:rFonts w:ascii="Consolas" w:hAnsi="Consolas" w:cs="Consolas"/>
        </w:rPr>
        <w:t xml:space="preserve"> </w:t>
      </w:r>
      <w:proofErr w:type="spellStart"/>
      <w:r w:rsidRPr="000368ED">
        <w:rPr>
          <w:rFonts w:ascii="Consolas" w:hAnsi="Consolas" w:cs="Consolas"/>
        </w:rPr>
        <w:t>treatment_group</w:t>
      </w:r>
      <w:proofErr w:type="spellEnd"/>
      <w:r w:rsidRPr="000368ED">
        <w:rPr>
          <w:rFonts w:ascii="Consolas" w:hAnsi="Consolas" w:cs="Consolas"/>
        </w:rPr>
        <w:t xml:space="preserve"> </w:t>
      </w:r>
      <w:proofErr w:type="spellStart"/>
      <w:r w:rsidRPr="000368ED">
        <w:rPr>
          <w:rFonts w:ascii="Consolas" w:hAnsi="Consolas" w:cs="Consolas"/>
        </w:rPr>
        <w:t>i.calendar_week</w:t>
      </w:r>
      <w:proofErr w:type="spellEnd"/>
    </w:p>
    <w:p w:rsidR="00A3207D" w:rsidRPr="000368ED" w:rsidRDefault="000368ED" w:rsidP="000368ED">
      <w:pPr>
        <w:pStyle w:val="NoSpacing"/>
        <w:rPr>
          <w:rFonts w:ascii="Consolas" w:hAnsi="Consolas" w:cs="Consolas"/>
        </w:rPr>
      </w:pPr>
      <w:proofErr w:type="gramStart"/>
      <w:r w:rsidRPr="000368ED">
        <w:rPr>
          <w:rFonts w:ascii="Consolas" w:hAnsi="Consolas" w:cs="Consolas"/>
        </w:rPr>
        <w:t>margins</w:t>
      </w:r>
      <w:proofErr w:type="gramEnd"/>
      <w:r w:rsidRPr="000368ED">
        <w:rPr>
          <w:rFonts w:ascii="Consolas" w:hAnsi="Consolas" w:cs="Consolas"/>
        </w:rPr>
        <w:t xml:space="preserve">, </w:t>
      </w:r>
      <w:proofErr w:type="spellStart"/>
      <w:r w:rsidRPr="000368ED">
        <w:rPr>
          <w:rFonts w:ascii="Consolas" w:hAnsi="Consolas" w:cs="Consolas"/>
        </w:rPr>
        <w:t>eydx</w:t>
      </w:r>
      <w:proofErr w:type="spellEnd"/>
      <w:r w:rsidRPr="000368ED">
        <w:rPr>
          <w:rFonts w:ascii="Consolas" w:hAnsi="Consolas" w:cs="Consolas"/>
        </w:rPr>
        <w:t>(</w:t>
      </w:r>
      <w:proofErr w:type="spellStart"/>
      <w:r w:rsidRPr="000368ED">
        <w:rPr>
          <w:rFonts w:ascii="Consolas" w:hAnsi="Consolas" w:cs="Consolas"/>
        </w:rPr>
        <w:t>treatment_dummy</w:t>
      </w:r>
      <w:proofErr w:type="spellEnd"/>
      <w:r w:rsidRPr="000368ED">
        <w:rPr>
          <w:rFonts w:ascii="Consolas" w:hAnsi="Consolas" w:cs="Consolas"/>
        </w:rPr>
        <w:t>)</w:t>
      </w:r>
    </w:p>
    <w:sectPr w:rsidR="00A3207D" w:rsidRPr="000368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8ED" w:rsidRDefault="000368ED" w:rsidP="000368ED">
      <w:pPr>
        <w:spacing w:after="0" w:line="240" w:lineRule="auto"/>
      </w:pPr>
      <w:r>
        <w:separator/>
      </w:r>
    </w:p>
  </w:endnote>
  <w:endnote w:type="continuationSeparator" w:id="0">
    <w:p w:rsidR="000368ED" w:rsidRDefault="000368ED" w:rsidP="00036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8ED" w:rsidRDefault="000368ED" w:rsidP="000368ED">
      <w:pPr>
        <w:spacing w:after="0" w:line="240" w:lineRule="auto"/>
      </w:pPr>
      <w:r>
        <w:separator/>
      </w:r>
    </w:p>
  </w:footnote>
  <w:footnote w:type="continuationSeparator" w:id="0">
    <w:p w:rsidR="000368ED" w:rsidRDefault="000368ED" w:rsidP="000368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2CC"/>
    <w:rsid w:val="000368ED"/>
    <w:rsid w:val="000B1453"/>
    <w:rsid w:val="001E06D5"/>
    <w:rsid w:val="002267D3"/>
    <w:rsid w:val="003460A1"/>
    <w:rsid w:val="00402C51"/>
    <w:rsid w:val="004B42CC"/>
    <w:rsid w:val="004E21D0"/>
    <w:rsid w:val="00533357"/>
    <w:rsid w:val="00752BE3"/>
    <w:rsid w:val="008942AC"/>
    <w:rsid w:val="00A220FC"/>
    <w:rsid w:val="00A3207D"/>
    <w:rsid w:val="00B639B2"/>
    <w:rsid w:val="00B64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2605C7-BC35-466B-931A-2ED45D77D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6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267D3"/>
    <w:rPr>
      <w:color w:val="808080"/>
    </w:rPr>
  </w:style>
  <w:style w:type="paragraph" w:styleId="NoSpacing">
    <w:name w:val="No Spacing"/>
    <w:uiPriority w:val="1"/>
    <w:qFormat/>
    <w:rsid w:val="000368ED"/>
    <w:pPr>
      <w:spacing w:after="0" w:line="240" w:lineRule="auto"/>
    </w:pPr>
  </w:style>
  <w:style w:type="paragraph" w:styleId="Header">
    <w:name w:val="header"/>
    <w:basedOn w:val="Normal"/>
    <w:link w:val="HeaderChar"/>
    <w:uiPriority w:val="99"/>
    <w:unhideWhenUsed/>
    <w:rsid w:val="000368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8ED"/>
  </w:style>
  <w:style w:type="paragraph" w:styleId="Footer">
    <w:name w:val="footer"/>
    <w:basedOn w:val="Normal"/>
    <w:link w:val="FooterChar"/>
    <w:uiPriority w:val="99"/>
    <w:unhideWhenUsed/>
    <w:rsid w:val="000368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T.A.P.G. Vissers</dc:creator>
  <cp:keywords/>
  <dc:description/>
  <cp:lastModifiedBy>T.A.P.G. Vissers</cp:lastModifiedBy>
  <cp:revision>6</cp:revision>
  <dcterms:created xsi:type="dcterms:W3CDTF">2017-09-21T12:07:00Z</dcterms:created>
  <dcterms:modified xsi:type="dcterms:W3CDTF">2017-09-21T14:01:00Z</dcterms:modified>
</cp:coreProperties>
</file>