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18116E" w14:textId="0CFB3FB6" w:rsidR="007B5C1E" w:rsidRDefault="0062290B">
      <w:r>
        <w:t>Faulkner in 3.5 Dimensions: Characters, Locations, Events and Words</w:t>
      </w:r>
    </w:p>
    <w:p w14:paraId="07898435" w14:textId="41A1998E" w:rsidR="0062290B" w:rsidRDefault="0062290B"/>
    <w:p w14:paraId="6F8CAE2E" w14:textId="16A09A08" w:rsidR="0062290B" w:rsidRDefault="0062290B">
      <w:r>
        <w:t xml:space="preserve">Absalom, Absalom is not a likeable text. Its structure is overwrought, its characters are inscrutable and unrelatable, and the prose is nearly impenetrable. There </w:t>
      </w:r>
      <w:proofErr w:type="gramStart"/>
      <w:r>
        <w:t>is</w:t>
      </w:r>
      <w:proofErr w:type="gramEnd"/>
      <w:r>
        <w:t xml:space="preserve"> also no shortage digressions, parenthetical italicized and otherwise that force even the most forensic reader to return and re-read that which had transpired only a few lines earlier. Early on, in a synecdoche of the narrative writ large, Mr. Compson refers to the dramatis personae of the Sutpen tragedy as “</w:t>
      </w:r>
      <w:r w:rsidRPr="0062290B">
        <w:t>a chemical formula</w:t>
      </w:r>
      <w:r>
        <w:t>”</w:t>
      </w:r>
      <w:r w:rsidRPr="0062290B">
        <w:t xml:space="preserve"> </w:t>
      </w:r>
      <w:r w:rsidR="00060DDE">
        <w:t>that is barely legible, and “</w:t>
      </w:r>
      <w:r w:rsidRPr="0062290B">
        <w:t>you bring them together in the proportions called for, but nothing happens; you re-read, tedious and intent, poring, making sure that you have forgotten nothing, made no miscalculation; you bring them together again and again nothing happens</w:t>
      </w:r>
      <w:r w:rsidR="00060DDE">
        <w:t>” (80). This experience of reading the formula and reading Absalom might be familiar to some reader</w:t>
      </w:r>
      <w:r w:rsidR="00152AF4">
        <w:t>s</w:t>
      </w:r>
      <w:r w:rsidR="00060DDE">
        <w:t xml:space="preserve">. Perhaps the formula feels inert because the science is all wrong. Absalom, is, if anything, alchemical. Its power resides in its obscurity and gnostic fascination with the why that consumes the more mundane matter of the what.  </w:t>
      </w:r>
    </w:p>
    <w:p w14:paraId="31DB4A16" w14:textId="1B676631" w:rsidR="00060DDE" w:rsidRDefault="00060DDE">
      <w:r>
        <w:tab/>
      </w:r>
      <w:r w:rsidR="00152AF4">
        <w:t xml:space="preserve">Like Sutpen’s own divaricated </w:t>
      </w:r>
      <w:proofErr w:type="spellStart"/>
      <w:r w:rsidR="00152AF4">
        <w:t>progenerations</w:t>
      </w:r>
      <w:proofErr w:type="spellEnd"/>
      <w:r w:rsidR="00152AF4">
        <w:t>, t</w:t>
      </w:r>
      <w:r>
        <w:t>he text</w:t>
      </w:r>
      <w:r w:rsidR="00152AF4">
        <w:t>’s difficulty has engendered multiple branches of critical interpretation. Although divergent in their aims</w:t>
      </w:r>
      <w:r w:rsidR="000B79A1">
        <w:t xml:space="preserve"> and illuminating</w:t>
      </w:r>
      <w:r w:rsidR="00152AF4">
        <w:t xml:space="preserve"> in their own ways</w:t>
      </w:r>
      <w:r w:rsidR="000B79A1">
        <w:t xml:space="preserve">, they are unified in their approach. Each relies on a methodology that builds evidence for a particular reading through a close-reading with varying degrees of contextualization of its biographical, cultural, and historical context. As an alternative and complement to this approach, this essay deploys a methodology broadly described through the catch-all term: Digital Humanities. Generically speaking, in digital humanities research, scholars leverage the computational power of digital affordances to perform types of analysis that would be very difficult to do using traditional humanities methods. Specifically, the work here draws on the database and digital tools available through </w:t>
      </w:r>
      <w:r w:rsidR="000B79A1">
        <w:rPr>
          <w:i/>
          <w:iCs/>
        </w:rPr>
        <w:t>Digital Yoknapatawpha</w:t>
      </w:r>
      <w:r w:rsidR="000B79A1">
        <w:t xml:space="preserve"> (</w:t>
      </w:r>
      <w:r w:rsidR="000B79A1">
        <w:rPr>
          <w:i/>
          <w:iCs/>
        </w:rPr>
        <w:t>DY)</w:t>
      </w:r>
      <w:r w:rsidR="000B79A1">
        <w:t xml:space="preserve">. Hosted out by the University of Virginia, </w:t>
      </w:r>
      <w:r w:rsidR="0004538D">
        <w:rPr>
          <w:i/>
          <w:iCs/>
        </w:rPr>
        <w:t xml:space="preserve">DY </w:t>
      </w:r>
      <w:r w:rsidR="0004538D">
        <w:t>is resource for students and scholars of William Faulkner. The team has encoded all of the characters, locations, and events in Faulkner’s Yoknapatawpha fictions. Through the site users can study “deep atlases” of each text, explore archival material, listen to audio recordings of Faulkner, perform powerful relational searches, and analyze the texts using advanced data visualizations.</w:t>
      </w:r>
      <w:r w:rsidR="0004538D">
        <w:rPr>
          <w:rStyle w:val="FootnoteReference"/>
        </w:rPr>
        <w:footnoteReference w:id="1"/>
      </w:r>
      <w:r w:rsidR="0004538D">
        <w:t xml:space="preserve"> </w:t>
      </w:r>
    </w:p>
    <w:p w14:paraId="68C82543" w14:textId="3878BB20" w:rsidR="0004538D" w:rsidRDefault="0004538D">
      <w:r>
        <w:t xml:space="preserve">Using </w:t>
      </w:r>
      <w:r>
        <w:rPr>
          <w:i/>
          <w:iCs/>
        </w:rPr>
        <w:t xml:space="preserve">DY </w:t>
      </w:r>
      <w:r>
        <w:t xml:space="preserve">it is possible to investigate AA from multiple perspectives simultaneously. While it might be tempting to use the database to “solve” the mysteries of the text, such an approach glosses over the highly interpretive nature of textual encoding, and, more to the point, contradicts the text’s ambivalence about </w:t>
      </w:r>
      <w:r w:rsidR="008837F8">
        <w:t>ever truly knowing a story. Instead, a more productive approach is to use the database to show how textual meanings are disconsonant, and that this dissonance is, to borrow a common programming idiom, a feature, not a bug.</w:t>
      </w:r>
    </w:p>
    <w:p w14:paraId="10AE2F29" w14:textId="77777777" w:rsidR="00D24A07" w:rsidRDefault="008837F8">
      <w:r>
        <w:t xml:space="preserve">DY decomposes or breaks down Faulkner’s texts into three main components: characters, locations, and events. The more technical term for these components is the concept entity. An entity is a self-contained part of a text that shares common attributes with other entities of its kind. For example, a character can have a name, gender, race, class, and a vitality. Meanwhile, locations are different entities than characters, because, generally, locations tend not to have a gender, race, or class, even if they </w:t>
      </w:r>
      <w:r>
        <w:lastRenderedPageBreak/>
        <w:t xml:space="preserve">might have a name. This, of course, might all be rather obvious. People are not places. </w:t>
      </w:r>
      <w:r w:rsidR="00D24A07">
        <w:t>Still</w:t>
      </w:r>
      <w:r>
        <w:t>, this basic distinction allows the editors to split the texts up into different entities and treat them independently of one another</w:t>
      </w:r>
      <w:r w:rsidR="00D24A07">
        <w:t>, even if they are interdependent: characters appear at locations during events.</w:t>
      </w:r>
    </w:p>
    <w:p w14:paraId="01B57374" w14:textId="77777777" w:rsidR="00D24A07" w:rsidRDefault="00D24A07"/>
    <w:p w14:paraId="0AAF9392" w14:textId="0553FA49" w:rsidR="008837F8" w:rsidRPr="0004538D" w:rsidRDefault="00D24A07">
      <w:r>
        <w:t xml:space="preserve"> </w:t>
      </w:r>
    </w:p>
    <w:sectPr w:rsidR="008837F8" w:rsidRPr="0004538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7E1793" w14:textId="77777777" w:rsidR="00D40165" w:rsidRDefault="00D40165" w:rsidP="0004538D">
      <w:pPr>
        <w:spacing w:after="0" w:line="240" w:lineRule="auto"/>
      </w:pPr>
      <w:r>
        <w:separator/>
      </w:r>
    </w:p>
  </w:endnote>
  <w:endnote w:type="continuationSeparator" w:id="0">
    <w:p w14:paraId="2C054FF1" w14:textId="77777777" w:rsidR="00D40165" w:rsidRDefault="00D40165" w:rsidP="000453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90992B" w14:textId="77777777" w:rsidR="00D40165" w:rsidRDefault="00D40165" w:rsidP="0004538D">
      <w:pPr>
        <w:spacing w:after="0" w:line="240" w:lineRule="auto"/>
      </w:pPr>
      <w:r>
        <w:separator/>
      </w:r>
    </w:p>
  </w:footnote>
  <w:footnote w:type="continuationSeparator" w:id="0">
    <w:p w14:paraId="469D991A" w14:textId="77777777" w:rsidR="00D40165" w:rsidRDefault="00D40165" w:rsidP="0004538D">
      <w:pPr>
        <w:spacing w:after="0" w:line="240" w:lineRule="auto"/>
      </w:pPr>
      <w:r>
        <w:continuationSeparator/>
      </w:r>
    </w:p>
  </w:footnote>
  <w:footnote w:id="1">
    <w:p w14:paraId="6E0ADCE3" w14:textId="18903126" w:rsidR="0004538D" w:rsidRDefault="0004538D">
      <w:pPr>
        <w:pStyle w:val="FootnoteText"/>
      </w:pPr>
      <w:r>
        <w:rPr>
          <w:rStyle w:val="FootnoteReference"/>
        </w:rPr>
        <w:footnoteRef/>
      </w:r>
      <w:r>
        <w:t xml:space="preserve"> As the site is necessarily a visual medium, not all of its possibilities translate well to print. Readers are encouraged to visit the site and the custom visual essay created for this piece at: blank. The data presented here is largely in tabular form, which only differs in representation, but not in substance from the digital form. </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3BD"/>
    <w:rsid w:val="0004538D"/>
    <w:rsid w:val="00060DDE"/>
    <w:rsid w:val="000B79A1"/>
    <w:rsid w:val="00152AF4"/>
    <w:rsid w:val="0062290B"/>
    <w:rsid w:val="007B5C1E"/>
    <w:rsid w:val="008837F8"/>
    <w:rsid w:val="00D033BD"/>
    <w:rsid w:val="00D24A07"/>
    <w:rsid w:val="00D40165"/>
    <w:rsid w:val="00EB1F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3796D"/>
  <w15:chartTrackingRefBased/>
  <w15:docId w15:val="{1EC4A81E-35BD-4260-BF95-87FCEDD958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04538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4538D"/>
    <w:rPr>
      <w:sz w:val="20"/>
      <w:szCs w:val="20"/>
    </w:rPr>
  </w:style>
  <w:style w:type="character" w:styleId="FootnoteReference">
    <w:name w:val="footnote reference"/>
    <w:basedOn w:val="DefaultParagraphFont"/>
    <w:uiPriority w:val="99"/>
    <w:semiHidden/>
    <w:unhideWhenUsed/>
    <w:rsid w:val="0004538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D92B25-B417-476E-831D-DF9D85D9B8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2</Pages>
  <Words>578</Words>
  <Characters>3299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Joost Burgers</dc:creator>
  <cp:keywords/>
  <dc:description/>
  <cp:lastModifiedBy>Joost Burgers</cp:lastModifiedBy>
  <cp:revision>2</cp:revision>
  <dcterms:created xsi:type="dcterms:W3CDTF">2021-05-08T17:48:00Z</dcterms:created>
  <dcterms:modified xsi:type="dcterms:W3CDTF">2021-05-08T20:38:00Z</dcterms:modified>
</cp:coreProperties>
</file>