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punctuation</w:t>
      </w:r>
    </w:p>
    <w:p>
      <w:pPr>
        <w:pStyle w:val="Author"/>
      </w:pPr>
      <w:r>
        <w:t xml:space="preserve">Johannes</w:t>
      </w:r>
      <w:r>
        <w:t xml:space="preserve"> </w:t>
      </w:r>
      <w:r>
        <w:t xml:space="preserve">Burgers</w:t>
      </w:r>
    </w:p>
    <w:bookmarkStart w:id="21" w:name="introduction"/>
    <w:p>
      <w:pPr>
        <w:pStyle w:val="Heading2"/>
      </w:pPr>
      <w:r>
        <w:t xml:space="preserve">Introduction</w:t>
      </w:r>
    </w:p>
    <w:p>
      <w:pPr>
        <w:pStyle w:val="FirstParagraph"/>
      </w:pPr>
      <w:r>
        <w:t xml:space="preserve">Since the earliest reviews, Faulkner’s style has been divisive: high art for some, bad writing for others. This friction has created a rich body of scholarship on the form of Faulkner’s writing generally and his use of punctuation in particular. What has eluded critics, however, is a view of his writing as a whole. New computational techniques make it possible to sketch a more detailed portrait of his use of punctuation throughout his career.</w:t>
      </w:r>
      <w:r>
        <w:rPr>
          <w:rStyle w:val="FootnoteReference"/>
        </w:rPr>
        <w:footnoteReference w:id="20"/>
      </w:r>
      <w:r>
        <w:t xml:space="preserve"> </w:t>
      </w:r>
      <w:r>
        <w:t xml:space="preserve">This data can be coupled with the character, location, and event data available in the</w:t>
      </w:r>
      <w:r>
        <w:t xml:space="preserve"> </w:t>
      </w:r>
      <w:r>
        <w:rPr>
          <w:iCs/>
          <w:i/>
        </w:rPr>
        <w:t xml:space="preserve">Digital Yoknapatawpha</w:t>
      </w:r>
      <w:r>
        <w:t xml:space="preserve"> </w:t>
      </w:r>
      <w:r>
        <w:t xml:space="preserve">(</w:t>
      </w:r>
      <w:r>
        <w:rPr>
          <w:iCs/>
          <w:i/>
        </w:rPr>
        <w:t xml:space="preserve">DY</w:t>
      </w:r>
      <w:r>
        <w:t xml:space="preserve">) database. Combined, this data can be used to understand not only how often Faulkner makes particular choices about punctuation, but also the relationship between punctuation choices and the characters present or mentioned in those particular sentences. Doing this confirms suspicions about specific punctuation patterns in Faulkner by earlier scholars, and furthers the conversation about who gets represented in Faulkner and how. The results reveal that Faulkner’s punctuation choices serve to convey a very specific politics.</w:t>
      </w:r>
    </w:p>
    <w:p>
      <w:pPr>
        <w:pStyle w:val="BodyText"/>
      </w:pPr>
      <w:r>
        <w:t xml:space="preserve">In the main, punctuation in Faulkner is a means to achieve his aesthetic of the long sentence. This aesthetic tries to capture a person’s past, present, and possible future in one moment in time, and thereby undermines the neat temporal distinctions that cordon off past, present, and future. Though ostensibly representative of the human condition writ large, the aggregated data tell a different story from Faulkner’s own comments on his writing. Sentence length and the concomitant experimentation with punctuation that makes it possible is strongly correlated to the presence of upper class White male characters. Though each individual long sentence may be thematically unique and contain characters from a multitude of backgrounds, the representation of these themes and characters is invariably modulated by the presence of an upper class White men. Quite paradoxically then, Faulkner’s radical experimentation with punctuation often serves to centre the very upper class White male perspective it seeks to trouble.</w:t>
      </w:r>
    </w:p>
    <w:bookmarkEnd w:id="21"/>
    <w:bookmarkStart w:id="23" w:name="the-sum-of-the-past"/>
    <w:p>
      <w:pPr>
        <w:pStyle w:val="Heading2"/>
      </w:pPr>
      <w:r>
        <w:t xml:space="preserve">The Sum of the Past</w:t>
      </w:r>
    </w:p>
    <w:p>
      <w:pPr>
        <w:pStyle w:val="FirstParagraph"/>
      </w:pPr>
      <w:r>
        <w:t xml:space="preserve">Faulkner’s style has long been a central concern of critics and scholars. It has not always been universally well-received,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w:t>
      </w:r>
      <w:r>
        <w:t xml:space="preserve">. Other contemporary critics already intuited what will become a mainstay in Faulkner Studies: his long sentences represent a</w:t>
      </w:r>
      <w:r>
        <w:t xml:space="preserve"> </w:t>
      </w:r>
      <w:r>
        <w:t xml:space="preserve">“</w:t>
      </w:r>
      <w:r>
        <w:t xml:space="preserve">microcosm</w:t>
      </w:r>
      <w:r>
        <w:t xml:space="preserve">”</w:t>
      </w:r>
      <w:r>
        <w:t xml:space="preserve"> </w:t>
      </w:r>
      <w:r>
        <w:t xml:space="preserve">(Aiken 47)</w:t>
      </w:r>
      <w:r>
        <w:t xml:space="preserve">, a</w:t>
      </w:r>
      <w:r>
        <w:t xml:space="preserve"> </w:t>
      </w:r>
      <w:r>
        <w:t xml:space="preserve">“</w:t>
      </w:r>
      <w:r>
        <w:t xml:space="preserve">self-contained world</w:t>
      </w:r>
      <w:r>
        <w:t xml:space="preserve">”</w:t>
      </w:r>
      <w:r>
        <w:t xml:space="preserve"> </w:t>
      </w:r>
      <w:r>
        <w:t xml:space="preserve">(Van O’Connor 83)</w:t>
      </w:r>
      <w:r>
        <w:t xml:space="preserve"> </w:t>
      </w:r>
      <w:r>
        <w:t xml:space="preserve">and a tool for</w:t>
      </w:r>
      <w:r>
        <w:t xml:space="preserve"> </w:t>
      </w:r>
      <w:r>
        <w:t xml:space="preserve">“</w:t>
      </w:r>
      <w:r>
        <w:t xml:space="preserve">compressing the greatest possible amount of time, or life, or motion, into the smallest possible space, in order to condense and stop it for contemplation</w:t>
      </w:r>
      <w:r>
        <w:t xml:space="preserve">”</w:t>
      </w:r>
      <w:r>
        <w:t xml:space="preserve"> </w:t>
      </w:r>
      <w:r>
        <w:t xml:space="preserve">(Adams 107)</w:t>
      </w:r>
      <w:r>
        <w:t xml:space="preserve">. As one critic puts it, Faulkner’s sentences are the</w:t>
      </w:r>
      <w:r>
        <w:t xml:space="preserve"> </w:t>
      </w:r>
      <w:r>
        <w:t xml:space="preserve">“</w:t>
      </w:r>
      <w:r>
        <w:t xml:space="preserve">nearest that language as the instrument of fiction can come to the instantantaneous complexities of consciousness itself</w:t>
      </w:r>
      <w:r>
        <w:t xml:space="preserve">”</w:t>
      </w:r>
      <w:r>
        <w:t xml:space="preserve"> </w:t>
      </w:r>
      <w:r>
        <w:t xml:space="preserve">(Beck 47)</w:t>
      </w:r>
      <w:r>
        <w:t xml:space="preserve">. Faulkner himself offered a similar view. When Faulkner is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part of</w:t>
      </w:r>
      <w:r>
        <w:t xml:space="preserve"> </w:t>
      </w:r>
      <w:r>
        <w:t xml:space="preserve">“</w:t>
      </w:r>
      <w:r>
        <w:t xml:space="preserve">every man, every woman, at every moment</w:t>
      </w:r>
      <w:r>
        <w:t xml:space="preserve">”</w:t>
      </w:r>
      <w:r>
        <w:t xml:space="preserve"> </w:t>
      </w:r>
      <w:r>
        <w:t xml:space="preserve">(Faulkner,</w:t>
      </w:r>
      <w:r>
        <w:t xml:space="preserve"> </w:t>
      </w:r>
      <w:r>
        <w:rPr>
          <w:iCs/>
          <w:i/>
        </w:rPr>
        <w:t xml:space="preserve">Virginia Colleges Conference, Tape 1</w:t>
      </w:r>
      <w:r>
        <w:t xml:space="preserve">)</w:t>
      </w:r>
      <w:r>
        <w:t xml:space="preserve">. This aesthetic attempts to get</w:t>
      </w:r>
      <w:r>
        <w:t xml:space="preserve"> </w:t>
      </w:r>
      <w:r>
        <w:t xml:space="preserve">“</w:t>
      </w:r>
      <w:r>
        <w:t xml:space="preserve">his [a character in a story] past and possibly his future into the instant in which he does something</w:t>
      </w:r>
      <w:r>
        <w:t xml:space="preserve">”</w:t>
      </w:r>
      <w:r>
        <w:t xml:space="preserve">(Faulkner,</w:t>
      </w:r>
      <w:r>
        <w:t xml:space="preserve"> </w:t>
      </w:r>
      <w:r>
        <w:rPr>
          <w:iCs/>
          <w:i/>
        </w:rPr>
        <w:t xml:space="preserve">Virginia Colleges Conference, Tape 2</w:t>
      </w:r>
      <w:r>
        <w:t xml:space="preserve">)</w:t>
      </w:r>
      <w:r>
        <w:t xml:space="preserve">. On the surface, this has a universal appeal: men, women, and everyone is the</w:t>
      </w:r>
      <w:r>
        <w:t xml:space="preserve"> </w:t>
      </w:r>
      <w:r>
        <w:t xml:space="preserve">“</w:t>
      </w:r>
      <w:r>
        <w:t xml:space="preserve">sum</w:t>
      </w:r>
      <w:r>
        <w:t xml:space="preserve">”</w:t>
      </w:r>
      <w:r>
        <w:t xml:space="preserve"> </w:t>
      </w:r>
      <w:r>
        <w:t xml:space="preserve">of their past</w:t>
      </w:r>
      <w:r>
        <w:t xml:space="preserve"> </w:t>
      </w:r>
      <w:r>
        <w:t xml:space="preserve">(Faulkner,</w:t>
      </w:r>
      <w:r>
        <w:t xml:space="preserve"> </w:t>
      </w:r>
      <w:r>
        <w:rPr>
          <w:iCs/>
          <w:i/>
        </w:rPr>
        <w:t xml:space="preserve">Virginia Colleges Conference, Tape 1</w:t>
      </w:r>
      <w:r>
        <w:t xml:space="preserve">)</w:t>
      </w:r>
      <w:r>
        <w:t xml:space="preserve">. It suggests that the long sentence is the collision point between past, present, and future and the ineluctable entanglement of all three as a fundamental human condition.</w:t>
      </w:r>
    </w:p>
    <w:p>
      <w:pPr>
        <w:pStyle w:val="BodyText"/>
      </w:pPr>
      <w:r>
        <w:t xml:space="preserve">Later critics have subsumed the aesthetic of the long sentence into a general discussion of Faulkner’s style. In</w:t>
      </w:r>
      <w:r>
        <w:t xml:space="preserve"> </w:t>
      </w:r>
      <w:r>
        <w:t xml:space="preserve">“</w:t>
      </w:r>
      <w:r>
        <w:t xml:space="preserve">Faulkner’s Formalisms</w:t>
      </w:r>
      <w:r>
        <w:t xml:space="preserve">”</w:t>
      </w:r>
      <w:r>
        <w:t xml:space="preserve"> </w:t>
      </w:r>
      <w:r>
        <w:t xml:space="preserve">Sebastian Fanzun provides a nuanced and comprehensive overview of this genealogy. Fanzun recognizes a basic polarity in approaches between the New Criticism exemplified by Cleanth Brooks that tries to unify the texts into coherence and a post-structuralist turn initiated by John T. Matthews his highly influential</w:t>
      </w:r>
      <w:r>
        <w:t xml:space="preserve"> </w:t>
      </w:r>
      <w:r>
        <w:rPr>
          <w:iCs/>
          <w:i/>
        </w:rPr>
        <w:t xml:space="preserve">The Play of Faulkner’s</w:t>
      </w:r>
      <w:r>
        <w:t xml:space="preserve"> </w:t>
      </w:r>
      <w:r>
        <w:t xml:space="preserve">Language*, which argues for the impossibility of such an</w:t>
      </w:r>
      <w:r>
        <w:t xml:space="preserve"> </w:t>
      </w:r>
      <w:r>
        <w:t xml:space="preserve">“</w:t>
      </w:r>
      <w:r>
        <w:t xml:space="preserve">organic unity</w:t>
      </w:r>
      <w:r>
        <w:t xml:space="preserve">”</w:t>
      </w:r>
      <w:r>
        <w:t xml:space="preserve"> </w:t>
      </w:r>
      <w:r>
        <w:t xml:space="preserve">(Fanzun 23)</w:t>
      </w:r>
      <w:r>
        <w:t xml:space="preserve">. The disunity in Faulkner’s style Matthews introduces in part helped create the opportunity for different perspectives within Faulkner to emerge.</w:t>
      </w:r>
      <w:r>
        <w:rPr>
          <w:rStyle w:val="FootnoteReference"/>
        </w:rPr>
        <w:footnoteReference w:id="22"/>
      </w:r>
    </w:p>
    <w:p>
      <w:pPr>
        <w:pStyle w:val="BodyText"/>
      </w:pPr>
      <w:r>
        <w:t xml:space="preserve">Computational analysis cuts across both traditions by demonstrating on the one hand the continuous formal experimentation that resists a unified view of Faulkner’s writing and, indeed, coherence at the sentence level, while simultanously highlighting the unifying vision that underpins all of this experimentation.</w:t>
      </w:r>
    </w:p>
    <w:bookmarkEnd w:id="23"/>
    <w:bookmarkStart w:id="26" w:name="animating-faulkners-corpus"/>
    <w:p>
      <w:pPr>
        <w:pStyle w:val="Heading2"/>
      </w:pPr>
      <w:r>
        <w:t xml:space="preserve">Animating Faulkner’s Corpus</w:t>
      </w:r>
    </w:p>
    <w:p>
      <w:pPr>
        <w:pStyle w:val="FirstParagraph"/>
      </w:pPr>
      <w:r>
        <w:t xml:space="preserve">Establishing a corpus of texts for computational analysis of Faulkner’s writing presents some thorny issues, one of the most significant of which is that there is not single, settled upon edition of his texts. Noel Polk famously edited</w:t>
      </w:r>
      <w:r>
        <w:t xml:space="preserve"> </w:t>
      </w:r>
      <w:r>
        <w:t xml:space="preserve">“</w:t>
      </w:r>
      <w:r>
        <w:t xml:space="preserve">corrected</w:t>
      </w:r>
      <w:r>
        <w:t xml:space="preserve">”</w:t>
      </w:r>
      <w:r>
        <w:t xml:space="preserve"> </w:t>
      </w:r>
      <w:r>
        <w:t xml:space="preserve">versions of Faulkner’s texts, but even he admits that his editions are far from the</w:t>
      </w:r>
      <w:r>
        <w:t xml:space="preserve"> </w:t>
      </w:r>
      <w:r>
        <w:t xml:space="preserve">“</w:t>
      </w:r>
      <w:r>
        <w:t xml:space="preserve">definitive</w:t>
      </w:r>
      <w:r>
        <w:t xml:space="preserve">”</w:t>
      </w:r>
      <w:r>
        <w:t xml:space="preserve"> </w:t>
      </w:r>
      <w:r>
        <w:t xml:space="preserve">(Polk 6)</w:t>
      </w:r>
      <w:r>
        <w:t xml:space="preserve">. In part, this is because Faulkner was himself inconsistent with his approach punctuation. For example, he retyped parts of the Benjy section to</w:t>
      </w:r>
      <w:r>
        <w:t xml:space="preserve"> </w:t>
      </w:r>
      <w:r>
        <w:rPr>
          <w:iCs/>
          <w:i/>
        </w:rPr>
        <w:t xml:space="preserve">The Sound and the Fury</w:t>
      </w:r>
      <w:r>
        <w:t xml:space="preserve"> </w:t>
      </w:r>
      <w:r>
        <w:t xml:space="preserve">three times, and used a different punctuation system in each iteration</w:t>
      </w:r>
      <w:r>
        <w:t xml:space="preserve"> </w:t>
      </w:r>
      <w:r>
        <w:t xml:space="preserve">(Polk 14)</w:t>
      </w:r>
      <w:r>
        <w:t xml:space="preserve"> </w:t>
      </w:r>
      <w:r>
        <w:t xml:space="preserve">(Polk 14). These inconsistencies are evidence of Faulkner’s constant experimentation with punctuation and his style more generally throughout his career.</w:t>
      </w:r>
      <w:r>
        <w:rPr>
          <w:rStyle w:val="FootnoteReference"/>
        </w:rPr>
        <w:footnoteReference w:id="24"/>
      </w:r>
    </w:p>
    <w:p>
      <w:pPr>
        <w:pStyle w:val="BodyText"/>
      </w:pPr>
      <w:r>
        <w:t xml:space="preserve">Beyond the variance in editions, there is also the issue of the internal coherence of the textual corpus. Faulkner’s writing is quite heterogeneous, and consists of novels, short stories, poetry, film scripts, and a text that hovers between a stage play and a novel:</w:t>
      </w:r>
      <w:r>
        <w:t xml:space="preserve"> </w:t>
      </w:r>
      <w:r>
        <w:rPr>
          <w:iCs/>
          <w:i/>
        </w:rPr>
        <w:t xml:space="preserve">Requiem for a Nun</w:t>
      </w:r>
      <w:r>
        <w:t xml:space="preserve">. Even within these broad categories there are further subdivisions. Speaking of the novels and short-stories more narrowly, there are the 14 novels and 54 short-stories that take place in his famous Yoknapatawpha County. Among these are</w:t>
      </w:r>
      <w:r>
        <w:t xml:space="preserve"> </w:t>
      </w:r>
      <w:r>
        <w:t xml:space="preserve">“</w:t>
      </w:r>
      <w:r>
        <w:t xml:space="preserve">uncollected</w:t>
      </w:r>
      <w:r>
        <w:t xml:space="preserve">”</w:t>
      </w:r>
      <w:r>
        <w:t xml:space="preserve"> </w:t>
      </w:r>
      <w:r>
        <w:t xml:space="preserve">short stories that were only ever published in magazines and then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Another set of stories stories was unpublished in his lifetime, but occasionally formed the basis of other stories. As a result of these revisions and Faulkner’s tendency to reconsider and rework the material that constitutes the mythos of Yoknapatawpha county, the corpus is highly intertextual. About 5% of the texts appear whole or in part appear in other works. In total .4% of the language in Faulkner is duplicated verbatim. This intertextually does not follow a neat linearity, works written at one point may make their way into other works years later. Likewise, some works that are written early in his career are only published much later, such as</w:t>
      </w:r>
      <w:r>
        <w:t xml:space="preserve"> </w:t>
      </w:r>
      <w:r>
        <w:t xml:space="preserve">“</w:t>
      </w:r>
      <w:r>
        <w:t xml:space="preserve">Afternoon of a Cow</w:t>
      </w:r>
      <w:r>
        <w:t xml:space="preserve">”</w:t>
      </w:r>
      <w:r>
        <w:t xml:space="preserve">, which was published forty years after he first sketched out the idea</w:t>
      </w:r>
      <w:r>
        <w:t xml:space="preserve"> </w:t>
      </w:r>
      <w:r>
        <w:t xml:space="preserve">(Faulkner,</w:t>
      </w:r>
      <w:r>
        <w:t xml:space="preserve"> </w:t>
      </w:r>
      <w:r>
        <w:rPr>
          <w:iCs/>
          <w:i/>
        </w:rPr>
        <w:t xml:space="preserve">Uncollected Stories of William Faulkner</w:t>
      </w:r>
      <w:r>
        <w:t xml:space="preserve"> </w:t>
      </w:r>
      <w:r>
        <w:t xml:space="preserve">703)</w:t>
      </w:r>
      <w:r>
        <w:t xml:space="preserve">. As a practical matter, this complicates any notion of a linear stylistic development, because choices made in drafts may only appear much later in published versions, and will have likely have been influenced by other considerations at that point.</w:t>
      </w:r>
    </w:p>
    <w:p>
      <w:pPr>
        <w:pStyle w:val="BodyText"/>
      </w:pPr>
      <w:r>
        <w:t xml:space="preserve">This publication trajectory explains some, but not nearly all of the heterogeniety within the corpus.</w:t>
      </w:r>
      <w:r>
        <w:rPr>
          <w:rStyle w:val="FootnoteReference"/>
        </w:rPr>
        <w:footnoteReference w:id="25"/>
      </w:r>
      <w:r>
        <w:t xml:space="preserve"> </w:t>
      </w:r>
      <w:r>
        <w:t xml:space="preserve">Faulkner’s punctuation patterns are consistently different, which makes for a poor experimental design. If, for example, his changes in writing were unidirectional and gradual, as is the case with Henry James</w:t>
      </w:r>
      <w:r>
        <w:t xml:space="preserve"> </w:t>
      </w:r>
      <w:r>
        <w:t xml:space="preserve">(Hoover 275)</w:t>
      </w:r>
      <w:r>
        <w:t xml:space="preserve">, it would be possible to focus on a cluster of features and show their change over time. Instead, with Faulkner there is a high amount of variance between punctuation patterns from one text to the next, which makes it impossible to distinguish between early, middle, and late Faulkner purely on the basis of linguistic patterns. The heterogeneity of his writing militates against broad generalizations. Nowhere is this truer than when it comes to sentence length, Faulkner’s putative signature feature. True, on average Faulkner writes longer sentences than his contemporaries (17 words-per-sentence), but this number varies quite widely. A canonical work like</w:t>
      </w:r>
      <w:r>
        <w:t xml:space="preserve"> </w:t>
      </w:r>
      <w:r>
        <w:rPr>
          <w:iCs/>
          <w:i/>
        </w:rPr>
        <w:t xml:space="preserve">As I Lay Dying</w:t>
      </w:r>
      <w:r>
        <w:t xml:space="preserve"> </w:t>
      </w:r>
      <w:r>
        <w:t xml:space="preserve">uses an unremarkable 12 words per sentence, while an equally well-regarded work like</w:t>
      </w:r>
      <w:r>
        <w:t xml:space="preserve"> </w:t>
      </w:r>
      <w:r>
        <w:rPr>
          <w:iCs/>
          <w:i/>
        </w:rPr>
        <w:t xml:space="preserve">Absalom, Absalom</w:t>
      </w:r>
      <w:r>
        <w:t xml:space="preserve"> </w:t>
      </w:r>
      <w:r>
        <w:t xml:space="preserve">uses 43 words per sentence. Therefore, it makes more sense to stay away from large assumptions about how Faulkner punctuated his texts, and instead accept that what is true in some of Faulkner’s writing is not necessarily true in all of his writing.</w:t>
      </w:r>
    </w:p>
    <w:bookmarkEnd w:id="26"/>
    <w:bookmarkStart w:id="28" w:name="sentence-length"/>
    <w:p>
      <w:pPr>
        <w:pStyle w:val="Heading2"/>
      </w:pPr>
      <w:r>
        <w:t xml:space="preserve">Sentence length</w:t>
      </w:r>
    </w:p>
    <w:p>
      <w:pPr>
        <w:pStyle w:val="FirstParagraph"/>
      </w:pPr>
      <w:r>
        <w:t xml:space="preserve">The issue of corpus heterogeneity is one that complicates even one of the most basic metrics: sentence length. It does not require computational analysis to understand that some of Faulkner’s most famous works contains long sentences. For anyone who has ever taught Faulkner, it is perhaps the most common stumbling block and, indeed, complaint among students. Faulkner himself was asked about it no fewer than four times, when he lectured at at the University of Virginia</w:t>
      </w:r>
      <w:r>
        <w:t xml:space="preserve"> </w:t>
      </w:r>
      <w:r>
        <w:t xml:space="preserve">Faulkner (</w:t>
      </w:r>
      <w:r>
        <w:rPr>
          <w:iCs/>
          <w:i/>
        </w:rPr>
        <w:t xml:space="preserve">English Department Faculty and Wives</w:t>
      </w:r>
      <w:r>
        <w:t xml:space="preserve">)</w:t>
      </w:r>
      <w:r>
        <w:t xml:space="preserve">. However, quantifying what readers might mean when they say Faulkner’s sentences are long is more complex.</w:t>
      </w:r>
    </w:p>
    <w:p>
      <w:pPr>
        <w:pStyle w:val="BodyText"/>
      </w:pPr>
      <w:r>
        <w:t xml:space="preserve">The first issue is defining what constitutes a sentence. In terms of computation, the simplest way to define it is as any set of words where the first word is capitalized and is closed with end-sentence punctuation like a full-stop, exclamation mark, or question mark. These basic parameters are frequently used to determine sentence length in standard prose writing.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(Faulkner,</w:t>
      </w:r>
      <w:r>
        <w:t xml:space="preserve"> </w:t>
      </w:r>
      <w:r>
        <w:rPr>
          <w:iCs/>
          <w:i/>
        </w:rPr>
        <w:t xml:space="preserve">The Hamlet</w:t>
      </w:r>
      <w:r>
        <w:t xml:space="preserve"> </w:t>
      </w:r>
      <w:r>
        <w:t xml:space="preserve">13)</w:t>
      </w:r>
      <w:r>
        <w:t xml:space="preserve">. If a sentence is defined as any set of words that starts with a capital letter and ends with end-sentence punctuation then this is four separate sentences. This seems unsatisfactory.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w:t>
      </w:r>
      <w:r>
        <w:t xml:space="preserve">Not accounting for sentence embedding in</w:t>
      </w:r>
      <w:r>
        <w:t xml:space="preserve"> </w:t>
      </w:r>
      <w:r>
        <w:rPr>
          <w:iCs/>
          <w:i/>
        </w:rPr>
        <w:t xml:space="preserve">The Hamlet</w:t>
      </w:r>
      <w:r>
        <w:t xml:space="preserve"> </w:t>
      </w:r>
      <w:r>
        <w:t xml:space="preserve">actually makes the average sentence length in Faulkner appear shorter than it is. The exact opposite problem is true in</w:t>
      </w:r>
      <w:r>
        <w:t xml:space="preserve"> </w:t>
      </w:r>
      <w:r>
        <w:rPr>
          <w:iCs/>
          <w:i/>
        </w:rPr>
        <w:t xml:space="preserve">The Sound and the Fury</w:t>
      </w:r>
      <w:r>
        <w:t xml:space="preserve">. Here Faulkner embeds sentences and phrases through italics.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(Faulkner,</w:t>
      </w:r>
      <w:r>
        <w:t xml:space="preserve"> </w:t>
      </w:r>
      <w:r>
        <w:rPr>
          <w:iCs/>
          <w:i/>
        </w:rPr>
        <w:t xml:space="preserve">The Sound and the Fury</w:t>
      </w:r>
      <w:r>
        <w:t xml:space="preserve"> </w:t>
      </w:r>
      <w:r>
        <w:t xml:space="preserve">105)</w:t>
      </w:r>
      <w:r>
        <w:t xml:space="preserve">. The main sentence is:</w:t>
      </w:r>
      <w:r>
        <w:t xml:space="preserve"> </w:t>
      </w:r>
      <w:r>
        <w:t xml:space="preserve">“</w:t>
      </w:r>
      <w:r>
        <w:t xml:space="preserve">Telling us about Gerald’s women in a tone of smug approbation.</w:t>
      </w:r>
      <w:r>
        <w:t xml:space="preserve">”</w:t>
      </w:r>
      <w:r>
        <w:t xml:space="preserve"> </w:t>
      </w:r>
      <w:r>
        <w:t xml:space="preserve">This is interrupted by the clause</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(Polk 13-14).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only five words. This inconsistency is a feature of the entire corpus, because Faulkner varied the way in which creates long sentences throughout his career.</w:t>
      </w:r>
      <w:r>
        <w:rPr>
          <w:rStyle w:val="FootnoteReference"/>
        </w:rPr>
        <w:footnoteReference w:id="27"/>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16.77 words per sentence, Faulkner’s sentences are only slightly longer than the average 16 words per sentence for a text in the Corpus of English Novels, which covers writing from 1881 - 1922</w:t>
      </w:r>
      <w:r>
        <w:t xml:space="preserve"> </w:t>
      </w:r>
      <w:r>
        <w:t xml:space="preserve">(Ihrmark and Nilsson 79)</w:t>
      </w:r>
      <w:r>
        <w:t xml:space="preserve"> </w:t>
      </w:r>
      <w:r>
        <w:t xml:space="preserve">(Ihrmark 79) and longer still than the 13 words per sentence around the 1930s</w:t>
      </w:r>
      <w:r>
        <w:t xml:space="preserve"> </w:t>
      </w:r>
      <w:r>
        <w:t xml:space="preserve">(Rudnicka)</w:t>
      </w:r>
      <w:r>
        <w:t xml:space="preserve"> </w:t>
      </w:r>
      <w:r>
        <w:t xml:space="preserve">(Rudnicka).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39 words per sentence, it uses fewer words on average than Hemingway’s</w:t>
      </w:r>
      <w:r>
        <w:t xml:space="preserve"> </w:t>
      </w:r>
      <w:r>
        <w:rPr>
          <w:iCs/>
          <w:i/>
        </w:rPr>
        <w:t xml:space="preserve">The Old Man and the Sea</w:t>
      </w:r>
      <w:r>
        <w:t xml:space="preserve">, which uses 13 words per sentence</w:t>
      </w:r>
      <w:r>
        <w:t xml:space="preserve"> </w:t>
      </w:r>
      <w:r>
        <w:t xml:space="preserve">(Ihrmark and Nilsson 82)</w:t>
      </w:r>
      <w:r>
        <w:t xml:space="preserve">. Despite this counterintuitive disparity,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w:t>
      </w:r>
      <w:r>
        <w:t xml:space="preserve"> </w:t>
      </w:r>
      <w:r>
        <w:rPr>
          <w:iCs/>
          <w:i/>
        </w:rPr>
        <w:t xml:space="preserve">The Sound and the Fury</w:t>
      </w:r>
      <w:r>
        <w:t xml:space="preserve">, and most of Faulkner’s other texts is heavily right-skewed. Meaning that most sentences are of average length, but a few are much, much longer. In the case of the</w:t>
      </w:r>
      <w:r>
        <w:t xml:space="preserve"> </w:t>
      </w:r>
      <w:r>
        <w:rPr>
          <w:iCs/>
          <w:i/>
        </w:rPr>
        <w:t xml:space="preserve">Sound and the Fury</w:t>
      </w:r>
      <w:r>
        <w:t xml:space="preserve"> </w:t>
      </w:r>
      <w:r>
        <w:t xml:space="preserve">only 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BodyText"/>
      </w:pPr>
      <w:r>
        <w:t xml:space="preserve">Nevertheless, lengthy sentences are seen as the hallmark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(19), and</w:t>
      </w:r>
      <w:r>
        <w:t xml:space="preserve"> </w:t>
      </w:r>
      <w:r>
        <w:t xml:space="preserve">“</w:t>
      </w:r>
      <w:r>
        <w:t xml:space="preserve">Barn Burning</w:t>
      </w:r>
      <w:r>
        <w:t xml:space="preserve">”</w:t>
      </w:r>
      <w:r>
        <w:t xml:space="preserve"> </w:t>
      </w:r>
      <w:r>
        <w:t xml:space="preserve">(19) These works are, in a sense, more Faulknerian than a relatively unknown early text like</w:t>
      </w:r>
      <w:r>
        <w:t xml:space="preserve"> </w:t>
      </w:r>
      <w:r>
        <w:t xml:space="preserve">“</w:t>
      </w:r>
      <w:r>
        <w:t xml:space="preserve">Elly</w:t>
      </w:r>
      <w:r>
        <w:t xml:space="preserve">”</w:t>
      </w:r>
      <w:r>
        <w:t xml:space="preserve"> </w:t>
      </w:r>
      <w:r>
        <w:t xml:space="preserve">(9). Nevertheless, equally canonical works like</w:t>
      </w:r>
      <w:r>
        <w:t xml:space="preserve"> </w:t>
      </w:r>
      <w:r>
        <w:t xml:space="preserve">“</w:t>
      </w:r>
      <w:r>
        <w:t xml:space="preserve">That Evening Sun</w:t>
      </w:r>
      <w:r>
        <w:t xml:space="preserve">”</w:t>
      </w:r>
      <w:r>
        <w:t xml:space="preserve"> </w:t>
      </w:r>
      <w:r>
        <w:t xml:space="preserve">(9) ,</w:t>
      </w:r>
      <w:r>
        <w:t xml:space="preserve"> </w:t>
      </w:r>
      <w:r>
        <w:rPr>
          <w:iCs/>
          <w:i/>
        </w:rPr>
        <w:t xml:space="preserve">Light in August</w:t>
      </w:r>
      <w:r>
        <w:t xml:space="preserve"> </w:t>
      </w:r>
      <w:r>
        <w:t xml:space="preserve">(15) , and</w:t>
      </w:r>
      <w:r>
        <w:t xml:space="preserve"> </w:t>
      </w:r>
      <w:r>
        <w:rPr>
          <w:iCs/>
          <w:i/>
        </w:rPr>
        <w:t xml:space="preserve">As I Lay Dying</w:t>
      </w:r>
      <w:r>
        <w:t xml:space="preserve"> </w:t>
      </w:r>
      <w:r>
        <w:t xml:space="preserve">(12)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28"/>
    <w:bookmarkStart w:id="32" w:name="X176149acc61b54f2be9c1a815bb8da5503d0a6a"/>
    <w:p>
      <w:pPr>
        <w:pStyle w:val="Heading2"/>
      </w:pPr>
      <w:r>
        <w:t xml:space="preserve">Extending the Sentence: Faulkner’s Experiments in Mid-sentence punctuation</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James Joyce famously wrote some of the longest sentences in English in the Penelope chapter of</w:t>
      </w:r>
      <w:r>
        <w:t xml:space="preserve"> </w:t>
      </w:r>
      <w:r>
        <w:rPr>
          <w:iCs/>
          <w:i/>
        </w:rPr>
        <w:t xml:space="preserve">Ulysses</w:t>
      </w:r>
      <w:r>
        <w:t xml:space="preserve">, but these sentences are not long in the same way a sentence in Faulkner is long. While there is certainly semantic coherence underlying Joyce’s string of words, the lack of punctuation makes it grammatically incorrect if not necessarily syntactically incoherent</w:t>
      </w:r>
      <w:r>
        <w:t xml:space="preserve"> </w:t>
      </w:r>
      <w:r>
        <w:t xml:space="preserve">(Attridge 545)</w:t>
      </w:r>
      <w:r>
        <w:t xml:space="preserve">. This was rather point, of course, but it is an important distinction to make. Faulkner not only creates long strings of words, but also coordinates and subordinates his clauses through punctuation. Thus, whereas Joyce saw the intervention of punctuation as an infelicity to the ineluctable flow of language in the Penelope episode,</w:t>
      </w:r>
      <w:r>
        <w:rPr>
          <w:rStyle w:val="FootnoteReference"/>
        </w:rPr>
        <w:footnoteReference w:id="29"/>
      </w:r>
      <w:r>
        <w:t xml:space="preserve"> </w:t>
      </w:r>
      <w:r>
        <w:t xml:space="preserve">the sheer profusion of punctuation in Faulkner speaks to the endless way in which meaning branches, eddies, rejoins and ends in an arbitrary terminus only to recirculate again. Molly’s soliloquy is a stream, Faulkner’s writing is a watershed.</w:t>
      </w:r>
    </w:p>
    <w:p>
      <w:pPr>
        <w:pStyle w:val="BodyText"/>
      </w:pPr>
      <w:r>
        <w:t xml:space="preserve">To understand how Faulkner lengthens his sentences it is useful to look at mid-sentence punctuation like: colons, parenthesis, ellipses. As earlier critics observed (observation about mid-sentence) . Faulkner is not merely making sentences very long, but using punctuation to stretch out the definition of a sentence, and, in turn, calling attention to the punctuation itself. The finality of the full-stop is replaced with the indeterminacy of clausal accretion. What is telling about Faulkner’s writing is that he does not simply write long sentences throughout his career, but experiments with different punctuation configurations to make this possible.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To determine which of Faulkner’s texts have punctuation at variance with the corpus more generally, a statistical model of Faulkner’s short stories and novels was created.</w:t>
      </w:r>
      <w:r>
        <w:rPr>
          <w:rStyle w:val="FootnoteReference"/>
        </w:rPr>
        <w:footnoteReference w:id="30"/>
      </w:r>
      <w:r>
        <w:t xml:space="preserve"> </w:t>
      </w:r>
      <w:r>
        <w:t xml:space="preserve">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w:t>
      </w:r>
      <w:r>
        <w:t xml:space="preserve"> </w:t>
      </w:r>
      <w:r>
        <w:t xml:space="preserve">(Schou 198)</w:t>
      </w:r>
      <w:r>
        <w:t xml:space="preserve">. This is particularly true of colons, semi-colons, and parenthesis. Case in point, one line in</w:t>
      </w:r>
      <w:r>
        <w:t xml:space="preserve"> </w:t>
      </w:r>
      <w:r>
        <w:rPr>
          <w:iCs/>
          <w:i/>
        </w:rPr>
        <w:t xml:space="preserve">A Fable</w:t>
      </w:r>
      <w:r>
        <w:t xml:space="preserve"> </w:t>
      </w:r>
      <w:r>
        <w:t xml:space="preserve">(1954) has 53 commas, 9 semi-colons, 6 colons, 2 parentheses, and is over 750 words long</w:t>
      </w:r>
      <w:r>
        <w:t xml:space="preserve"> </w:t>
      </w:r>
      <w:r>
        <w:t xml:space="preserve">(Faulkner,</w:t>
      </w:r>
      <w:r>
        <w:t xml:space="preserve"> </w:t>
      </w:r>
      <w:r>
        <w:rPr>
          <w:iCs/>
          <w:i/>
        </w:rPr>
        <w:t xml:space="preserve">A Fable</w:t>
      </w:r>
      <w:r>
        <w:t xml:space="preserve"> </w:t>
      </w:r>
      <w:r>
        <w:t xml:space="preserve">253–55)</w:t>
      </w:r>
      <w:r>
        <w:t xml:space="preserve">. It pushes the limits as to how many independent clauses a reader can reasonably be expected to understand in the same ostensibly coherent thought delimited by a full-stop.</w:t>
      </w:r>
    </w:p>
    <w:p>
      <w:pPr>
        <w:pStyle w:val="BodyText"/>
      </w:pPr>
      <w:r>
        <w:t xml:space="preserve">By taking the averages of the number of mid-sentence punctuation marks per sentence across all texts, it is possible to detect texts that deviate from the overall pattern. In general, phonological and syntactical phenomena tend to follow a power-law distribution</w:t>
      </w:r>
      <w:r>
        <w:t xml:space="preserve"> </w:t>
      </w:r>
      <w:r>
        <w:t xml:space="preserve">Newman</w:t>
      </w:r>
      <w:r>
        <w:t xml:space="preserve">;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w:t>
      </w:r>
      <w:r>
        <w:rPr>
          <w:rStyle w:val="FootnoteReference"/>
        </w:rPr>
        <w:footnoteReference w:id="31"/>
      </w:r>
      <w:r>
        <w:t xml:space="preserve"> </w:t>
      </w:r>
      <w:r>
        <w:t xml:space="preserve">The curve for these distributions looks a lot like a very steep cliff that drops from the y axis into a sharp curve on the x axis. If Faulkner did not experiment a similar distribution would be present, and there would be little variance in the number of punctuation marks. This is not borne out by the data. Plotting the distributions across all punctuation marks reveals an exponential distribution best described as chi-squared with three degrees of freedom (</w:t>
      </w:r>
      <m:oMath>
        <m:sSubSup>
          <m:e>
            <m:r>
              <m:t>χ</m:t>
            </m:r>
          </m:e>
          <m:sub>
            <m:r>
              <m:t>3</m:t>
            </m:r>
          </m:sub>
          <m:sup>
            <m:r>
              <m:t>2</m:t>
            </m:r>
          </m:sup>
        </m:sSubSup>
      </m:oMath>
      <w:r>
        <w:t xml:space="preserve">). Visually, this curve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when on that tail a value is outside of the expected range is a matter of some interpretation. Indeed, deciding that a data point is an outlier is an ongoing debate among mathematicians (Hawkins 9-12). As the distance between the mean and the highest value was quite far apart, the skewness of the distribution was corrected for by either taking the inverse or the log of each of the values depending on the line of best fit in a quantile-quantile plot. Using these normalized distributions, Rosner’s multiple outlier test</w:t>
      </w:r>
      <w:r>
        <w:t xml:space="preserve"> </w:t>
      </w:r>
      <w:r>
        <w:t xml:space="preserve">(Millard 1106)</w:t>
      </w:r>
      <w:r>
        <w:t xml:space="preserve"> </w:t>
      </w:r>
      <w:r>
        <w:t xml:space="preserve">was run on any value outside of the standard Tukey fences (</w:t>
      </w:r>
      <m:oMath>
        <m:r>
          <m:t>Q</m:t>
        </m:r>
        <m:r>
          <m:t>3</m:t>
        </m:r>
        <m:r>
          <m:rPr>
            <m:sty m:val="p"/>
          </m:rPr>
          <m:t>+</m:t>
        </m:r>
        <m:r>
          <m:t>3</m:t>
        </m:r>
        <m:r>
          <m:t>k</m:t>
        </m:r>
        <m:r>
          <m:rPr>
            <m:sty m:val="p"/>
          </m:rPr>
          <m:t>×</m:t>
        </m:r>
        <m:r>
          <m:t>I</m:t>
        </m:r>
        <m:r>
          <m:t>Q</m:t>
        </m:r>
        <m:r>
          <m:t>R</m:t>
        </m:r>
      </m:oMath>
      <w:r>
        <w:t xml:space="preserve">). Additionally, a secondary test was run using the Adjusted box plot method developed by Hubert and Vandervieren</w:t>
      </w:r>
      <w:r>
        <w:t xml:space="preserve"> </w:t>
      </w:r>
      <w:r>
        <w:t xml:space="preserve">(Hubert and Vandervieren)</w:t>
      </w:r>
      <w:r>
        <w:t xml:space="preserve">. The tests revealed slightly different outliers, but on the whole there is an inconsistent use of mid-sentence punctuation across the corpus. Faulkner uses some mid-sentence punctuation substantially more than in some texts versus others. This indicates some measure of experimentation with how he is creating long sentences. If he were developing only one particular technique, for example concatenating a string of independent clauses separated by a semi-colon as in</w:t>
      </w:r>
      <w:r>
        <w:t xml:space="preserve"> </w:t>
      </w:r>
      <w:r>
        <w:rPr>
          <w:iCs/>
          <w:i/>
        </w:rPr>
        <w:t xml:space="preserve">A Fable</w:t>
      </w:r>
      <w:r>
        <w:t xml:space="preserve">, the data for the other punctuation marks would likely not be as skewed, and the distribution far more normal. This is not the case, and indicates variance in punctuation techniques across his career. This variance does not appear to be strongly time dependent. There were no distinct phases to his punctuation experiments, but instead individual works stand out as being particularly experimental.</w:t>
      </w:r>
    </w:p>
    <w:p>
      <w:pPr>
        <w:pStyle w:val="BodyText"/>
      </w:pPr>
      <w:r>
        <w:t xml:space="preserve">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outliers. 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43 words per sentence, the text is notable for its prolific use of parentheses. With this technique, sentences are interrupted by parenthetical statements, which in themselves are not usually sentences, leading to sentences of extraordinary length. In one sentence stretching over 1,000 words, Faulkner uses nine parenthetical statements as a running commentary on the main sentence, which runs across three pages</w:t>
      </w:r>
      <w:r>
        <w:t xml:space="preserve"> </w:t>
      </w:r>
      <w:r>
        <w:t xml:space="preserve">(Faulkner,</w:t>
      </w:r>
      <w:r>
        <w:t xml:space="preserve"> </w:t>
      </w:r>
      <w:r>
        <w:rPr>
          <w:iCs/>
          <w:i/>
        </w:rPr>
        <w:t xml:space="preserve">Absalom, Absalom!</w:t>
      </w:r>
      <w:r>
        <w:t xml:space="preserve"> </w:t>
      </w:r>
      <w:r>
        <w:t xml:space="preserve">148–50)</w:t>
      </w:r>
      <w:r>
        <w:t xml:space="preserve">. Some of these parentheticals are themselves several lines. All of this is complicated by the fact that this 1,000 word sentence appears in Chapter 6. The majority of this chapter is one long parenthetical statement. As a result, the parentheses in this sentence are actually nested within surrounding parentheses. More plainly, the sentence is an aside to an aside. Beyond this particular sentence, the nesting continues throughout Chapter 6 and at some point the the word Quentin is nested 4 levels deep</w:t>
      </w:r>
      <w:r>
        <w:t xml:space="preserve"> </w:t>
      </w:r>
      <w:r>
        <w:t xml:space="preserve">(Faulkner,</w:t>
      </w:r>
      <w:r>
        <w:t xml:space="preserve"> </w:t>
      </w:r>
      <w:r>
        <w:rPr>
          <w:iCs/>
          <w:i/>
        </w:rPr>
        <w:t xml:space="preserve">Absalom, Absalom!</w:t>
      </w:r>
      <w:r>
        <w:t xml:space="preserve"> </w:t>
      </w:r>
      <w:r>
        <w:t xml:space="preserve">168)</w:t>
      </w:r>
      <w:r>
        <w:t xml:space="preserve">. That is, as an aside to an aside to an aside. There are so many parentheses that it appears that Faulkner or possibly his editor lost track of them.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It is fitting that peeling away all of these parentheses like layers of an onion reveals the absent center: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eighteen colons. The sentence deploys colons as a clausal adjunct. Nunberg labels this phenomenon colon-expansion, whereby the content following the colon expands or elaborates on the preceding clause</w:t>
      </w:r>
      <w:r>
        <w:t xml:space="preserve"> </w:t>
      </w:r>
      <w:r>
        <w:t xml:space="preserve">(Nunberg,</w:t>
      </w:r>
      <w:r>
        <w:t xml:space="preserve"> </w:t>
      </w:r>
      <w:r>
        <w:rPr>
          <w:iCs/>
          <w:i/>
        </w:rPr>
        <w:t xml:space="preserve">The Linguistics of Punctuation</w:t>
      </w:r>
      <w:r>
        <w:t xml:space="preserve"> </w:t>
      </w:r>
      <w:r>
        <w:t xml:space="preserve">30)</w:t>
      </w:r>
      <w:r>
        <w:t xml:space="preserve">. Importantly, he points out that there are only two constraints to a colon-expansion. First, there is a semantic limit to the extent to which something can be elaborated, and, two, colon-expansions cannot themselves contain other colon-expansions</w:t>
      </w:r>
      <w:r>
        <w:t xml:space="preserve"> </w:t>
      </w:r>
      <w:r>
        <w:t xml:space="preserve">(Nunberg,</w:t>
      </w:r>
      <w:r>
        <w:t xml:space="preserve"> </w:t>
      </w:r>
      <w:r>
        <w:rPr>
          <w:iCs/>
          <w:i/>
        </w:rPr>
        <w:t xml:space="preserve">The Linguistics of Punctuation</w:t>
      </w:r>
      <w:r>
        <w:t xml:space="preserve"> </w:t>
      </w:r>
      <w:r>
        <w:t xml:space="preserve">30–31)</w:t>
      </w:r>
      <w:r>
        <w:t xml:space="preserve">.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w:t>
      </w:r>
      <w:r>
        <w:t xml:space="preserve">”</w:t>
      </w:r>
      <w:r>
        <w:t xml:space="preserve"> </w:t>
      </w:r>
      <w:r>
        <w:t xml:space="preserve">(Faulkner,</w:t>
      </w:r>
      <w:r>
        <w:t xml:space="preserve"> </w:t>
      </w:r>
      <w:r>
        <w:rPr>
          <w:iCs/>
          <w:i/>
        </w:rPr>
        <w:t xml:space="preserve">Intruder in the Dust</w:t>
      </w:r>
      <w:r>
        <w:t xml:space="preserve"> </w:t>
      </w:r>
      <w:r>
        <w:t xml:space="preserve">34)</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have unusual punctuation patterns. One surprising text that is a statistical outlier is</w:t>
      </w:r>
      <w:r>
        <w:t xml:space="preserve"> </w:t>
      </w:r>
      <w:r>
        <w:t xml:space="preserve">“</w:t>
      </w:r>
      <w:r>
        <w:t xml:space="preserve">Miss Zilphia Gant</w:t>
      </w:r>
      <w:r>
        <w:t xml:space="preserve">”</w:t>
      </w:r>
      <w:r>
        <w:t xml:space="preserve"> </w:t>
      </w:r>
      <w:r>
        <w:t xml:space="preserve">for its use of ellipses.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Instead, this may have been a punctuation mark he was experimenting with in some specific contexts.</w:t>
      </w:r>
      <w:r>
        <w:t xml:space="preserve"> </w:t>
      </w:r>
      <w:r>
        <w:t xml:space="preserve">“</w:t>
      </w:r>
      <w:r>
        <w:t xml:space="preserve">Miss Zilphia Gant</w:t>
      </w:r>
      <w:r>
        <w:t xml:space="preserve">”</w:t>
      </w:r>
      <w:r>
        <w:t xml:space="preserve"> </w:t>
      </w:r>
      <w:r>
        <w:t xml:space="preserve">is perhaps the most extreme example. In this relatively obscure story, Miss Zilphia grows up a virtual captive of her overbearing mother. What makes the story unique is that its use of three dots is two-fold. Sometimes this indicates a traditional ellipse, at other times they function more like dashes that enclose an apposition</w:t>
      </w:r>
      <w:r>
        <w:t xml:space="preserve"> </w:t>
      </w:r>
      <w:r>
        <w:t xml:space="preserve">(Railton)</w:t>
      </w:r>
      <w:r>
        <w:t xml:space="preserve">. To complicate matters, in the early drafts, Faulkner, conversely, uses dashes as both traditional dashes, but also as ellipses. The effect is that the punctuation marks becomes a site of ellision as well an attentuation that creates a myriad of possibilities for the unsaid. For example, after Miss Zilphia finally marries a man, she still feels the urge to return to her mother. In the early typescript, he pleads with her,</w:t>
      </w:r>
      <w:r>
        <w:t xml:space="preserve"> </w:t>
      </w:r>
      <w:r>
        <w:t xml:space="preserve">“</w:t>
      </w:r>
      <w:r>
        <w:t xml:space="preserve">if you go now - - - - - - Zilphy</w:t>
      </w:r>
      <w:r>
        <w:t xml:space="preserve">”</w:t>
      </w:r>
      <w:r>
        <w:t xml:space="preserve"> </w:t>
      </w:r>
      <w:r>
        <w:t xml:space="preserve">(Faulkner,</w:t>
      </w:r>
      <w:r>
        <w:t xml:space="preserve"> </w:t>
      </w:r>
      <w:r>
        <w:rPr>
          <w:iCs/>
          <w:i/>
        </w:rPr>
        <w:t xml:space="preserve">"</w:t>
      </w:r>
      <w:r>
        <w:rPr>
          <w:iCs/>
          <w:i/>
        </w:rPr>
        <w:t xml:space="preserve">Miss Zilphia Gant,</w:t>
      </w:r>
      <w:r>
        <w:rPr>
          <w:iCs/>
          <w:i/>
        </w:rPr>
        <w:t xml:space="preserve">"</w:t>
      </w:r>
      <w:r>
        <w:rPr>
          <w:iCs/>
          <w:i/>
        </w:rPr>
        <w:t xml:space="preserve"> </w:t>
      </w:r>
      <w:r>
        <w:rPr>
          <w:iCs/>
          <w:i/>
        </w:rPr>
        <w:t xml:space="preserve">Bound Typescript 18 p.</w:t>
      </w:r>
      <w:r>
        <w:t xml:space="preserve">)</w:t>
      </w:r>
      <w:r>
        <w:t xml:space="preserve">. In the published version this becomes</w:t>
      </w:r>
      <w:r>
        <w:t xml:space="preserve"> </w:t>
      </w:r>
      <w:r>
        <w:t xml:space="preserve">“</w:t>
      </w:r>
      <w:r>
        <w:t xml:space="preserve">If you go in there . . . Zilphy</w:t>
      </w:r>
      <w:r>
        <w:t xml:space="preserve">”</w:t>
      </w:r>
      <w:r>
        <w:t xml:space="preserve"> </w:t>
      </w:r>
      <w:r>
        <w:t xml:space="preserve">(Faulkner,</w:t>
      </w:r>
      <w:r>
        <w:t xml:space="preserve"> </w:t>
      </w:r>
      <w:r>
        <w:rPr>
          <w:iCs/>
          <w:i/>
        </w:rPr>
        <w:t xml:space="preserve">Uncollected Stories of William Faulkner</w:t>
      </w:r>
      <w:r>
        <w:t xml:space="preserve"> </w:t>
      </w:r>
      <w:r>
        <w:t xml:space="preserve">377)</w:t>
      </w:r>
      <w:r>
        <w:t xml:space="preserve">. Stephen Railton speculates that this change was likely made by the editor of the Book Club of Texas, which first published this story</w:t>
      </w:r>
      <w:r>
        <w:t xml:space="preserve"> </w:t>
      </w:r>
      <w:r>
        <w:t xml:space="preserve">(Railton)</w:t>
      </w:r>
      <w:r>
        <w:t xml:space="preserve">. Whatever the reason for the final version, the multiple drafts all attest to the fact that Faulkner was experimenting with using entirely new forms of punctuation.</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some people in Yoknapatawpha county.</w:t>
      </w:r>
    </w:p>
    <w:bookmarkEnd w:id="32"/>
    <w:bookmarkStart w:id="91" w:name="the-demographics-of-punctuation"/>
    <w:p>
      <w:pPr>
        <w:pStyle w:val="Heading1"/>
      </w:pPr>
      <w:r>
        <w:t xml:space="preserve">The Demographics of Punctuation</w:t>
      </w:r>
    </w:p>
    <w:p>
      <w:pPr>
        <w:pStyle w:val="FirstParagraph"/>
      </w:pPr>
      <w:r>
        <w:t xml:space="preserve">Understanding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(DY) project has at least some of this data available. Created with the mission to encode every character, location, and event in Faulkner’s Yoknapatawpha fiction,</w:t>
      </w:r>
      <w:r>
        <w:t xml:space="preserve"> </w:t>
      </w:r>
      <w:r>
        <w:rPr>
          <w:iCs/>
          <w:i/>
        </w:rPr>
        <w:t xml:space="preserve">DY</w:t>
      </w:r>
      <w:r>
        <w:t xml:space="preserve"> </w:t>
      </w:r>
      <w:r>
        <w:t xml:space="preserve">represents a rich database of every character in every event in every text that takes place in Yoknapatawpha. Started in 2012, the database has been meticulously built by over thirty Faulkner experts through a strict peer-review process that has seen each of the thousands of records receive multiple editorial passes. The database focuses exclusively on the 14 novels and 54 short stories that take place in Yoknapatawpha, and excludes roughly 30% of the Faulkner’s writing in novels and short stories. This caveat aside,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characteristics, race, class, gender, rank and other important attributes. By calculating what types of characters occur in each event, it is possible to build a demographic frequency model on how often and when characters occur in the corpus.</w:t>
      </w:r>
    </w:p>
    <w:p>
      <w:pPr>
        <w:pStyle w:val="BodyText"/>
      </w:pPr>
      <w:r>
        <w:t xml:space="preserve">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 For example, upper class White males constitute around 24% of the characters who appear, whereas for enslaved black women this number is a paltry 1%. Clearly, there is a stark disparity in terms of who gets represented.</w:t>
      </w:r>
    </w:p>
    <w:p>
      <w:pPr>
        <w:pStyle w:val="BodyText"/>
      </w:pPr>
      <w:r>
        <w:t xml:space="preserve">Using these two data models, that is the punctuation, and the characters, it is possible to get an understanding of the relationships between characters and punctuation. As with all such inferential models, the result are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is compared to sentence length, and in the third each individual character is compared to sentence length. As the tests get more granular, there are more data points, and generally, there is a higher confidence that the pattern is not random.</w:t>
      </w:r>
    </w:p>
    <w:bookmarkStart w:id="34" w:name="texts"/>
    <w:p>
      <w:pPr>
        <w:pStyle w:val="Heading3"/>
      </w:pPr>
      <w:r>
        <w:t xml:space="preserve">Texts</w:t>
      </w:r>
    </w:p>
    <w:p>
      <w:pPr>
        <w:pStyle w:val="FirstParagraph"/>
      </w:pPr>
      <w:r>
        <w:t xml:space="preserve">These demographic distributions per work can be matched to the punctuation distributions. At the level of the individual text, the relative frequency of character types that occur in the text can be compared to sentence length. A powerful way of doing this is through a Pearson correlation. This tests whether two numbers rise or fall together, and whether this pattern is not random. To do this, a Pearson correlation was run between a race, class, gender composite of all the characters.</w:t>
      </w:r>
      <w:r>
        <w:rPr>
          <w:rStyle w:val="FootnoteReference"/>
        </w:rPr>
        <w:footnoteReference w:id="33"/>
      </w:r>
      <w:r>
        <w:t xml:space="preserve"> </w:t>
      </w:r>
      <w:r>
        <w:t xml:space="preserve">The magnitude of a Pearson correlation runs from -1 to 1, where a negative correlation indicates an inverse relationship and a positive correlation indicates a direct relationship. Though interpreting correlation varies substantially from discipline to discipline</w:t>
      </w:r>
      <w:r>
        <w:t xml:space="preserve"> </w:t>
      </w:r>
      <w:r>
        <w:t xml:space="preserve">(Chen and Popovich 12)</w:t>
      </w:r>
      <w:r>
        <w:t xml:space="preserve">, the most commonly agreed upon ranges are roughly a correlation between .3 and .5 or between -.3 and -.5 is considered a medium effect, and above .5 or below -.5 is considered a large effect</w:t>
      </w:r>
      <w:r>
        <w:t xml:space="preserve"> </w:t>
      </w:r>
      <w:r>
        <w:t xml:space="preserve">(Cohen 79–80)</w:t>
      </w:r>
      <w:r>
        <w:t xml:space="preserve">. There was a medium to strong positive correlation between sentence length and four types of characters: Enslaved women who have both Black and White ancestry (0.535), upper class men who have both Black and White ancestry (0.513), Men who have both Black and White ancestry and whose class is indeterminable (0.53), and upper class women who have both White and Black ancestry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those novels that deal with the transgression of the South’s strict race and class boundaries. Indeed, the three novels that prominently feature the disruptive effects of black and white ancestral entanglement all feature longer than average sentences:</w:t>
      </w:r>
      <w:r>
        <w:t xml:space="preserve"> </w:t>
      </w:r>
      <w:r>
        <w:rPr>
          <w:iCs/>
          <w:i/>
        </w:rPr>
        <w:t xml:space="preserve">Absalom, Absalom</w:t>
      </w:r>
      <w:r>
        <w:t xml:space="preserve"> </w:t>
      </w:r>
      <w:r>
        <w:t xml:space="preserve">(43),</w:t>
      </w:r>
      <w:r>
        <w:t xml:space="preserve"> </w:t>
      </w:r>
      <w:r>
        <w:rPr>
          <w:iCs/>
          <w:i/>
        </w:rPr>
        <w:t xml:space="preserve">Intruder in the Dust</w:t>
      </w:r>
      <w:r>
        <w:t xml:space="preserve"> </w:t>
      </w:r>
      <w:r>
        <w:t xml:space="preserve">(39), and</w:t>
      </w:r>
      <w:r>
        <w:t xml:space="preserve"> </w:t>
      </w:r>
      <w:r>
        <w:rPr>
          <w:iCs/>
          <w:i/>
        </w:rPr>
        <w:t xml:space="preserve">Go Down, Moses</w:t>
      </w:r>
      <w:r>
        <w:t xml:space="preserve"> </w:t>
      </w:r>
      <w:r>
        <w:t xml:space="preserve">(20). The only notable exception is</w:t>
      </w:r>
      <w:r>
        <w:t xml:space="preserve"> </w:t>
      </w:r>
      <w:r>
        <w:rPr>
          <w:iCs/>
          <w:i/>
        </w:rPr>
        <w:t xml:space="preserve">Light in August</w:t>
      </w:r>
      <w:r>
        <w:t xml:space="preserve"> </w:t>
      </w:r>
      <w:r>
        <w:t xml:space="preserve">(15),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Cs/>
          <w:i/>
        </w:rPr>
        <w:t xml:space="preserve">The Hamlet</w:t>
      </w:r>
      <w:r>
        <w:t xml:space="preserve">,</w:t>
      </w:r>
      <w:r>
        <w:t xml:space="preserve"> </w:t>
      </w:r>
      <w:r>
        <w:rPr>
          <w:iCs/>
          <w:i/>
        </w:rPr>
        <w:t xml:space="preserve">The Town</w:t>
      </w:r>
      <w:r>
        <w:t xml:space="preserve">,</w:t>
      </w:r>
      <w:r>
        <w:t xml:space="preserve"> </w:t>
      </w:r>
      <w:r>
        <w:rPr>
          <w:iCs/>
          <w:i/>
        </w:rPr>
        <w:t xml:space="preserve">The Mansion</w:t>
      </w:r>
      <w:r>
        <w:t xml:space="preserve">), which is actually notable for being almost entirely devoid of non-White characters. This discrepancy also underscores the limitations of this analysis. After all, just because a text features more non-White characters than other texts does not mean that they are central to the action, or appear in those long sentences.</w:t>
      </w:r>
    </w:p>
    <w:bookmarkEnd w:id="34"/>
    <w:bookmarkStart w:id="90" w:name="character-types"/>
    <w:p>
      <w:pPr>
        <w:pStyle w:val="Heading3"/>
      </w:pPr>
      <w:r>
        <w:t xml:space="preserve">Character Types</w:t>
      </w:r>
    </w:p>
    <w:p>
      <w:pPr>
        <w:pStyle w:val="FirstParagraph"/>
      </w:pPr>
      <w:r>
        <w:t xml:space="preserve">In the Digital Yoknapatawpha 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to sentences. Occasionally, an event can run for several pages capturing multiple sentences or it can be only a few words in the middle of a sentence. A digital version of the text can be delimited by the beginning and ending of events, because the database stores the first 8-10 words of each event. This process is involved, and, on occasion, requires, manually aligning the beginning and ending of events. The result is a data table that shows each sentence and each event that falls within that sentence if it is a short event, and, conversely, each sentence that falls within an event for longer events. Consequently, each sentence has attached to it event data that includes what characters are present and mentioned. 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indicates some salience even if they are not the focus of every event.</w:t>
      </w:r>
    </w:p>
    <w:p>
      <w:pPr>
        <w:pStyle w:val="BodyText"/>
      </w:pPr>
      <w:r>
        <w:t xml:space="preserve">Since there are roughly ninety-thousand sentences in the entire corpus ranging from sentences one word to six thousand words long there is a really broad range of sentence types in which characters can appear. A Pearson correlation was used to establish the relationship between a character being present and sentence length. This is a very large sample size, and the</w:t>
      </w:r>
      <w:r>
        <w:t xml:space="preserve"> </w:t>
      </w:r>
      <m:oMath>
        <m:r>
          <m:t>p</m:t>
        </m:r>
      </m:oMath>
      <w:r>
        <w:t xml:space="preserve">-value, the odds that the correlation is random, tends to be quite low. Based on this data, the results are at odds with those of the text-level correlation above. Whereas the presence of characters with multiple ancestries tended to be predictive of sentence length at the level of the work, at the level of the sentence there is a strong correlation between sentence length and whether an upper class White male is present (0.86) or mentioned (0.742). As upper class White males tend to be the protagonists of these novels, this is not all that shocking. It makes sense that the longest sentences appear when the main character is part of the action. What is quite telling is who is less likely to be present. It is true for both upper class White females and lower class White males that their correlation coeffiecent is higher when they are mentioned (0.625 and 0.497 respectively) than when they are present (0.478 and 0.311 respectively). The difference between these correlations is notable, as in each case the correlation coefficient drops quite a bit. That said, this drop does not mean that White women and lower class White men are being spoken about in these sentences. Mentioned in the database is a catch-all term for any character who is mentioned in an event but does not actually appear. It could be that the event only references a character once or that the entire event is about that character. Furthermore, correlation is not causation. If one of these characters is present it does not mean that the sentence length will get shorter, only that they are less likely to be present in longer sentences.</w:t>
      </w:r>
    </w:p>
    <w:p>
      <w:pPr>
        <w:pStyle w:val="BodyText"/>
      </w:pPr>
      <w:r>
        <w:t xml:space="preserve">All those caveats aside, scenes in Faulkner in which two White men, usually upper class, are discussing a white Woman who is absent, through highly wrought and experimental prose that collapses past, present and future is are not rare. Indeed, Quentin Compson discussing his sister Caddy with his father, and Quentin and Shreve imagining Judith Sutpen, are well-mined critical veins. Likewise, both</w:t>
      </w:r>
      <w:r>
        <w:t xml:space="preserve"> </w:t>
      </w:r>
      <w:r>
        <w:rPr>
          <w:iCs/>
          <w:i/>
        </w:rPr>
        <w:t xml:space="preserve">The Town</w:t>
      </w:r>
      <w:r>
        <w:t xml:space="preserve"> </w:t>
      </w:r>
      <w:r>
        <w:t xml:space="preserve">and</w:t>
      </w:r>
      <w:r>
        <w:t xml:space="preserve"> </w:t>
      </w:r>
      <w:r>
        <w:rPr>
          <w:iCs/>
          <w:i/>
        </w:rPr>
        <w:t xml:space="preserve">The Mansion</w:t>
      </w:r>
      <w:r>
        <w:t xml:space="preserve"> </w:t>
      </w:r>
      <w:r>
        <w:t xml:space="preserve">feature two upper class White men who recount and critique the actions of the lower class white men in the Hamlet of Frenchman’s bend and the town of Jefferson. Thus, while some caution is necessary when interpreting the value of these correlations, they do comport with the social picture of Yoknapatawpha that other critics have also painted.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texts. Accordingly, their individual presence in long sentences gets lost in the general mass of writing.</w:t>
      </w:r>
    </w:p>
    <w:p>
      <w:pPr>
        <w:pStyle w:val="BodyText"/>
      </w:pPr>
      <w:r>
        <w:t xml:space="preserve">It is possible to tease out this relationship by performing a more fine-grained analysis and looking at character type and sentence length correlations within each work. The pattern that occurs here is quite telling. Essentially, upper class white men are consistently have a moderate to strong correlation with longer sentences, but there are also other character types whose correlation suddenly becomes stronger in relation to sentence length. Thus, in the short story</w:t>
      </w:r>
      <w:r>
        <w:t xml:space="preserve"> </w:t>
      </w:r>
      <w:r>
        <w:t xml:space="preserve">‘</w:t>
      </w:r>
      <w:r>
        <w:t xml:space="preserve">Lion</w:t>
      </w:r>
      <w:r>
        <w:t xml:space="preserve">’</w:t>
      </w:r>
      <w:r>
        <w:t xml:space="preserve"> </w:t>
      </w:r>
      <w:r>
        <w:t xml:space="preserve">both upper class white men and the lone lower class male with Native American and White ancestry, Boon Hogganbeck, strongly correlate with longer sentences (0.98, 0.745). However, this is likely due to the fact that Boon happens to appear frequently in scenes with an upper class white male, Quentin Compson. Indeed, the average sentence length when an upper class white male is alone is 55 words-per-sentence, which drops to 21 when there are other characters present.</w:t>
      </w:r>
      <w:r>
        <w:rPr>
          <w:rStyle w:val="FootnoteReference"/>
        </w:rPr>
        <w:footnoteReference w:id="35"/>
      </w:r>
    </w:p>
    <w:p>
      <w:pPr>
        <w:pStyle w:val="BodyText"/>
      </w:pPr>
      <w:r>
        <w:t xml:space="preserve">##Characters</w:t>
      </w:r>
    </w:p>
    <w:p>
      <w:pPr>
        <w:pStyle w:val="BodyText"/>
      </w:pPr>
      <w:r>
        <w:t xml:space="preserve">The final and most fine-grained way to consider sentence length is by individual characters. This shows which specific characters tend to be present or mentioned in lengthy sentences. As the previous data already indicates, the types of characters who are consistently present or mentioned in long sentences is quite limited. It should therefore be little surprise that the character who has the strongest correlation with sentence length is Quentin Compson (0.593), who throughout the</w:t>
      </w:r>
      <w:r>
        <w:t xml:space="preserve"> </w:t>
      </w:r>
      <w:r>
        <w:rPr>
          <w:iCs/>
          <w:i/>
        </w:rPr>
        <w:t xml:space="preserve">Sound and the Fury</w:t>
      </w:r>
      <w:r>
        <w:t xml:space="preserve"> </w:t>
      </w:r>
      <w:r>
        <w:t xml:space="preserve">and</w:t>
      </w:r>
      <w:r>
        <w:t xml:space="preserve"> </w:t>
      </w:r>
      <w:r>
        <w:rPr>
          <w:iCs/>
          <w:i/>
        </w:rPr>
        <w:t xml:space="preserve">Absalom, Absalom</w:t>
      </w:r>
      <w:r>
        <w:t xml:space="preserve"> </w:t>
      </w:r>
      <w:r>
        <w:t xml:space="preserve">is at the centre of the highly experimental narrative. Notably, Mr. Jason Compson, his father (0.476), also has a moderate correlation with sentence length when he is mentioned. The first woman on the list is Caddy Compson (</w:t>
      </w:r>
      <w:r>
        <w:rPr>
          <w:rStyle w:val="VerbatimChar"/>
        </w:rPr>
        <w:t xml:space="preserve">caddy_compson_correlation</w:t>
      </w:r>
      <w:r>
        <w:t xml:space="preserve">), and the first person white person who is not upper class is the murder Vinson Gowrie (</w:t>
      </w:r>
      <w:r>
        <w:rPr>
          <w:rStyle w:val="VerbatimChar"/>
        </w:rPr>
        <w:t xml:space="preserve">vinson_gowrie_correlation</w:t>
      </w:r>
      <w:r>
        <w:t xml:space="preserve">) whose mention correlates with longer sentences. Likewise, the mixed ancestry Charles Bon (</w:t>
      </w:r>
      <w:r>
        <w:rPr>
          <w:rStyle w:val="VerbatimChar"/>
        </w:rPr>
        <w:t xml:space="preserve">charles_bon_correlation</w:t>
      </w:r>
      <w:r>
        <w:t xml:space="preserve">) has a weak correlation to sentence length.</w:t>
      </w:r>
    </w:p>
    <w:p>
      <w:pPr>
        <w:pStyle w:val="BodyText"/>
      </w:pPr>
      <w:r>
        <w:t xml:space="preserve">This renders an odd picture of sentence length and its attendant mid-sentence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 class White male characters and whomever happens to be present around them. It is therefore paradoxically at one and the same time a radical disavowal of temporality, but also a re-entrenchment of the very hierachies that the disavowal aims to abjure. It is an experimentation that is at one and the same time radical and conservative.</w:t>
      </w:r>
    </w:p>
    <w:bookmarkStart w:id="89" w:name="refs"/>
    <w:bookmarkStart w:id="36" w:name="ref-adams1968"/>
    <w:p>
      <w:pPr>
        <w:pStyle w:val="Bibliography"/>
      </w:pPr>
      <w:r>
        <w:t xml:space="preserve">Adams, Richard P.</w:t>
      </w:r>
      <w:r>
        <w:t xml:space="preserve"> </w:t>
      </w:r>
      <w:r>
        <w:rPr>
          <w:iCs/>
          <w:i/>
        </w:rPr>
        <w:t xml:space="preserve">Faulkner: myth and motion</w:t>
      </w:r>
      <w:r>
        <w:t xml:space="preserve">. Princeton University press, 1968.</w:t>
      </w:r>
    </w:p>
    <w:bookmarkEnd w:id="36"/>
    <w:bookmarkStart w:id="37" w:name="ref-aiken1973"/>
    <w:p>
      <w:pPr>
        <w:pStyle w:val="Bibliography"/>
      </w:pPr>
      <w:r>
        <w:t xml:space="preserve">Aiken, Conrad.</w:t>
      </w:r>
      <w:r>
        <w:t xml:space="preserve"> </w:t>
      </w:r>
      <w:r>
        <w:rPr>
          <w:iCs/>
          <w:i/>
        </w:rPr>
        <w:t xml:space="preserve">William Faulkner: The Novel as Form</w:t>
      </w:r>
      <w:r>
        <w:t xml:space="preserve">. Edited by Dean Morgan Schmitter, Mac Graw-Hill Book Company, 1973, pp. 45–52.</w:t>
      </w:r>
    </w:p>
    <w:bookmarkEnd w:id="37"/>
    <w:bookmarkStart w:id="39" w:name="ref-attridge1989"/>
    <w:p>
      <w:pPr>
        <w:pStyle w:val="Bibliography"/>
      </w:pPr>
      <w:r>
        <w:t xml:space="preserve">Attridge, Derek.</w:t>
      </w:r>
      <w:r>
        <w:t xml:space="preserve"> </w:t>
      </w:r>
      <w:r>
        <w:t xml:space="preserve">“Molly’s Flow: The Writing of</w:t>
      </w:r>
      <w:r>
        <w:t xml:space="preserve"> </w:t>
      </w:r>
      <w:r>
        <w:t xml:space="preserve">"</w:t>
      </w:r>
      <w:r>
        <w:t xml:space="preserve">Penelope</w:t>
      </w:r>
      <w:r>
        <w:t xml:space="preserve">"</w:t>
      </w:r>
      <w:r>
        <w:t xml:space="preserve"> </w:t>
      </w:r>
      <w:r>
        <w:t xml:space="preserve">and the Question of Women’s Language.”</w:t>
      </w:r>
      <w:r>
        <w:t xml:space="preserve"> </w:t>
      </w:r>
      <w:r>
        <w:rPr>
          <w:iCs/>
          <w:i/>
        </w:rPr>
        <w:t xml:space="preserve">Modern Fiction Studies</w:t>
      </w:r>
      <w:r>
        <w:t xml:space="preserve">, vol. 35, no. 3, 1989, pp. 543–65,</w:t>
      </w:r>
      <w:r>
        <w:t xml:space="preserve"> </w:t>
      </w:r>
      <w:hyperlink r:id="rId38">
        <w:r>
          <w:rPr>
            <w:rStyle w:val="Hyperlink"/>
          </w:rPr>
          <w:t xml:space="preserve">https://doi.org/10.1353/mfs.0.0210</w:t>
        </w:r>
      </w:hyperlink>
      <w:r>
        <w:t xml:space="preserve">.</w:t>
      </w:r>
    </w:p>
    <w:bookmarkEnd w:id="39"/>
    <w:bookmarkStart w:id="40" w:name="ref-beck1976"/>
    <w:p>
      <w:pPr>
        <w:pStyle w:val="Bibliography"/>
      </w:pPr>
      <w:r>
        <w:t xml:space="preserve">Beck, Warren.</w:t>
      </w:r>
      <w:r>
        <w:t xml:space="preserve"> </w:t>
      </w:r>
      <w:r>
        <w:rPr>
          <w:iCs/>
          <w:i/>
        </w:rPr>
        <w:t xml:space="preserve">Faulkner: Essays</w:t>
      </w:r>
      <w:r>
        <w:t xml:space="preserve">. University of Wisconsin Press, 1976.</w:t>
      </w:r>
    </w:p>
    <w:bookmarkEnd w:id="40"/>
    <w:bookmarkStart w:id="41" w:name="ref-chen2002"/>
    <w:p>
      <w:pPr>
        <w:pStyle w:val="Bibliography"/>
      </w:pPr>
      <w:r>
        <w:t xml:space="preserve">Chen, Peter Y., and Paula M. Popovich.</w:t>
      </w:r>
      <w:r>
        <w:t xml:space="preserve"> </w:t>
      </w:r>
      <w:r>
        <w:rPr>
          <w:iCs/>
          <w:i/>
        </w:rPr>
        <w:t xml:space="preserve">Correlation: Parametric and Nonparametric Measures</w:t>
      </w:r>
      <w:r>
        <w:t xml:space="preserve">. Sage, 2002.</w:t>
      </w:r>
    </w:p>
    <w:bookmarkEnd w:id="41"/>
    <w:bookmarkStart w:id="42" w:name="ref-cohen1988"/>
    <w:p>
      <w:pPr>
        <w:pStyle w:val="Bibliography"/>
      </w:pPr>
      <w:r>
        <w:t xml:space="preserve">Cohen, Jacob.</w:t>
      </w:r>
      <w:r>
        <w:t xml:space="preserve"> </w:t>
      </w:r>
      <w:r>
        <w:rPr>
          <w:iCs/>
          <w:i/>
        </w:rPr>
        <w:t xml:space="preserve">Statistical Power Analysis for the Behavioral Sciences</w:t>
      </w:r>
      <w:r>
        <w:t xml:space="preserve">. 2nd ed, L. Erlbaum Associates, 1988.</w:t>
      </w:r>
    </w:p>
    <w:bookmarkEnd w:id="42"/>
    <w:bookmarkStart w:id="43" w:name="ref-devoto1995"/>
    <w:p>
      <w:pPr>
        <w:pStyle w:val="Bibliography"/>
      </w:pPr>
      <w:r>
        <w:t xml:space="preserve">DeVoto, Bernard.</w:t>
      </w:r>
      <w:r>
        <w:t xml:space="preserve"> </w:t>
      </w:r>
      <w:r>
        <w:rPr>
          <w:iCs/>
          <w:i/>
        </w:rPr>
        <w:t xml:space="preserve">"</w:t>
      </w:r>
      <w:r>
        <w:rPr>
          <w:iCs/>
          <w:i/>
        </w:rPr>
        <w:t xml:space="preserve">Witchcraft in Mississippi.</w:t>
      </w:r>
      <w:r>
        <w:rPr>
          <w:iCs/>
          <w:i/>
        </w:rPr>
        <w:t xml:space="preserve">"</w:t>
      </w:r>
      <w:r>
        <w:rPr>
          <w:iCs/>
          <w:i/>
        </w:rPr>
        <w:t xml:space="preserve"> </w:t>
      </w:r>
      <w:r>
        <w:rPr>
          <w:iCs/>
          <w:i/>
        </w:rPr>
        <w:t xml:space="preserve">Saturday Review of Literature, 15 (October 31, 1936), 3-4, 14</w:t>
      </w:r>
      <w:r>
        <w:t xml:space="preserve">. Edited by M. Thomas Inge, Cambridge University Press, 1995, pp. 144–49.</w:t>
      </w:r>
    </w:p>
    <w:bookmarkEnd w:id="43"/>
    <w:bookmarkStart w:id="45" w:name="ref-fanzun2022"/>
    <w:p>
      <w:pPr>
        <w:pStyle w:val="Bibliography"/>
      </w:pPr>
      <w:r>
        <w:t xml:space="preserve">Fanzun, Sebastian.</w:t>
      </w:r>
      <w:r>
        <w:t xml:space="preserve"> </w:t>
      </w:r>
      <w:r>
        <w:rPr>
          <w:iCs/>
          <w:i/>
        </w:rPr>
        <w:t xml:space="preserve">Faulkner and Formalism</w:t>
      </w:r>
      <w:r>
        <w:t xml:space="preserve">. Edited by Sarah Gleeson-White and Pardis Dabashi, 1st ed., Cambridge University Press, 2022, pp. 19–35,</w:t>
      </w:r>
      <w:r>
        <w:t xml:space="preserve"> </w:t>
      </w:r>
      <w:hyperlink r:id="rId44">
        <w:r>
          <w:rPr>
            <w:rStyle w:val="Hyperlink"/>
          </w:rPr>
          <w:t xml:space="preserve">https://doi.org/10.1017/9781108881654</w:t>
        </w:r>
      </w:hyperlink>
      <w:r>
        <w:t xml:space="preserve">.</w:t>
      </w:r>
    </w:p>
    <w:bookmarkEnd w:id="45"/>
    <w:bookmarkStart w:id="46" w:name="ref-faulkner2011b"/>
    <w:p>
      <w:pPr>
        <w:pStyle w:val="Bibliography"/>
      </w:pPr>
      <w:r>
        <w:t xml:space="preserve">Faulkner, William.</w:t>
      </w:r>
      <w:r>
        <w:t xml:space="preserve"> </w:t>
      </w:r>
      <w:r>
        <w:rPr>
          <w:iCs/>
          <w:i/>
        </w:rPr>
        <w:t xml:space="preserve">A Fable</w:t>
      </w:r>
      <w:r>
        <w:t xml:space="preserve">. 1st Vintage International ed, Vintage International/Vintage Books, 2011.</w:t>
      </w:r>
    </w:p>
    <w:bookmarkEnd w:id="46"/>
    <w:bookmarkStart w:id="47" w:name="ref-faulkner2011"/>
    <w:p>
      <w:pPr>
        <w:pStyle w:val="Bibliography"/>
      </w:pPr>
      <w:r>
        <w:t xml:space="preserve">---.</w:t>
      </w:r>
      <w:r>
        <w:t xml:space="preserve"> </w:t>
      </w:r>
      <w:r>
        <w:rPr>
          <w:iCs/>
          <w:i/>
        </w:rPr>
        <w:t xml:space="preserve">Absalom, Absalom!</w:t>
      </w:r>
      <w:r>
        <w:t xml:space="preserve"> Knopf Doubleday Publishing Group, 2011.</w:t>
      </w:r>
    </w:p>
    <w:bookmarkEnd w:id="47"/>
    <w:bookmarkStart w:id="48" w:name="ref-faulkner2011a"/>
    <w:p>
      <w:pPr>
        <w:pStyle w:val="Bibliography"/>
      </w:pPr>
      <w:r>
        <w:t xml:space="preserve">---.</w:t>
      </w:r>
      <w:r>
        <w:t xml:space="preserve"> </w:t>
      </w:r>
      <w:r>
        <w:rPr>
          <w:iCs/>
          <w:i/>
        </w:rPr>
        <w:t xml:space="preserve">Absalom, Absalom!</w:t>
      </w:r>
      <w:r>
        <w:t xml:space="preserve"> Knopf Doubleday Publishing Group, 2011.</w:t>
      </w:r>
    </w:p>
    <w:bookmarkEnd w:id="48"/>
    <w:bookmarkStart w:id="50" w:name="ref-faulkner1957f"/>
    <w:p>
      <w:pPr>
        <w:pStyle w:val="Bibliography"/>
      </w:pPr>
      <w:r>
        <w:t xml:space="preserve">---.</w:t>
      </w:r>
      <w:r>
        <w:t xml:space="preserve"> </w:t>
      </w:r>
      <w:r>
        <w:rPr>
          <w:iCs/>
          <w:i/>
        </w:rPr>
        <w:t xml:space="preserve">English Department Faculty and Wives</w:t>
      </w:r>
      <w:r>
        <w:t xml:space="preserve">. 13 May 1957,</w:t>
      </w:r>
      <w:r>
        <w:t xml:space="preserve"> </w:t>
      </w:r>
      <w:hyperlink r:id="rId49">
        <w:r>
          <w:rPr>
            <w:rStyle w:val="Hyperlink"/>
          </w:rPr>
          <w:t xml:space="preserve">https://faulkner.lib.virginia.edu/display/wfaudio13.html</w:t>
        </w:r>
      </w:hyperlink>
      <w:r>
        <w:t xml:space="preserve">.</w:t>
      </w:r>
    </w:p>
    <w:bookmarkEnd w:id="50"/>
    <w:bookmarkStart w:id="51" w:name="ref-faulkner2011c"/>
    <w:p>
      <w:pPr>
        <w:pStyle w:val="Bibliography"/>
      </w:pPr>
      <w:r>
        <w:t xml:space="preserve">---.</w:t>
      </w:r>
      <w:r>
        <w:t xml:space="preserve"> </w:t>
      </w:r>
      <w:r>
        <w:rPr>
          <w:iCs/>
          <w:i/>
        </w:rPr>
        <w:t xml:space="preserve">Intruder in the Dust</w:t>
      </w:r>
      <w:r>
        <w:t xml:space="preserve">. Vintage International, 2011.</w:t>
      </w:r>
    </w:p>
    <w:bookmarkEnd w:id="51"/>
    <w:bookmarkStart w:id="53" w:name="ref-faulkner1957d"/>
    <w:p>
      <w:pPr>
        <w:pStyle w:val="Bibliography"/>
      </w:pPr>
      <w:r>
        <w:t xml:space="preserve">---.</w:t>
      </w:r>
      <w:r>
        <w:t xml:space="preserve"> </w:t>
      </w:r>
      <w:r>
        <w:rPr>
          <w:iCs/>
          <w:i/>
        </w:rPr>
        <w:t xml:space="preserve">Local and UVA Communities, Tape 1</w:t>
      </w:r>
      <w:r>
        <w:t xml:space="preserve">. 30 May 1957,</w:t>
      </w:r>
      <w:r>
        <w:t xml:space="preserve"> </w:t>
      </w:r>
      <w:hyperlink r:id="rId52">
        <w:r>
          <w:rPr>
            <w:rStyle w:val="Hyperlink"/>
          </w:rPr>
          <w:t xml:space="preserve">https://faulkner.lib.virginia.edu/display/wfaudio18_1.html</w:t>
        </w:r>
      </w:hyperlink>
      <w:r>
        <w:t xml:space="preserve">.</w:t>
      </w:r>
    </w:p>
    <w:bookmarkEnd w:id="53"/>
    <w:bookmarkStart w:id="54" w:name="ref-faulknera"/>
    <w:p>
      <w:pPr>
        <w:pStyle w:val="Bibliography"/>
      </w:pPr>
      <w:r>
        <w:t xml:space="preserve">---.</w:t>
      </w:r>
      <w:r>
        <w:t xml:space="preserve"> </w:t>
      </w:r>
      <w:r>
        <w:rPr>
          <w:iCs/>
          <w:i/>
        </w:rPr>
        <w:t xml:space="preserve">"</w:t>
      </w:r>
      <w:r>
        <w:rPr>
          <w:iCs/>
          <w:i/>
        </w:rPr>
        <w:t xml:space="preserve">Miss Zilphia Gant,</w:t>
      </w:r>
      <w:r>
        <w:rPr>
          <w:iCs/>
          <w:i/>
        </w:rPr>
        <w:t xml:space="preserve">"</w:t>
      </w:r>
      <w:r>
        <w:rPr>
          <w:iCs/>
          <w:i/>
        </w:rPr>
        <w:t xml:space="preserve"> </w:t>
      </w:r>
      <w:r>
        <w:rPr>
          <w:iCs/>
          <w:i/>
        </w:rPr>
        <w:t xml:space="preserve">Bound Typescript 18 p.</w:t>
      </w:r>
    </w:p>
    <w:bookmarkEnd w:id="54"/>
    <w:bookmarkStart w:id="55" w:name="ref-faulkner1991"/>
    <w:p>
      <w:pPr>
        <w:pStyle w:val="Bibliography"/>
      </w:pPr>
      <w:r>
        <w:t xml:space="preserve">---.</w:t>
      </w:r>
      <w:r>
        <w:t xml:space="preserve"> </w:t>
      </w:r>
      <w:r>
        <w:rPr>
          <w:iCs/>
          <w:i/>
        </w:rPr>
        <w:t xml:space="preserve">The Hamlet: The Corrected Text</w:t>
      </w:r>
      <w:r>
        <w:t xml:space="preserve">. 1st Vintage International ed, Vintage Books, 1991.</w:t>
      </w:r>
    </w:p>
    <w:bookmarkEnd w:id="55"/>
    <w:bookmarkStart w:id="56" w:name="ref-faulkner1990"/>
    <w:p>
      <w:pPr>
        <w:pStyle w:val="Bibliography"/>
      </w:pPr>
      <w:r>
        <w:t xml:space="preserve">---.</w:t>
      </w:r>
      <w:r>
        <w:t xml:space="preserve"> </w:t>
      </w:r>
      <w:r>
        <w:rPr>
          <w:iCs/>
          <w:i/>
        </w:rPr>
        <w:t xml:space="preserve">The Sound and the Fury: The Corrected Text</w:t>
      </w:r>
      <w:r>
        <w:t xml:space="preserve">. 1st Vintage International ed, Vintage Books, 1990.</w:t>
      </w:r>
    </w:p>
    <w:bookmarkEnd w:id="56"/>
    <w:bookmarkStart w:id="57" w:name="ref-faulkner1997"/>
    <w:p>
      <w:pPr>
        <w:pStyle w:val="Bibliography"/>
      </w:pPr>
      <w:r>
        <w:t xml:space="preserve">---.</w:t>
      </w:r>
      <w:r>
        <w:t xml:space="preserve"> </w:t>
      </w:r>
      <w:r>
        <w:rPr>
          <w:iCs/>
          <w:i/>
        </w:rPr>
        <w:t xml:space="preserve">Uncollected Stories of William Faulkner</w:t>
      </w:r>
      <w:r>
        <w:t xml:space="preserve">. Edited by Joseph Blotner, Vintage International edition, Vintage International, 1997.</w:t>
      </w:r>
    </w:p>
    <w:bookmarkEnd w:id="57"/>
    <w:bookmarkStart w:id="58" w:name="ref-faulkner1997a"/>
    <w:p>
      <w:pPr>
        <w:pStyle w:val="Bibliography"/>
      </w:pPr>
      <w:r>
        <w:t xml:space="preserve">---.</w:t>
      </w:r>
      <w:r>
        <w:t xml:space="preserve"> </w:t>
      </w:r>
      <w:r>
        <w:rPr>
          <w:iCs/>
          <w:i/>
        </w:rPr>
        <w:t xml:space="preserve">Uncollected Stories of William Faulkner</w:t>
      </w:r>
      <w:r>
        <w:t xml:space="preserve">. Edited by Joseph Blotner, Vintage International edition, Vintage International, 1997.</w:t>
      </w:r>
    </w:p>
    <w:bookmarkEnd w:id="58"/>
    <w:bookmarkStart w:id="60" w:name="ref-faulkner1957e"/>
    <w:p>
      <w:pPr>
        <w:pStyle w:val="Bibliography"/>
      </w:pPr>
      <w:r>
        <w:t xml:space="preserve">---.</w:t>
      </w:r>
      <w:r>
        <w:t xml:space="preserve"> </w:t>
      </w:r>
      <w:r>
        <w:rPr>
          <w:iCs/>
          <w:i/>
        </w:rPr>
        <w:t xml:space="preserve">Undergraduate Literature Class</w:t>
      </w:r>
      <w:r>
        <w:t xml:space="preserve">. 3 Nov. 1957,</w:t>
      </w:r>
      <w:r>
        <w:t xml:space="preserve"> </w:t>
      </w:r>
      <w:hyperlink r:id="rId59">
        <w:r>
          <w:rPr>
            <w:rStyle w:val="Hyperlink"/>
          </w:rPr>
          <w:t xml:space="preserve">https://faulkner.lib.virginia.edu/display/wfaudio04.html</w:t>
        </w:r>
      </w:hyperlink>
      <w:r>
        <w:t xml:space="preserve">.</w:t>
      </w:r>
    </w:p>
    <w:bookmarkEnd w:id="60"/>
    <w:bookmarkStart w:id="62" w:name="ref-faulkner1957a"/>
    <w:p>
      <w:pPr>
        <w:pStyle w:val="Bibliography"/>
      </w:pPr>
      <w:r>
        <w:t xml:space="preserve">---.</w:t>
      </w:r>
      <w:r>
        <w:t xml:space="preserve"> </w:t>
      </w:r>
      <w:r>
        <w:rPr>
          <w:iCs/>
          <w:i/>
        </w:rPr>
        <w:t xml:space="preserve">Virginia Colleges Conference, Tape 1</w:t>
      </w:r>
      <w:r>
        <w:t xml:space="preserve">. 15 Apr. 1957,</w:t>
      </w:r>
      <w:r>
        <w:t xml:space="preserve"> </w:t>
      </w:r>
      <w:hyperlink r:id="rId61">
        <w:r>
          <w:rPr>
            <w:rStyle w:val="Hyperlink"/>
          </w:rPr>
          <w:t xml:space="preserve">https://faulkner.lib.virginia.edu/display/wfaudio07_1.html</w:t>
        </w:r>
      </w:hyperlink>
      <w:r>
        <w:t xml:space="preserve">.</w:t>
      </w:r>
    </w:p>
    <w:bookmarkEnd w:id="62"/>
    <w:bookmarkStart w:id="63" w:name="ref-faulkner1957b"/>
    <w:p>
      <w:pPr>
        <w:pStyle w:val="Bibliography"/>
      </w:pPr>
      <w:r>
        <w:t xml:space="preserve">---.</w:t>
      </w:r>
      <w:r>
        <w:t xml:space="preserve"> </w:t>
      </w:r>
      <w:r>
        <w:rPr>
          <w:iCs/>
          <w:i/>
        </w:rPr>
        <w:t xml:space="preserve">Virginia Colleges Conference, Tape 1</w:t>
      </w:r>
      <w:r>
        <w:t xml:space="preserve">. 15 Apr. 1957,</w:t>
      </w:r>
      <w:r>
        <w:t xml:space="preserve"> </w:t>
      </w:r>
      <w:hyperlink r:id="rId61">
        <w:r>
          <w:rPr>
            <w:rStyle w:val="Hyperlink"/>
          </w:rPr>
          <w:t xml:space="preserve">https://faulkner.lib.virginia.edu/display/wfaudio07_1.html</w:t>
        </w:r>
      </w:hyperlink>
      <w:r>
        <w:t xml:space="preserve">.</w:t>
      </w:r>
    </w:p>
    <w:bookmarkEnd w:id="63"/>
    <w:bookmarkStart w:id="64" w:name="ref-faulkner1957c"/>
    <w:p>
      <w:pPr>
        <w:pStyle w:val="Bibliography"/>
      </w:pPr>
      <w:r>
        <w:t xml:space="preserve">---.</w:t>
      </w:r>
      <w:r>
        <w:t xml:space="preserve"> </w:t>
      </w:r>
      <w:r>
        <w:rPr>
          <w:iCs/>
          <w:i/>
        </w:rPr>
        <w:t xml:space="preserve">Virginia Colleges Conference, Tape 1</w:t>
      </w:r>
      <w:r>
        <w:t xml:space="preserve">. 15 Apr. 1957,</w:t>
      </w:r>
      <w:r>
        <w:t xml:space="preserve"> </w:t>
      </w:r>
      <w:hyperlink r:id="rId61">
        <w:r>
          <w:rPr>
            <w:rStyle w:val="Hyperlink"/>
          </w:rPr>
          <w:t xml:space="preserve">https://faulkner.lib.virginia.edu/display/wfaudio07_1.html</w:t>
        </w:r>
      </w:hyperlink>
      <w:r>
        <w:t xml:space="preserve">.</w:t>
      </w:r>
    </w:p>
    <w:bookmarkEnd w:id="64"/>
    <w:bookmarkStart w:id="66" w:name="ref-faulkner1957"/>
    <w:p>
      <w:pPr>
        <w:pStyle w:val="Bibliography"/>
      </w:pPr>
      <w:r>
        <w:t xml:space="preserve">---.</w:t>
      </w:r>
      <w:r>
        <w:t xml:space="preserve"> </w:t>
      </w:r>
      <w:r>
        <w:rPr>
          <w:iCs/>
          <w:i/>
        </w:rPr>
        <w:t xml:space="preserve">Virginia Colleges Conference, Tape 2</w:t>
      </w:r>
      <w:r>
        <w:t xml:space="preserve">. 15 Apr. 1957,</w:t>
      </w:r>
      <w:r>
        <w:t xml:space="preserve"> </w:t>
      </w:r>
      <w:hyperlink r:id="rId65">
        <w:r>
          <w:rPr>
            <w:rStyle w:val="Hyperlink"/>
          </w:rPr>
          <w:t xml:space="preserve">https://faulkner.lib.virginia.edu/display/wfaudio07_2.html</w:t>
        </w:r>
      </w:hyperlink>
      <w:r>
        <w:t xml:space="preserve">.</w:t>
      </w:r>
    </w:p>
    <w:bookmarkEnd w:id="66"/>
    <w:bookmarkStart w:id="67" w:name="ref-hlavsa1991"/>
    <w:p>
      <w:pPr>
        <w:pStyle w:val="Bibliography"/>
      </w:pPr>
      <w:r>
        <w:t xml:space="preserve">Hlavsa, Virginia V. James.</w:t>
      </w:r>
      <w:r>
        <w:t xml:space="preserve"> </w:t>
      </w:r>
      <w:r>
        <w:rPr>
          <w:iCs/>
          <w:i/>
        </w:rPr>
        <w:t xml:space="preserve">Faulkner and the Thoroughly Modern Novel</w:t>
      </w:r>
      <w:r>
        <w:t xml:space="preserve">. University Press of Virginia, 1991.</w:t>
      </w:r>
    </w:p>
    <w:bookmarkEnd w:id="67"/>
    <w:bookmarkStart w:id="69" w:name="ref-hoover2014"/>
    <w:p>
      <w:pPr>
        <w:pStyle w:val="Bibliography"/>
      </w:pPr>
      <w:r>
        <w:t xml:space="preserve">Hoover, David L.</w:t>
      </w:r>
      <w:r>
        <w:t xml:space="preserve"> </w:t>
      </w:r>
      <w:r>
        <w:t xml:space="preserve">“Modes of Composition in Henry James: Dictation, Style, and What Maisie Knew.”</w:t>
      </w:r>
      <w:r>
        <w:t xml:space="preserve"> </w:t>
      </w:r>
      <w:r>
        <w:rPr>
          <w:iCs/>
          <w:i/>
        </w:rPr>
        <w:t xml:space="preserve">The Henry James Review</w:t>
      </w:r>
      <w:r>
        <w:t xml:space="preserve">, vol. 35, no. 3, 2014, pp. 257–77,</w:t>
      </w:r>
      <w:r>
        <w:t xml:space="preserve"> </w:t>
      </w:r>
      <w:hyperlink r:id="rId68">
        <w:r>
          <w:rPr>
            <w:rStyle w:val="Hyperlink"/>
          </w:rPr>
          <w:t xml:space="preserve">https://doi.org/10.1353/hjr.2014.0024</w:t>
        </w:r>
      </w:hyperlink>
      <w:r>
        <w:t xml:space="preserve">.</w:t>
      </w:r>
    </w:p>
    <w:bookmarkEnd w:id="69"/>
    <w:bookmarkStart w:id="71" w:name="ref-hubert2008"/>
    <w:p>
      <w:pPr>
        <w:pStyle w:val="Bibliography"/>
      </w:pPr>
      <w:r>
        <w:t xml:space="preserve">Hubert, Mia, and Ellen Vandervieren.</w:t>
      </w:r>
      <w:r>
        <w:t xml:space="preserve"> </w:t>
      </w:r>
      <w:r>
        <w:t xml:space="preserve">“An Adjusted Boxplot for Skewed Distributions.”</w:t>
      </w:r>
      <w:r>
        <w:t xml:space="preserve"> </w:t>
      </w:r>
      <w:r>
        <w:rPr>
          <w:iCs/>
          <w:i/>
        </w:rPr>
        <w:t xml:space="preserve">Computational Statistics &amp; Data Analysis</w:t>
      </w:r>
      <w:r>
        <w:t xml:space="preserve">, vol. 52, no. 12, 2008, p. 51865201,</w:t>
      </w:r>
      <w:r>
        <w:t xml:space="preserve"> </w:t>
      </w:r>
      <w:hyperlink r:id="rId70">
        <w:r>
          <w:rPr>
            <w:rStyle w:val="Hyperlink"/>
          </w:rPr>
          <w:t xml:space="preserve">https://doi.org/10.1016/j.csda.2007.11.008</w:t>
        </w:r>
      </w:hyperlink>
      <w:r>
        <w:t xml:space="preserve">.</w:t>
      </w:r>
    </w:p>
    <w:bookmarkEnd w:id="71"/>
    <w:bookmarkStart w:id="73" w:name="ref-ihrmark2021"/>
    <w:p>
      <w:pPr>
        <w:pStyle w:val="Bibliography"/>
      </w:pPr>
      <w:r>
        <w:t xml:space="preserve">Ihrmark, Daniel, and Johan Nilsson.</w:t>
      </w:r>
      <w:r>
        <w:t xml:space="preserve"> </w:t>
      </w:r>
      <w:r>
        <w:t xml:space="preserve">“A Corpus Stylistic Analysis of Development in Hemingway’s Literary Production.”</w:t>
      </w:r>
      <w:r>
        <w:t xml:space="preserve"> </w:t>
      </w:r>
      <w:r>
        <w:rPr>
          <w:iCs/>
          <w:i/>
        </w:rPr>
        <w:t xml:space="preserve">The Hemingway Review</w:t>
      </w:r>
      <w:r>
        <w:t xml:space="preserve">, vol. 40, no. 2, 2021, pp. 71–93,</w:t>
      </w:r>
      <w:r>
        <w:t xml:space="preserve"> </w:t>
      </w:r>
      <w:hyperlink r:id="rId72">
        <w:r>
          <w:rPr>
            <w:rStyle w:val="Hyperlink"/>
          </w:rPr>
          <w:t xml:space="preserve">https://doi.org/10.1353/hem.2021.0005</w:t>
        </w:r>
      </w:hyperlink>
      <w:r>
        <w:t xml:space="preserve">.</w:t>
      </w:r>
    </w:p>
    <w:bookmarkEnd w:id="73"/>
    <w:bookmarkStart w:id="74" w:name="ref-millard2013"/>
    <w:p>
      <w:pPr>
        <w:pStyle w:val="Bibliography"/>
      </w:pPr>
      <w:r>
        <w:t xml:space="preserve">Millard, Steven P.</w:t>
      </w:r>
      <w:r>
        <w:t xml:space="preserve"> </w:t>
      </w:r>
      <w:r>
        <w:rPr>
          <w:iCs/>
          <w:i/>
        </w:rPr>
        <w:t xml:space="preserve">EnvStats: An r Package for Environmental Statistics</w:t>
      </w:r>
      <w:r>
        <w:t xml:space="preserve">. Springer, 2013.</w:t>
      </w:r>
    </w:p>
    <w:bookmarkEnd w:id="74"/>
    <w:bookmarkStart w:id="76" w:name="ref-newman2005"/>
    <w:p>
      <w:pPr>
        <w:pStyle w:val="Bibliography"/>
      </w:pPr>
      <w:r>
        <w:t xml:space="preserve">Newman, Mej.</w:t>
      </w:r>
      <w:r>
        <w:t xml:space="preserve"> </w:t>
      </w:r>
      <w:r>
        <w:t xml:space="preserve">“Power Laws, Pareto Distributions and Zipf’s Law.”</w:t>
      </w:r>
      <w:r>
        <w:t xml:space="preserve"> </w:t>
      </w:r>
      <w:r>
        <w:rPr>
          <w:iCs/>
          <w:i/>
        </w:rPr>
        <w:t xml:space="preserve">Contemporary Physics</w:t>
      </w:r>
      <w:r>
        <w:t xml:space="preserve">, vol. 46, no. 5, Sept. 2005, pp. 323–51,</w:t>
      </w:r>
      <w:r>
        <w:t xml:space="preserve"> </w:t>
      </w:r>
      <w:hyperlink r:id="rId75">
        <w:r>
          <w:rPr>
            <w:rStyle w:val="Hyperlink"/>
          </w:rPr>
          <w:t xml:space="preserve">https://doi.org/10.1080/00107510500052444</w:t>
        </w:r>
      </w:hyperlink>
      <w:r>
        <w:t xml:space="preserve">.</w:t>
      </w:r>
    </w:p>
    <w:bookmarkEnd w:id="76"/>
    <w:bookmarkStart w:id="77" w:name="ref-nunberg1990"/>
    <w:p>
      <w:pPr>
        <w:pStyle w:val="Bibliography"/>
      </w:pPr>
      <w:r>
        <w:t xml:space="preserve">Nunberg, Geoffrey.</w:t>
      </w:r>
      <w:r>
        <w:t xml:space="preserve"> </w:t>
      </w:r>
      <w:r>
        <w:rPr>
          <w:iCs/>
          <w:i/>
        </w:rPr>
        <w:t xml:space="preserve">The Linguistics of Punctuation</w:t>
      </w:r>
      <w:r>
        <w:t xml:space="preserve">. Center for the Study of Language (CSLI), 1990.</w:t>
      </w:r>
    </w:p>
    <w:bookmarkEnd w:id="77"/>
    <w:bookmarkStart w:id="78" w:name="ref-nunberg1990a"/>
    <w:p>
      <w:pPr>
        <w:pStyle w:val="Bibliography"/>
      </w:pPr>
      <w:r>
        <w:t xml:space="preserve">---.</w:t>
      </w:r>
      <w:r>
        <w:t xml:space="preserve"> </w:t>
      </w:r>
      <w:r>
        <w:rPr>
          <w:iCs/>
          <w:i/>
        </w:rPr>
        <w:t xml:space="preserve">The Linguistics of Punctuation</w:t>
      </w:r>
      <w:r>
        <w:t xml:space="preserve">. Center for the Study of Language (CSLI), 1990.</w:t>
      </w:r>
    </w:p>
    <w:bookmarkEnd w:id="78"/>
    <w:bookmarkStart w:id="79" w:name="ref-polk1998"/>
    <w:p>
      <w:pPr>
        <w:pStyle w:val="Bibliography"/>
      </w:pPr>
      <w:r>
        <w:t xml:space="preserve">Polk, Noel.</w:t>
      </w:r>
      <w:r>
        <w:t xml:space="preserve"> </w:t>
      </w:r>
      <w:r>
        <w:rPr>
          <w:iCs/>
          <w:i/>
        </w:rPr>
        <w:t xml:space="preserve">Children of the Dark House: Text and Context in Faulkner</w:t>
      </w:r>
      <w:r>
        <w:t xml:space="preserve">. Univ. Press of Mississippi, 1998.</w:t>
      </w:r>
    </w:p>
    <w:bookmarkEnd w:id="79"/>
    <w:bookmarkStart w:id="81" w:name="ref-railton2017"/>
    <w:p>
      <w:pPr>
        <w:pStyle w:val="Bibliography"/>
      </w:pPr>
      <w:r>
        <w:t xml:space="preserve">Railton, Stephen.</w:t>
      </w:r>
      <w:r>
        <w:t xml:space="preserve"> </w:t>
      </w:r>
      <w:r>
        <w:rPr>
          <w:iCs/>
          <w:i/>
        </w:rPr>
        <w:t xml:space="preserve">Manuscripts &amp;c:</w:t>
      </w:r>
      <w:r>
        <w:rPr>
          <w:iCs/>
          <w:i/>
        </w:rPr>
        <w:t xml:space="preserve"> </w:t>
      </w:r>
      <w:r>
        <w:rPr>
          <w:iCs/>
          <w:i/>
        </w:rPr>
        <w:t xml:space="preserve">“</w:t>
      </w:r>
      <w:r>
        <w:rPr>
          <w:iCs/>
          <w:i/>
        </w:rPr>
        <w:t xml:space="preserve">Miss Zilphia Gant</w:t>
      </w:r>
      <w:r>
        <w:rPr>
          <w:iCs/>
          <w:i/>
        </w:rPr>
        <w:t xml:space="preserve">"</w:t>
      </w:r>
      <w:r>
        <w:t xml:space="preserve">. 2017,</w:t>
      </w:r>
      <w:r>
        <w:t xml:space="preserve"> </w:t>
      </w:r>
      <w:hyperlink r:id="rId80">
        <w:r>
          <w:rPr>
            <w:rStyle w:val="Hyperlink"/>
          </w:rPr>
          <w:t xml:space="preserve">https://faulkner.drupal.shanti.virginia.edu/node/18509?canvas</w:t>
        </w:r>
      </w:hyperlink>
      <w:r>
        <w:t xml:space="preserve">.</w:t>
      </w:r>
    </w:p>
    <w:bookmarkEnd w:id="81"/>
    <w:bookmarkStart w:id="82" w:name="ref-RN37"/>
    <w:p>
      <w:pPr>
        <w:pStyle w:val="Bibliography"/>
      </w:pPr>
      <w:r>
        <w:t xml:space="preserve">Rudnicka, Karolina.</w:t>
      </w:r>
      <w:r>
        <w:t xml:space="preserve"> </w:t>
      </w:r>
      <w:r>
        <w:rPr>
          <w:iCs/>
          <w:i/>
        </w:rPr>
        <w:t xml:space="preserve">Variation of Sentence Length Across Time and Genre: Influence on Syntactic Usage in English</w:t>
      </w:r>
      <w:r>
        <w:t xml:space="preserve">. Edited by Richard J. Whitt, John Benjamins Publishing Company, 2018.</w:t>
      </w:r>
    </w:p>
    <w:bookmarkEnd w:id="82"/>
    <w:bookmarkStart w:id="84" w:name="ref-schou2007"/>
    <w:p>
      <w:pPr>
        <w:pStyle w:val="Bibliography"/>
      </w:pPr>
      <w:r>
        <w:t xml:space="preserve">Schou, Karsten.</w:t>
      </w:r>
      <w:r>
        <w:t xml:space="preserve"> </w:t>
      </w:r>
      <w:r>
        <w:t xml:space="preserve">“The Syntactic Status of English Punctuation.”</w:t>
      </w:r>
      <w:r>
        <w:t xml:space="preserve"> </w:t>
      </w:r>
      <w:r>
        <w:rPr>
          <w:iCs/>
          <w:i/>
        </w:rPr>
        <w:t xml:space="preserve">English Studies</w:t>
      </w:r>
      <w:r>
        <w:t xml:space="preserve">, vol. 88, no. 2, Apr. 2007, pp. 195–216,</w:t>
      </w:r>
      <w:r>
        <w:t xml:space="preserve"> </w:t>
      </w:r>
      <w:hyperlink r:id="rId83">
        <w:r>
          <w:rPr>
            <w:rStyle w:val="Hyperlink"/>
          </w:rPr>
          <w:t xml:space="preserve">https://doi.org/10.1080/00138380601042790</w:t>
        </w:r>
      </w:hyperlink>
      <w:r>
        <w:t xml:space="preserve">.</w:t>
      </w:r>
    </w:p>
    <w:bookmarkEnd w:id="84"/>
    <w:bookmarkStart w:id="86" w:name="ref-sun2018"/>
    <w:p>
      <w:pPr>
        <w:pStyle w:val="Bibliography"/>
      </w:pPr>
      <w:r>
        <w:t xml:space="preserve">Sun, Kun, and Rong Wang.</w:t>
      </w:r>
      <w:r>
        <w:t xml:space="preserve"> </w:t>
      </w:r>
      <w:r>
        <w:t xml:space="preserve">“Frequency Distributions of Punctuation Marks in English: Evidence from Large-Scale Corpora.”</w:t>
      </w:r>
      <w:r>
        <w:t xml:space="preserve"> </w:t>
      </w:r>
      <w:r>
        <w:rPr>
          <w:iCs/>
          <w:i/>
        </w:rPr>
        <w:t xml:space="preserve">English Today</w:t>
      </w:r>
      <w:r>
        <w:t xml:space="preserve">, Dec. 2018,</w:t>
      </w:r>
      <w:r>
        <w:t xml:space="preserve"> </w:t>
      </w:r>
      <w:hyperlink r:id="rId85">
        <w:r>
          <w:rPr>
            <w:rStyle w:val="Hyperlink"/>
          </w:rPr>
          <w:t xml:space="preserve">https://doi.org/10.1017/S0266078418000512</w:t>
        </w:r>
      </w:hyperlink>
      <w:r>
        <w:t xml:space="preserve">.</w:t>
      </w:r>
    </w:p>
    <w:bookmarkEnd w:id="86"/>
    <w:bookmarkStart w:id="88" w:name="ref-vanoconnor1958"/>
    <w:p>
      <w:pPr>
        <w:pStyle w:val="Bibliography"/>
      </w:pPr>
      <w:r>
        <w:t xml:space="preserve">Van O’Connor, William.</w:t>
      </w:r>
      <w:r>
        <w:t xml:space="preserve"> </w:t>
      </w:r>
      <w:r>
        <w:t xml:space="preserve">“Faulkner.”</w:t>
      </w:r>
      <w:r>
        <w:t xml:space="preserve"> </w:t>
      </w:r>
      <w:r>
        <w:rPr>
          <w:iCs/>
          <w:i/>
        </w:rPr>
        <w:t xml:space="preserve">The Georgia Review</w:t>
      </w:r>
      <w:r>
        <w:t xml:space="preserve">, vol. 12, no. 1, 1958, pp. 83–86,</w:t>
      </w:r>
      <w:r>
        <w:t xml:space="preserve"> </w:t>
      </w:r>
      <w:hyperlink r:id="rId87">
        <w:r>
          <w:rPr>
            <w:rStyle w:val="Hyperlink"/>
          </w:rPr>
          <w:t xml:space="preserve">https://www.jstor.org/stable/41395494</w:t>
        </w:r>
      </w:hyperlink>
      <w:r>
        <w:t xml:space="preserve">.</w:t>
      </w:r>
    </w:p>
    <w:bookmarkEnd w:id="88"/>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w:t>
      </w:r>
      <w:r>
        <w:t xml:space="preserve"> </w:t>
      </w:r>
      <w:r>
        <w:t xml:space="preserve">(Hlavsa 51–53)</w:t>
      </w:r>
      <w:r>
        <w:t xml:space="preserve">.</w:t>
      </w:r>
    </w:p>
  </w:footnote>
  <w:footnote w:id="22">
    <w:p>
      <w:pPr>
        <w:pStyle w:val="FootnoteText"/>
      </w:pPr>
      <w:r>
        <w:rPr>
          <w:rStyle w:val="FootnoteReference"/>
        </w:rPr>
        <w:footnoteRef/>
      </w:r>
      <w:r>
        <w:t xml:space="preserve"> </w:t>
      </w:r>
      <w:r>
        <w:t xml:space="preserve">Some works of note in this regard are: Phillips Weinstein’s</w:t>
      </w:r>
      <w:r>
        <w:t xml:space="preserve"> </w:t>
      </w:r>
      <w:r>
        <w:rPr>
          <w:iCs/>
          <w:i/>
        </w:rPr>
        <w:t xml:space="preserve">Faulkner’s Subject</w:t>
      </w:r>
      <w:r>
        <w:t xml:space="preserve"> </w:t>
      </w:r>
      <w:r>
        <w:t xml:space="preserve">which unsettles the construction of race and gender in his work andRichard Godden’s</w:t>
      </w:r>
      <w:r>
        <w:t xml:space="preserve"> </w:t>
      </w:r>
      <w:r>
        <w:rPr>
          <w:iCs/>
          <w:i/>
        </w:rPr>
        <w:t xml:space="preserve">William Faulkner: An Economy of Complex Words</w:t>
      </w:r>
      <w:r>
        <w:t xml:space="preserve">, which provides insight into economic structures that over-determine language.</w:t>
      </w:r>
    </w:p>
  </w:footnote>
  <w:footnote w:id="24">
    <w:p>
      <w:pPr>
        <w:pStyle w:val="FootnoteText"/>
      </w:pPr>
      <w:r>
        <w:rPr>
          <w:rStyle w:val="FootnoteReference"/>
        </w:rPr>
        <w:footnoteRef/>
      </w:r>
      <w:r>
        <w:t xml:space="preserve"> </w:t>
      </w:r>
      <w:r>
        <w:t xml:space="preserve">While it is theoretically possible to build a dynamic model of these punctuation changes, the very real practical challenge would be to digitize the typescript and manuscript pages to make them machine readable. Since no such corpus is available for the foreseable future, it makes sense to settle for the highly regarded versions created by Polk. Adhering, where possible to these editions, also allows for better alignment with the</w:t>
      </w:r>
      <w:r>
        <w:t xml:space="preserve"> </w:t>
      </w:r>
      <w:r>
        <w:rPr>
          <w:iCs/>
          <w:i/>
        </w:rPr>
        <w:t xml:space="preserve">Digital Yoknapatawpha</w:t>
      </w:r>
      <w:r>
        <w:t xml:space="preserve"> </w:t>
      </w:r>
      <w:r>
        <w:t xml:space="preserve">database, which used the Polk editions for data encoding. If these editions are imperfect, there is at least some assurance that it is the mostly likely version a modern reader will read.</w:t>
      </w:r>
    </w:p>
  </w:footnote>
  <w:footnote w:id="25">
    <w:p>
      <w:pPr>
        <w:pStyle w:val="FootnoteText"/>
      </w:pPr>
      <w:r>
        <w:rPr>
          <w:rStyle w:val="FootnoteReference"/>
        </w:rPr>
        <w:footnoteRef/>
      </w:r>
      <w:r>
        <w:t xml:space="preserve"> </w:t>
      </w:r>
      <w:r>
        <w:t xml:space="preserve">To simplify matters, his poetry and movie scripts can be left out of consideration for different reasons. The volume of poetry is so low that computational analysis is not a fruitful methodology. Movie scripts have multiple authors and the punctuation patterns will likely to vary too much from script to script. The only major Faulkner text that has been excluded from analysis is</w:t>
      </w:r>
      <w:r>
        <w:t xml:space="preserve"> </w:t>
      </w:r>
      <w:r>
        <w:rPr>
          <w:iCs/>
          <w:i/>
        </w:rPr>
        <w:t xml:space="preserve">Requiem for a Nun.</w:t>
      </w:r>
      <w:r>
        <w:t xml:space="preserve"> </w:t>
      </w:r>
      <w:r>
        <w:t xml:space="preserve">It hovers between novel and play, and also, as it happens contains one of Faulkner’s longest sentences. Yet, since much of the text is written in the form of a play, it was excluded from analysis.</w:t>
      </w:r>
    </w:p>
  </w:footnote>
  <w:footnote w:id="27">
    <w:p>
      <w:pPr>
        <w:pStyle w:val="FootnoteText"/>
      </w:pPr>
      <w:r>
        <w:rPr>
          <w:rStyle w:val="FootnoteReference"/>
        </w:rPr>
        <w:footnoteRef/>
      </w:r>
      <w:r>
        <w:t xml:space="preserve"> </w:t>
      </w:r>
      <w:r>
        <w:t xml:space="preserve">Indeed, in an earlier piece on punctuation in</w:t>
      </w:r>
      <w:r>
        <w:t xml:space="preserve"> </w:t>
      </w:r>
      <w:r>
        <w:rPr>
          <w:iCs/>
          <w:i/>
        </w:rPr>
        <w:t xml:space="preserve">Absalom, Absalom!</w:t>
      </w:r>
      <w:r>
        <w:t xml:space="preserve"> </w:t>
      </w:r>
      <w:r>
        <w:t xml:space="preserve">sentence length was calculated by accounting for embedded quotation. This created sentences of, on average, 49 words per sentence, which is substantially higher than the 43 words per sentence arrived at in this paper that counts embedded quotes as individual sentences.</w:t>
      </w:r>
    </w:p>
  </w:footnote>
  <w:footnote w:id="29">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30">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 w:id="31">
    <w:p>
      <w:pPr>
        <w:pStyle w:val="FootnoteText"/>
      </w:pPr>
      <w:r>
        <w:rPr>
          <w:rStyle w:val="FootnoteReference"/>
        </w:rPr>
        <w:footnoteRef/>
      </w:r>
      <w:r>
        <w:t xml:space="preserve"> </w:t>
      </w:r>
      <w:r>
        <w:t xml:space="preserve">In theory, this rule does not necessarily to specific punctuation marks that are more strictly governed by the rules of grammar, such as colons, which generally do not exceed one per sentence.</w:t>
      </w:r>
    </w:p>
  </w:footnote>
  <w:footnote w:id="33">
    <w:p>
      <w:pPr>
        <w:pStyle w:val="FootnoteText"/>
      </w:pPr>
      <w:r>
        <w:rPr>
          <w:rStyle w:val="FootnoteReference"/>
        </w:rPr>
        <w:footnoteRef/>
      </w:r>
      <w:r>
        <w:t xml:space="preserve"> </w:t>
      </w:r>
      <w:r>
        <w:t xml:space="preserve">Unless otherwise indicated the threshold for significance was set at</w:t>
      </w:r>
      <w:r>
        <w:t xml:space="preserve"> </w:t>
      </w:r>
      <m:oMath>
        <m:r>
          <m:t>p</m:t>
        </m:r>
      </m:oMath>
      <w:r>
        <w:t xml:space="preserve">&lt;.05. More plainly, only correlations where there was a less than 5% chance of the pattern being random were included.</w:t>
      </w:r>
    </w:p>
  </w:footnote>
  <w:footnote w:id="35">
    <w:p>
      <w:pPr>
        <w:pStyle w:val="FootnoteText"/>
      </w:pPr>
      <w:r>
        <w:rPr>
          <w:rStyle w:val="FootnoteReference"/>
        </w:rPr>
        <w:footnoteRef/>
      </w:r>
      <w:r>
        <w:t xml:space="preserve"> </w:t>
      </w:r>
      <w:r>
        <w:t xml:space="preserve">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j.csda.2007.11.008" TargetMode="External" /><Relationship Type="http://schemas.openxmlformats.org/officeDocument/2006/relationships/hyperlink" Id="rId44" Target="https://doi.org/10.1017/9781108881654" TargetMode="External" /><Relationship Type="http://schemas.openxmlformats.org/officeDocument/2006/relationships/hyperlink" Id="rId85" Target="https://doi.org/10.1017/S0266078418000512" TargetMode="External" /><Relationship Type="http://schemas.openxmlformats.org/officeDocument/2006/relationships/hyperlink" Id="rId75" Target="https://doi.org/10.1080/00107510500052444" TargetMode="External" /><Relationship Type="http://schemas.openxmlformats.org/officeDocument/2006/relationships/hyperlink" Id="rId83" Target="https://doi.org/10.1080/00138380601042790" TargetMode="External" /><Relationship Type="http://schemas.openxmlformats.org/officeDocument/2006/relationships/hyperlink" Id="rId72" Target="https://doi.org/10.1353/hem.2021.0005" TargetMode="External" /><Relationship Type="http://schemas.openxmlformats.org/officeDocument/2006/relationships/hyperlink" Id="rId68" Target="https://doi.org/10.1353/hjr.2014.0024" TargetMode="External" /><Relationship Type="http://schemas.openxmlformats.org/officeDocument/2006/relationships/hyperlink" Id="rId38" Target="https://doi.org/10.1353/mfs.0.0210" TargetMode="External" /><Relationship Type="http://schemas.openxmlformats.org/officeDocument/2006/relationships/hyperlink" Id="rId80" Target="https://faulkner.drupal.shanti.virginia.edu/node/18509?canvas" TargetMode="External" /><Relationship Type="http://schemas.openxmlformats.org/officeDocument/2006/relationships/hyperlink" Id="rId59" Target="https://faulkner.lib.virginia.edu/display/wfaudio04.html" TargetMode="External" /><Relationship Type="http://schemas.openxmlformats.org/officeDocument/2006/relationships/hyperlink" Id="rId61" Target="https://faulkner.lib.virginia.edu/display/wfaudio07_1.html" TargetMode="External" /><Relationship Type="http://schemas.openxmlformats.org/officeDocument/2006/relationships/hyperlink" Id="rId65" Target="https://faulkner.lib.virginia.edu/display/wfaudio07_2.html" TargetMode="External" /><Relationship Type="http://schemas.openxmlformats.org/officeDocument/2006/relationships/hyperlink" Id="rId49" Target="https://faulkner.lib.virginia.edu/display/wfaudio13.html" TargetMode="External" /><Relationship Type="http://schemas.openxmlformats.org/officeDocument/2006/relationships/hyperlink" Id="rId52" Target="https://faulkner.lib.virginia.edu/display/wfaudio18_1.html" TargetMode="External" /><Relationship Type="http://schemas.openxmlformats.org/officeDocument/2006/relationships/hyperlink" Id="rId87" Target="https://www.jstor.org/stable/41395494"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j.csda.2007.11.008" TargetMode="External" /><Relationship Type="http://schemas.openxmlformats.org/officeDocument/2006/relationships/hyperlink" Id="rId44" Target="https://doi.org/10.1017/9781108881654" TargetMode="External" /><Relationship Type="http://schemas.openxmlformats.org/officeDocument/2006/relationships/hyperlink" Id="rId85" Target="https://doi.org/10.1017/S0266078418000512" TargetMode="External" /><Relationship Type="http://schemas.openxmlformats.org/officeDocument/2006/relationships/hyperlink" Id="rId75" Target="https://doi.org/10.1080/00107510500052444" TargetMode="External" /><Relationship Type="http://schemas.openxmlformats.org/officeDocument/2006/relationships/hyperlink" Id="rId83" Target="https://doi.org/10.1080/00138380601042790" TargetMode="External" /><Relationship Type="http://schemas.openxmlformats.org/officeDocument/2006/relationships/hyperlink" Id="rId72" Target="https://doi.org/10.1353/hem.2021.0005" TargetMode="External" /><Relationship Type="http://schemas.openxmlformats.org/officeDocument/2006/relationships/hyperlink" Id="rId68" Target="https://doi.org/10.1353/hjr.2014.0024" TargetMode="External" /><Relationship Type="http://schemas.openxmlformats.org/officeDocument/2006/relationships/hyperlink" Id="rId38" Target="https://doi.org/10.1353/mfs.0.0210" TargetMode="External" /><Relationship Type="http://schemas.openxmlformats.org/officeDocument/2006/relationships/hyperlink" Id="rId80" Target="https://faulkner.drupal.shanti.virginia.edu/node/18509?canvas" TargetMode="External" /><Relationship Type="http://schemas.openxmlformats.org/officeDocument/2006/relationships/hyperlink" Id="rId59" Target="https://faulkner.lib.virginia.edu/display/wfaudio04.html" TargetMode="External" /><Relationship Type="http://schemas.openxmlformats.org/officeDocument/2006/relationships/hyperlink" Id="rId61" Target="https://faulkner.lib.virginia.edu/display/wfaudio07_1.html" TargetMode="External" /><Relationship Type="http://schemas.openxmlformats.org/officeDocument/2006/relationships/hyperlink" Id="rId65" Target="https://faulkner.lib.virginia.edu/display/wfaudio07_2.html" TargetMode="External" /><Relationship Type="http://schemas.openxmlformats.org/officeDocument/2006/relationships/hyperlink" Id="rId49" Target="https://faulkner.lib.virginia.edu/display/wfaudio13.html" TargetMode="External" /><Relationship Type="http://schemas.openxmlformats.org/officeDocument/2006/relationships/hyperlink" Id="rId52" Target="https://faulkner.lib.virginia.edu/display/wfaudio18_1.html" TargetMode="External" /><Relationship Type="http://schemas.openxmlformats.org/officeDocument/2006/relationships/hyperlink" Id="rId87" Target="https://www.jstor.org/stable/413954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punctuation</dc:title>
  <dc:creator>Johannes Burgers</dc:creator>
  <cp:keywords/>
  <dcterms:created xsi:type="dcterms:W3CDTF">2024-03-02T20:00:19Z</dcterms:created>
  <dcterms:modified xsi:type="dcterms:W3CDTF">2024-03-02T20:00:19Z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modern-language-association.csl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