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platform report — Q2 2026</w:t>
      </w:r>
    </w:p>
    <w:p>
      <w:r>
        <w:t>Prepared by Tomas Beck, Vantabrook Ltd. Every figure below is invented.</w:t>
      </w:r>
    </w:p>
    <w:p>
      <w:pPr>
        <w:pStyle w:val="Heading1"/>
      </w:pPr>
      <w:r>
        <w:t>Revenue by region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Region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Q1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Q2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Q3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Q4 (est.)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Total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North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412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455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398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501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1,766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South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288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301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344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362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1,295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East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120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98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176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204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598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West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75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84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84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91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334</w:t>
            </w:r>
          </w:p>
        </w:tc>
      </w:tr>
      <w:tr>
        <w:tc>
          <w:tcPr>
            <w:tcW w:type="dxa" w:w="1928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1247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895</w:t>
            </w:r>
          </w:p>
        </w:tc>
        <w:tc>
          <w:tcPr>
            <w:tcW w:type="dxa" w:w="1247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938</w:t>
            </w:r>
          </w:p>
        </w:tc>
        <w:tc>
          <w:tcPr>
            <w:tcW w:type="dxa" w:w="1247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1,002</w:t>
            </w:r>
          </w:p>
        </w:tc>
        <w:tc>
          <w:tcPr>
            <w:tcW w:type="dxa" w:w="147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1,158</w:t>
            </w:r>
          </w:p>
        </w:tc>
        <w:tc>
          <w:tcPr>
            <w:tcW w:type="dxa" w:w="147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3,993</w:t>
            </w:r>
          </w:p>
        </w:tc>
      </w:tr>
    </w:tbl>
    <w:p>
      <w:pPr>
        <w:pStyle w:val="Caption"/>
      </w:pPr>
      <w:r>
        <w:t>Table 1. Revenue in thousands of units. Q4 is a forecast.</w:t>
      </w:r>
    </w:p>
    <w:p>
      <w:pPr>
        <w:pStyle w:val="Heading1"/>
      </w:pPr>
      <w:r>
        <w:t>Service levels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Service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Target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Achieved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Breaches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Cache read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99.9%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99.94%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Cache write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99.5%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99.61%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Import pipeline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98.0%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96.20%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Web console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99.9%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99.88%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</w:t>
            </w:r>
          </w:p>
        </w:tc>
      </w:tr>
    </w:tbl>
    <w:p>
      <w:pPr>
        <w:pStyle w:val="Caption"/>
      </w:pPr>
      <w:r>
        <w:t>Table 2. Availability against target, second quarter.</w:t>
      </w:r>
    </w:p>
    <w:p>
      <w:pPr>
        <w:pStyle w:val="Heading1"/>
      </w:pPr>
      <w:r>
        <w:t>Headcount, with merged cells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Merge w:val="restart"/>
          </w:tcPr>
          <w:p>
            <w:r/>
            <w:r>
              <w:rPr>
                <w:b/>
                <w:sz w:val="19"/>
              </w:rPr>
              <w:t>Team</w:t>
            </w:r>
          </w:p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4320"/>
            <w:gridSpan w:val="2"/>
          </w:tcPr>
          <w:p>
            <w:r/>
            <w:r>
              <w:rPr>
                <w:b/>
                <w:sz w:val="19"/>
              </w:rPr>
              <w:t>2026</w:t>
            </w:r>
          </w:p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2160"/>
            <w:vMerge w:val="restart"/>
          </w:tcPr>
          <w:p>
            <w:r/>
            <w:r>
              <w:rPr>
                <w:b/>
                <w:sz w:val="19"/>
              </w:rPr>
              <w:t>Change</w:t>
            </w:r>
          </w:p>
          <w:p>
            <w:r/>
            <w:r>
              <w:rPr>
                <w:b/>
                <w:sz w:val="19"/>
              </w:rPr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Q1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Q2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Platform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Mobile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</w:tbl>
    <w:p>
      <w:pPr>
        <w:pStyle w:val="Caption"/>
      </w:pPr>
      <w:r>
        <w:t>Table 3. A header spanning two rows and two columns.</w:t>
      </w:r>
    </w:p>
    <w:p>
      <w:pPr>
        <w:pStyle w:val="Heading1"/>
      </w:pPr>
      <w:r>
        <w:t>Commentary</w:t>
      </w:r>
    </w:p>
    <w:p>
      <w:r>
        <w:t>The import pipeline missed its target for the second quarter running. The cause is the per-record validation stage, whose cost grows with the size of the source file rather than with the number of changed records.</w:t>
      </w:r>
    </w:p>
    <w:p>
      <w:pPr>
        <w:pStyle w:val="ListBullet"/>
      </w:pPr>
      <w:r>
        <w:t>Batched validation is merged behind a flag and off by default.</w:t>
      </w:r>
    </w:p>
    <w:p>
      <w:pPr>
        <w:pStyle w:val="ListBullet"/>
      </w:pPr>
      <w:r>
        <w:t>A week of throughput measurements is due at the end of June.</w:t>
      </w:r>
    </w:p>
    <w:p>
      <w:pPr>
        <w:pStyle w:val="ListBullet"/>
      </w:pPr>
      <w:r>
        <w:t>No further work is planned until those numbers arrive.</w:t>
      </w:r>
    </w:p>
    <w:p>
      <w:r>
        <w:rPr>
          <w:i/>
        </w:rPr>
        <w:t>Next report: Q3 2026, due 15 October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platform report, Q2 2026</dc:title>
  <dc:subject>Sample report with tables</dc:subject>
  <dc:creator>sample-assets</dc:creator>
  <cp:keywords/>
  <dc:description>Fictional sample document from the sample-assets repository.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