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b/>
          <w:sz w:val="28"/>
        </w:rPr>
        <w:t>Vantabrook Ltd.</w:t>
      </w:r>
    </w:p>
    <w:p>
      <w:pPr>
        <w:spacing w:after="0"/>
        <w:jc w:val="right"/>
      </w:pPr>
      <w:r>
        <w:rPr>
          <w:b w:val="0"/>
          <w:sz w:val="18"/>
        </w:rPr>
        <w:t>44 Kestrel Row, Ashvale, Kingsford 20421</w:t>
      </w:r>
    </w:p>
    <w:p>
      <w:pPr>
        <w:spacing w:after="0"/>
        <w:jc w:val="right"/>
      </w:pPr>
      <w:r>
        <w:rPr>
          <w:b w:val="0"/>
          <w:sz w:val="18"/>
        </w:rPr>
        <w:t>+82 2 555 0100 · hello@example.com</w:t>
      </w:r>
    </w:p>
    <w:p>
      <w:pPr>
        <w:spacing w:after="240"/>
      </w:pPr>
    </w:p>
    <w:p>
      <w:pPr>
        <w:spacing w:after="0"/>
      </w:pPr>
      <w:r>
        <w:t>12 August 2026</w:t>
      </w:r>
    </w:p>
    <w:p>
      <w:pPr>
        <w:spacing w:after="0"/>
      </w:pPr>
    </w:p>
    <w:p>
      <w:pPr>
        <w:spacing w:after="0"/>
      </w:pPr>
      <w:r>
        <w:t>Ms Ines Alcazar</w:t>
      </w:r>
    </w:p>
    <w:p>
      <w:pPr>
        <w:spacing w:after="0"/>
      </w:pPr>
      <w:r>
        <w:t>Orrery Analytics</w:t>
      </w:r>
    </w:p>
    <w:p>
      <w:pPr>
        <w:spacing w:after="0"/>
      </w:pPr>
      <w:r>
        <w:t>9 Marrowfield Court</w:t>
      </w:r>
    </w:p>
    <w:p>
      <w:pPr>
        <w:spacing w:after="0"/>
      </w:pPr>
      <w:r>
        <w:t>Ashvale, Kingsford 20418</w:t>
      </w:r>
    </w:p>
    <w:p/>
    <w:p>
      <w:r>
        <w:t>Dear Ms Alcazar,</w:t>
      </w:r>
    </w:p>
    <w:p>
      <w:r>
        <w:rPr>
          <w:b/>
        </w:rPr>
        <w:t>Re: Renewal of the shared cache agreement (ref. VB-2026-118)</w:t>
      </w:r>
    </w:p>
    <w:p>
      <w:pPr>
        <w:jc w:val="both"/>
      </w:pPr>
      <w:r>
        <w:t>Thank you for your letter of 30 July. I am writing to confirm that we are able to extend the shared cache agreement between our two companies for a further twelve months, on the terms set out below.</w:t>
      </w:r>
    </w:p>
    <w:p>
      <w:pPr>
        <w:jc w:val="both"/>
      </w:pPr>
      <w:r>
        <w:t>The storage allowance rises from 200 to 500 gigabytes, and the retention window from thirty to ninety days. The monthly charge is unchanged for the first six months, after which it is reviewed against actual usage as described in clause 7.</w:t>
      </w:r>
    </w:p>
    <w:p>
      <w:pPr>
        <w:jc w:val="both"/>
      </w:pPr>
      <w:r>
        <w:t>If these terms are acceptable, please return a signed copy of the enclosed schedule before 5 September 2026. Should you wish to discuss any part of it first, my colleague Tomas Beck will be glad to arrange a call.</w:t>
      </w:r>
    </w:p>
    <w:p/>
    <w:p>
      <w:r>
        <w:t>Yours sincerely,</w:t>
      </w:r>
    </w:p>
    <w:p/>
    <w:p/>
    <w:p>
      <w:pPr>
        <w:spacing w:after="0"/>
      </w:pPr>
      <w:r>
        <w:rPr>
          <w:b/>
        </w:rPr>
        <w:t>Dana Whitfield</w:t>
      </w:r>
    </w:p>
    <w:p>
      <w:r>
        <w:rPr>
          <w:sz w:val="18"/>
        </w:rPr>
        <w:t>Director of Platform, Vantabrook Ltd.</w:t>
      </w:r>
    </w:p>
    <w:p>
      <w:r>
        <w:rPr>
          <w:i/>
          <w:sz w:val="18"/>
        </w:rPr>
        <w:t>Enc. Schedule 2 (revised), one page</w:t>
      </w:r>
    </w:p>
    <w:p>
      <w:r>
        <w:rPr>
          <w:i/>
          <w:color w:val="5C6470"/>
          <w:sz w:val="16"/>
        </w:rPr>
        <w:t>Fictional sample correspondence. The companies, the people, and the agreement described here do not exist.</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renewal of the shared cache agreement</dc:title>
  <dc:subject>Sample formal letter</dc:subject>
  <dc:creator>sample-assets</dc:creator>
  <cp:keywords/>
  <dc:description>Fictional sample document from the sample-assets repository.</dc:description>
  <cp:lastModifiedBy/>
  <cp:revision>1</cp:revision>
  <dcterms:created xsi:type="dcterms:W3CDTF">2013-12-23T23:15:00Z</dcterms:created>
  <dcterms:modified xsi:type="dcterms:W3CDTF">2013-12-23T23:15:00Z</dcterms:modified>
  <cp:category/>
</cp:coreProperties>
</file>