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build cache</w:t>
      </w:r>
    </w:p>
    <w:p>
      <w:pPr>
        <w:pStyle w:val="Subtitle"/>
      </w:pPr>
      <w:r>
        <w:t>A proposal for the platform group</w:t>
      </w:r>
    </w:p>
    <w:p>
      <w:r>
        <w:t>Prepared by Dana Whitfield · 4 August 2026 · Version 2 (draft)</w:t>
      </w:r>
    </w:p>
    <w:p>
      <w:pPr>
        <w:pStyle w:val="Heading1"/>
      </w:pPr>
      <w:r>
        <w:t>1. Summary</w:t>
      </w:r>
    </w:p>
    <w:p>
      <w:r>
        <w:t>Every team in the group rebuilds the same artefacts on every machine and on every runner. This proposal is to put one shared, content-addressed cache behind the task runner, so that a build already done anywhere is not done again.</w:t>
      </w:r>
    </w:p>
    <w:p>
      <w:pPr>
        <w:pStyle w:val="Heading1"/>
      </w:pPr>
      <w:r>
        <w:t>2. Problem</w:t>
      </w:r>
    </w:p>
    <w:p>
      <w:r>
        <w:t>Median CI time has grown from 11 to 26 minutes over two quarters, and roughly two thirds of that time reproduces work another runner did minutes earlier. The cost is paid twice: in the wait, and in the runner minutes.</w:t>
      </w:r>
    </w:p>
    <w:p>
      <w:pPr>
        <w:pStyle w:val="ListBullet"/>
      </w:pPr>
      <w:r>
        <w:t>Local caches never survive a fresh clone.</w:t>
      </w:r>
    </w:p>
    <w:p>
      <w:pPr>
        <w:pStyle w:val="ListBullet"/>
      </w:pPr>
      <w:r>
        <w:t>Runner caches are keyed by branch, so they miss after every merge.</w:t>
      </w:r>
    </w:p>
    <w:p>
      <w:pPr>
        <w:pStyle w:val="ListBullet"/>
      </w:pPr>
      <w:r>
        <w:t>Nobody can tell a key mismatch from an evicted entry today.</w:t>
      </w:r>
    </w:p>
    <w:p>
      <w:pPr>
        <w:pStyle w:val="Heading1"/>
      </w:pPr>
      <w:r>
        <w:t>3. Proposal</w:t>
      </w:r>
    </w:p>
    <w:p>
      <w:pPr>
        <w:pStyle w:val="Heading2"/>
      </w:pPr>
      <w:r>
        <w:t>3.1 Scope</w:t>
      </w:r>
    </w:p>
    <w:p>
      <w:r>
        <w:t>One cache service, one bucket, and a client built into the task runner. Reads are open to every team; writes are limited to trusted runners, so a poisoned entry cannot come from a fork.</w:t>
      </w:r>
    </w:p>
    <w:p>
      <w:pPr>
        <w:pStyle w:val="Heading2"/>
      </w:pPr>
      <w:r>
        <w:t>3.2 Out of scope</w:t>
      </w:r>
    </w:p>
    <w:p>
      <w:pPr>
        <w:pStyle w:val="ListBullet"/>
      </w:pPr>
      <w:r>
        <w:t>Caching test results as if they were artefacts.</w:t>
      </w:r>
    </w:p>
    <w:p>
      <w:pPr>
        <w:pStyle w:val="ListBullet"/>
      </w:pPr>
      <w:r>
        <w:t>Any change to the build tools themselves.</w:t>
      </w:r>
    </w:p>
    <w:p>
      <w:pPr>
        <w:pStyle w:val="ListBullet"/>
      </w:pPr>
      <w:r>
        <w:t>Cross-organisation sharing.</w:t>
      </w:r>
    </w:p>
    <w:p>
      <w:pPr>
        <w:pStyle w:val="Heading1"/>
      </w:pPr>
      <w:r>
        <w:t>4. Plan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r/>
            <w:r>
              <w:rPr>
                <w:b/>
                <w:sz w:val="19"/>
              </w:rPr>
              <w:t>Phase</w:t>
            </w:r>
          </w:p>
        </w:tc>
        <w:tc>
          <w:tcPr>
            <w:tcW w:type="dxa" w:w="1020"/>
          </w:tcPr>
          <w:p>
            <w:r/>
            <w:r>
              <w:rPr>
                <w:b/>
                <w:sz w:val="19"/>
              </w:rPr>
              <w:t>Weeks</w:t>
            </w:r>
          </w:p>
        </w:tc>
        <w:tc>
          <w:tcPr>
            <w:tcW w:type="dxa" w:w="4309"/>
          </w:tcPr>
          <w:p>
            <w:r/>
            <w:r>
              <w:rPr>
                <w:b/>
                <w:sz w:val="19"/>
              </w:rPr>
              <w:t>Outcome</w:t>
            </w:r>
          </w:p>
        </w:tc>
        <w:tc>
          <w:tcPr>
            <w:tcW w:type="dxa" w:w="1701"/>
          </w:tcPr>
          <w:p>
            <w:r/>
            <w:r>
              <w:rPr>
                <w:b/>
                <w:sz w:val="19"/>
              </w:rPr>
              <w:t>Owner</w:t>
            </w:r>
          </w:p>
        </w:tc>
      </w:tr>
      <w:tr>
        <w:tc>
          <w:tcPr>
            <w:tcW w:type="dxa" w:w="1701"/>
          </w:tcPr>
          <w:p>
            <w:r/>
            <w:r>
              <w:rPr>
                <w:sz w:val="19"/>
              </w:rPr>
              <w:t>Prototype</w:t>
            </w:r>
          </w:p>
        </w:tc>
        <w:tc>
          <w:tcPr>
            <w:tcW w:type="dxa" w:w="1020"/>
          </w:tcPr>
          <w:p>
            <w:r/>
            <w:r>
              <w:rPr>
                <w:sz w:val="19"/>
              </w:rPr>
              <w:t>2</w:t>
            </w:r>
          </w:p>
        </w:tc>
        <w:tc>
          <w:tcPr>
            <w:tcW w:type="dxa" w:w="4309"/>
          </w:tcPr>
          <w:p>
            <w:r/>
            <w:r>
              <w:rPr>
                <w:sz w:val="19"/>
              </w:rPr>
              <w:t>Read-through cache behind a flag</w:t>
            </w:r>
          </w:p>
        </w:tc>
        <w:tc>
          <w:tcPr>
            <w:tcW w:type="dxa" w:w="1701"/>
          </w:tcPr>
          <w:p>
            <w:r/>
            <w:r>
              <w:rPr>
                <w:sz w:val="19"/>
              </w:rPr>
              <w:t>Marcus</w:t>
            </w:r>
          </w:p>
        </w:tc>
      </w:tr>
      <w:tr>
        <w:tc>
          <w:tcPr>
            <w:tcW w:type="dxa" w:w="1701"/>
          </w:tcPr>
          <w:p>
            <w:r/>
            <w:r>
              <w:rPr>
                <w:sz w:val="19"/>
              </w:rPr>
              <w:t>Pilot</w:t>
            </w:r>
          </w:p>
        </w:tc>
        <w:tc>
          <w:tcPr>
            <w:tcW w:type="dxa" w:w="1020"/>
          </w:tcPr>
          <w:p>
            <w:r/>
            <w:r>
              <w:rPr>
                <w:sz w:val="19"/>
              </w:rPr>
              <w:t>3</w:t>
            </w:r>
          </w:p>
        </w:tc>
        <w:tc>
          <w:tcPr>
            <w:tcW w:type="dxa" w:w="4309"/>
          </w:tcPr>
          <w:p>
            <w:r/>
            <w:r>
              <w:rPr>
                <w:sz w:val="19"/>
              </w:rPr>
              <w:t>Two teams, writes from CI only</w:t>
            </w:r>
          </w:p>
        </w:tc>
        <w:tc>
          <w:tcPr>
            <w:tcW w:type="dxa" w:w="1701"/>
          </w:tcPr>
          <w:p>
            <w:r/>
            <w:r>
              <w:rPr>
                <w:sz w:val="19"/>
              </w:rPr>
              <w:t>Marcus, Priya</w:t>
            </w:r>
          </w:p>
        </w:tc>
      </w:tr>
      <w:tr>
        <w:tc>
          <w:tcPr>
            <w:tcW w:type="dxa" w:w="1701"/>
          </w:tcPr>
          <w:p>
            <w:r/>
            <w:r>
              <w:rPr>
                <w:sz w:val="19"/>
              </w:rPr>
              <w:t>Rollout</w:t>
            </w:r>
          </w:p>
        </w:tc>
        <w:tc>
          <w:tcPr>
            <w:tcW w:type="dxa" w:w="1020"/>
          </w:tcPr>
          <w:p>
            <w:r/>
            <w:r>
              <w:rPr>
                <w:sz w:val="19"/>
              </w:rPr>
              <w:t>4</w:t>
            </w:r>
          </w:p>
        </w:tc>
        <w:tc>
          <w:tcPr>
            <w:tcW w:type="dxa" w:w="4309"/>
          </w:tcPr>
          <w:p>
            <w:r/>
            <w:r>
              <w:rPr>
                <w:sz w:val="19"/>
              </w:rPr>
              <w:t>All teams, flag on by default</w:t>
            </w:r>
          </w:p>
        </w:tc>
        <w:tc>
          <w:tcPr>
            <w:tcW w:type="dxa" w:w="1701"/>
          </w:tcPr>
          <w:p>
            <w:r/>
            <w:r>
              <w:rPr>
                <w:sz w:val="19"/>
              </w:rPr>
              <w:t>Tomas</w:t>
            </w:r>
          </w:p>
        </w:tc>
      </w:tr>
      <w:tr>
        <w:tc>
          <w:tcPr>
            <w:tcW w:type="dxa" w:w="1701"/>
          </w:tcPr>
          <w:p>
            <w:r/>
            <w:r>
              <w:rPr>
                <w:sz w:val="19"/>
              </w:rPr>
              <w:t>Review</w:t>
            </w:r>
          </w:p>
        </w:tc>
        <w:tc>
          <w:tcPr>
            <w:tcW w:type="dxa" w:w="1020"/>
          </w:tcPr>
          <w:p>
            <w:r/>
            <w:r>
              <w:rPr>
                <w:sz w:val="19"/>
              </w:rPr>
              <w:t>1</w:t>
            </w:r>
          </w:p>
        </w:tc>
        <w:tc>
          <w:tcPr>
            <w:tcW w:type="dxa" w:w="4309"/>
          </w:tcPr>
          <w:p>
            <w:r/>
            <w:r>
              <w:rPr>
                <w:sz w:val="19"/>
              </w:rPr>
              <w:t>Hit rate and cost report</w:t>
            </w:r>
          </w:p>
        </w:tc>
        <w:tc>
          <w:tcPr>
            <w:tcW w:type="dxa" w:w="1701"/>
          </w:tcPr>
          <w:p>
            <w:r/>
            <w:r>
              <w:rPr>
                <w:sz w:val="19"/>
              </w:rPr>
              <w:t>Dana</w:t>
            </w:r>
          </w:p>
        </w:tc>
      </w:tr>
    </w:tbl>
    <w:p>
      <w:pPr>
        <w:pStyle w:val="Heading1"/>
      </w:pPr>
      <w:r>
        <w:t>5. Cost</w:t>
      </w:r>
    </w:p>
    <w:tbl>
      <w:tblPr>
        <w:tblStyle w:val="LightGrid-Accent1"/>
        <w:tblW w:type="auto" w:w="0"/>
        <w:jc w:val="center"/>
        <w:tblLook w:firstColumn="1" w:firstRow="1" w:lastColumn="0" w:lastRow="0" w:noHBand="0" w:noVBand="1" w:val="04A0"/>
      </w:tblPr>
      <w:tblGrid>
        <w:gridCol w:w="2880"/>
        <w:gridCol w:w="2880"/>
        <w:gridCol w:w="2880"/>
      </w:tblGrid>
      <w:tr>
        <w:tc>
          <w:tcPr>
            <w:tcW w:type="dxa" w:w="4535"/>
          </w:tcPr>
          <w:p>
            <w:r/>
            <w:r>
              <w:rPr>
                <w:b/>
                <w:sz w:val="19"/>
              </w:rPr>
              <w:t>Item</w:t>
            </w:r>
          </w:p>
        </w:tc>
        <w:tc>
          <w:tcPr>
            <w:tcW w:type="dxa" w:w="2098"/>
          </w:tcPr>
          <w:p>
            <w:r/>
            <w:r>
              <w:rPr>
                <w:b/>
                <w:sz w:val="19"/>
              </w:rPr>
              <w:t>Monthly</w:t>
            </w:r>
          </w:p>
        </w:tc>
        <w:tc>
          <w:tcPr>
            <w:tcW w:type="dxa" w:w="2098"/>
          </w:tcPr>
          <w:p>
            <w:r/>
            <w:r>
              <w:rPr>
                <w:b/>
                <w:sz w:val="19"/>
              </w:rPr>
              <w:t>Annual</w:t>
            </w:r>
          </w:p>
        </w:tc>
      </w:tr>
      <w:tr>
        <w:tc>
          <w:tcPr>
            <w:tcW w:type="dxa" w:w="4535"/>
          </w:tcPr>
          <w:p>
            <w:r/>
            <w:r>
              <w:rPr>
                <w:sz w:val="19"/>
              </w:rPr>
              <w:t>Object storage, 2 TB</w:t>
            </w:r>
          </w:p>
        </w:tc>
        <w:tc>
          <w:tcPr>
            <w:tcW w:type="dxa" w:w="2098"/>
          </w:tcPr>
          <w:p>
            <w:r/>
            <w:r>
              <w:rPr>
                <w:sz w:val="19"/>
              </w:rPr>
              <w:t>84.00</w:t>
            </w:r>
          </w:p>
        </w:tc>
        <w:tc>
          <w:tcPr>
            <w:tcW w:type="dxa" w:w="2098"/>
          </w:tcPr>
          <w:p>
            <w:r/>
            <w:r>
              <w:rPr>
                <w:sz w:val="19"/>
              </w:rPr>
              <w:t>1,008.00</w:t>
            </w:r>
          </w:p>
        </w:tc>
      </w:tr>
      <w:tr>
        <w:tc>
          <w:tcPr>
            <w:tcW w:type="dxa" w:w="4535"/>
          </w:tcPr>
          <w:p>
            <w:r/>
            <w:r>
              <w:rPr>
                <w:sz w:val="19"/>
              </w:rPr>
              <w:t>Egress, estimated</w:t>
            </w:r>
          </w:p>
        </w:tc>
        <w:tc>
          <w:tcPr>
            <w:tcW w:type="dxa" w:w="2098"/>
          </w:tcPr>
          <w:p>
            <w:r/>
            <w:r>
              <w:rPr>
                <w:sz w:val="19"/>
              </w:rPr>
              <w:t>130.00</w:t>
            </w:r>
          </w:p>
        </w:tc>
        <w:tc>
          <w:tcPr>
            <w:tcW w:type="dxa" w:w="2098"/>
          </w:tcPr>
          <w:p>
            <w:r/>
            <w:r>
              <w:rPr>
                <w:sz w:val="19"/>
              </w:rPr>
              <w:t>1,560.00</w:t>
            </w:r>
          </w:p>
        </w:tc>
      </w:tr>
      <w:tr>
        <w:tc>
          <w:tcPr>
            <w:tcW w:type="dxa" w:w="4535"/>
          </w:tcPr>
          <w:p>
            <w:r/>
            <w:r>
              <w:rPr>
                <w:sz w:val="19"/>
              </w:rPr>
              <w:t>Cache service, two instances</w:t>
            </w:r>
          </w:p>
        </w:tc>
        <w:tc>
          <w:tcPr>
            <w:tcW w:type="dxa" w:w="2098"/>
          </w:tcPr>
          <w:p>
            <w:r/>
            <w:r>
              <w:rPr>
                <w:sz w:val="19"/>
              </w:rPr>
              <w:t>220.00</w:t>
            </w:r>
          </w:p>
        </w:tc>
        <w:tc>
          <w:tcPr>
            <w:tcW w:type="dxa" w:w="2098"/>
          </w:tcPr>
          <w:p>
            <w:r/>
            <w:r>
              <w:rPr>
                <w:sz w:val="19"/>
              </w:rPr>
              <w:t>2,640.00</w:t>
            </w:r>
          </w:p>
        </w:tc>
      </w:tr>
      <w:tr>
        <w:tc>
          <w:tcPr>
            <w:tcW w:type="dxa" w:w="4535"/>
          </w:tcPr>
          <w:p>
            <w:r/>
            <w:r>
              <w:rPr>
                <w:sz w:val="19"/>
              </w:rPr>
              <w:t>Total</w:t>
            </w:r>
          </w:p>
        </w:tc>
        <w:tc>
          <w:tcPr>
            <w:tcW w:type="dxa" w:w="2098"/>
          </w:tcPr>
          <w:p>
            <w:r/>
            <w:r>
              <w:rPr>
                <w:sz w:val="19"/>
              </w:rPr>
              <w:t>434.00</w:t>
            </w:r>
          </w:p>
        </w:tc>
        <w:tc>
          <w:tcPr>
            <w:tcW w:type="dxa" w:w="2098"/>
          </w:tcPr>
          <w:p>
            <w:r/>
            <w:r>
              <w:rPr>
                <w:sz w:val="19"/>
              </w:rPr>
              <w:t>5,208.00</w:t>
            </w:r>
          </w:p>
        </w:tc>
      </w:tr>
    </w:tbl>
    <w:p/>
    <w:p>
      <w:r>
        <w:t>Against roughly 5,900 runner-hours a year at present prices, the proposal pays for itself at a hit rate above eleven per cent. The pilot should establish whether that is realistic before the rollout is approved.</w:t>
      </w:r>
    </w:p>
    <w:p>
      <w:pPr>
        <w:pStyle w:val="Heading1"/>
      </w:pPr>
      <w:r>
        <w:t>6. Risks</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tcPr>
          <w:p>
            <w:r/>
            <w:r>
              <w:rPr>
                <w:b/>
                <w:sz w:val="19"/>
              </w:rPr>
              <w:t>Risk</w:t>
            </w:r>
          </w:p>
        </w:tc>
        <w:tc>
          <w:tcPr>
            <w:tcW w:type="dxa" w:w="1701"/>
          </w:tcPr>
          <w:p>
            <w:r/>
            <w:r>
              <w:rPr>
                <w:b/>
                <w:sz w:val="19"/>
              </w:rPr>
              <w:t>Likelihood</w:t>
            </w:r>
          </w:p>
        </w:tc>
        <w:tc>
          <w:tcPr>
            <w:tcW w:type="dxa" w:w="3628"/>
          </w:tcPr>
          <w:p>
            <w:r/>
            <w:r>
              <w:rPr>
                <w:b/>
                <w:sz w:val="19"/>
              </w:rPr>
              <w:t>Mitigation</w:t>
            </w:r>
          </w:p>
        </w:tc>
      </w:tr>
      <w:tr>
        <w:tc>
          <w:tcPr>
            <w:tcW w:type="dxa" w:w="3402"/>
          </w:tcPr>
          <w:p>
            <w:r/>
            <w:r>
              <w:rPr>
                <w:sz w:val="19"/>
              </w:rPr>
              <w:t>Incorrect cache hit</w:t>
            </w:r>
          </w:p>
        </w:tc>
        <w:tc>
          <w:tcPr>
            <w:tcW w:type="dxa" w:w="1701"/>
          </w:tcPr>
          <w:p>
            <w:r/>
            <w:r>
              <w:rPr>
                <w:sz w:val="19"/>
              </w:rPr>
              <w:t>Low</w:t>
            </w:r>
          </w:p>
        </w:tc>
        <w:tc>
          <w:tcPr>
            <w:tcW w:type="dxa" w:w="3628"/>
          </w:tcPr>
          <w:p>
            <w:r/>
            <w:r>
              <w:rPr>
                <w:sz w:val="19"/>
              </w:rPr>
              <w:t>Hash the command and the environment</w:t>
            </w:r>
          </w:p>
        </w:tc>
      </w:tr>
      <w:tr>
        <w:tc>
          <w:tcPr>
            <w:tcW w:type="dxa" w:w="3402"/>
          </w:tcPr>
          <w:p>
            <w:r/>
            <w:r>
              <w:rPr>
                <w:sz w:val="19"/>
              </w:rPr>
              <w:t>Poisoned entry from a fork</w:t>
            </w:r>
          </w:p>
        </w:tc>
        <w:tc>
          <w:tcPr>
            <w:tcW w:type="dxa" w:w="1701"/>
          </w:tcPr>
          <w:p>
            <w:r/>
            <w:r>
              <w:rPr>
                <w:sz w:val="19"/>
              </w:rPr>
              <w:t>Low</w:t>
            </w:r>
          </w:p>
        </w:tc>
        <w:tc>
          <w:tcPr>
            <w:tcW w:type="dxa" w:w="3628"/>
          </w:tcPr>
          <w:p>
            <w:r/>
            <w:r>
              <w:rPr>
                <w:sz w:val="19"/>
              </w:rPr>
              <w:t>Writes only from trusted runners</w:t>
            </w:r>
          </w:p>
        </w:tc>
      </w:tr>
      <w:tr>
        <w:tc>
          <w:tcPr>
            <w:tcW w:type="dxa" w:w="3402"/>
          </w:tcPr>
          <w:p>
            <w:r/>
            <w:r>
              <w:rPr>
                <w:sz w:val="19"/>
              </w:rPr>
              <w:t>Cost overrun on egress</w:t>
            </w:r>
          </w:p>
        </w:tc>
        <w:tc>
          <w:tcPr>
            <w:tcW w:type="dxa" w:w="1701"/>
          </w:tcPr>
          <w:p>
            <w:r/>
            <w:r>
              <w:rPr>
                <w:sz w:val="19"/>
              </w:rPr>
              <w:t>Medium</w:t>
            </w:r>
          </w:p>
        </w:tc>
        <w:tc>
          <w:tcPr>
            <w:tcW w:type="dxa" w:w="3628"/>
          </w:tcPr>
          <w:p>
            <w:r/>
            <w:r>
              <w:rPr>
                <w:sz w:val="19"/>
              </w:rPr>
              <w:t>Regional buckets, monthly review</w:t>
            </w:r>
          </w:p>
        </w:tc>
      </w:tr>
      <w:tr>
        <w:tc>
          <w:tcPr>
            <w:tcW w:type="dxa" w:w="3402"/>
          </w:tcPr>
          <w:p>
            <w:r/>
            <w:r>
              <w:rPr>
                <w:sz w:val="19"/>
              </w:rPr>
              <w:t>Nobody adopts it</w:t>
            </w:r>
          </w:p>
        </w:tc>
        <w:tc>
          <w:tcPr>
            <w:tcW w:type="dxa" w:w="1701"/>
          </w:tcPr>
          <w:p>
            <w:r/>
            <w:r>
              <w:rPr>
                <w:sz w:val="19"/>
              </w:rPr>
              <w:t>Medium</w:t>
            </w:r>
          </w:p>
        </w:tc>
        <w:tc>
          <w:tcPr>
            <w:tcW w:type="dxa" w:w="3628"/>
          </w:tcPr>
          <w:p>
            <w:r/>
            <w:r>
              <w:rPr>
                <w:sz w:val="19"/>
              </w:rPr>
              <w:t>On by default after the pilot</w:t>
            </w:r>
          </w:p>
        </w:tc>
      </w:tr>
    </w:tbl>
    <w:p/>
    <w:p>
      <w:r>
        <w:t xml:space="preserve">Further reading: </w:t>
      </w:r>
      <w:hyperlink r:id="rId11">
        <w:r>
          <w:rPr>
            <w:color w:val="2F6F4F"/>
            <w:u w:val="single"/>
          </w:rPr>
          <w:t>the caching chapter of the manual</w:t>
        </w:r>
      </w:hyperlink>
      <w:r>
        <w:t>.</w:t>
      </w:r>
    </w:p>
    <w:p>
      <w:r>
        <w:br w:type="page"/>
      </w:r>
    </w:p>
    <w:p>
      <w:pPr>
        <w:pStyle w:val="Heading1"/>
      </w:pPr>
      <w:r>
        <w:t>Appendix A. Decision log</w:t>
      </w:r>
    </w:p>
    <w:tbl>
      <w:tblPr>
        <w:tblStyle w:val="LightGrid-Accent1"/>
        <w:tblW w:type="auto" w:w="0"/>
        <w:jc w:val="center"/>
        <w:tblLook w:firstColumn="1" w:firstRow="1" w:lastColumn="0" w:lastRow="0" w:noHBand="0" w:noVBand="1" w:val="04A0"/>
      </w:tblPr>
      <w:tblGrid>
        <w:gridCol w:w="2880"/>
        <w:gridCol w:w="2880"/>
        <w:gridCol w:w="2880"/>
      </w:tblGrid>
      <w:tr>
        <w:tc>
          <w:tcPr>
            <w:tcW w:type="dxa" w:w="1928"/>
          </w:tcPr>
          <w:p>
            <w:r/>
            <w:r>
              <w:rPr>
                <w:b/>
                <w:sz w:val="19"/>
              </w:rPr>
              <w:t>Date</w:t>
            </w:r>
          </w:p>
        </w:tc>
        <w:tc>
          <w:tcPr>
            <w:tcW w:type="dxa" w:w="4876"/>
          </w:tcPr>
          <w:p>
            <w:r/>
            <w:r>
              <w:rPr>
                <w:b/>
                <w:sz w:val="19"/>
              </w:rPr>
              <w:t>Decision</w:t>
            </w:r>
          </w:p>
        </w:tc>
        <w:tc>
          <w:tcPr>
            <w:tcW w:type="dxa" w:w="1928"/>
          </w:tcPr>
          <w:p>
            <w:r/>
            <w:r>
              <w:rPr>
                <w:b/>
                <w:sz w:val="19"/>
              </w:rPr>
              <w:t>By</w:t>
            </w:r>
          </w:p>
        </w:tc>
      </w:tr>
      <w:tr>
        <w:tc>
          <w:tcPr>
            <w:tcW w:type="dxa" w:w="1928"/>
          </w:tcPr>
          <w:p>
            <w:r/>
            <w:r>
              <w:rPr>
                <w:sz w:val="19"/>
              </w:rPr>
              <w:t>12 June 2026</w:t>
            </w:r>
          </w:p>
        </w:tc>
        <w:tc>
          <w:tcPr>
            <w:tcW w:type="dxa" w:w="4876"/>
          </w:tcPr>
          <w:p>
            <w:r/>
            <w:r>
              <w:rPr>
                <w:sz w:val="19"/>
              </w:rPr>
              <w:t>Content addressing, not timestamps</w:t>
            </w:r>
          </w:p>
        </w:tc>
        <w:tc>
          <w:tcPr>
            <w:tcW w:type="dxa" w:w="1928"/>
          </w:tcPr>
          <w:p>
            <w:r/>
            <w:r>
              <w:rPr>
                <w:sz w:val="19"/>
              </w:rPr>
              <w:t>Platform group</w:t>
            </w:r>
          </w:p>
        </w:tc>
      </w:tr>
      <w:tr>
        <w:tc>
          <w:tcPr>
            <w:tcW w:type="dxa" w:w="1928"/>
          </w:tcPr>
          <w:p>
            <w:r/>
            <w:r>
              <w:rPr>
                <w:sz w:val="19"/>
              </w:rPr>
              <w:t>24 June 2026</w:t>
            </w:r>
          </w:p>
        </w:tc>
        <w:tc>
          <w:tcPr>
            <w:tcW w:type="dxa" w:w="4876"/>
          </w:tcPr>
          <w:p>
            <w:r/>
            <w:r>
              <w:rPr>
                <w:sz w:val="19"/>
              </w:rPr>
              <w:t>One bucket per region</w:t>
            </w:r>
          </w:p>
        </w:tc>
        <w:tc>
          <w:tcPr>
            <w:tcW w:type="dxa" w:w="1928"/>
          </w:tcPr>
          <w:p>
            <w:r/>
            <w:r>
              <w:rPr>
                <w:sz w:val="19"/>
              </w:rPr>
              <w:t>Tomas</w:t>
            </w:r>
          </w:p>
        </w:tc>
      </w:tr>
      <w:tr>
        <w:tc>
          <w:tcPr>
            <w:tcW w:type="dxa" w:w="1928"/>
          </w:tcPr>
          <w:p>
            <w:r/>
            <w:r>
              <w:rPr>
                <w:sz w:val="19"/>
              </w:rPr>
              <w:t>30 July 2026</w:t>
            </w:r>
          </w:p>
        </w:tc>
        <w:tc>
          <w:tcPr>
            <w:tcW w:type="dxa" w:w="4876"/>
          </w:tcPr>
          <w:p>
            <w:r/>
            <w:r>
              <w:rPr>
                <w:sz w:val="19"/>
              </w:rPr>
              <w:t>Pilot limited to two teams</w:t>
            </w:r>
          </w:p>
        </w:tc>
        <w:tc>
          <w:tcPr>
            <w:tcW w:type="dxa" w:w="1928"/>
          </w:tcPr>
          <w:p>
            <w:r/>
            <w:r>
              <w:rPr>
                <w:sz w:val="19"/>
              </w:rPr>
              <w:t>Dana</w:t>
            </w:r>
          </w:p>
        </w:tc>
      </w:tr>
    </w:tbl>
    <w:p>
      <w:r>
        <w:rPr>
          <w:i/>
          <w:color w:val="5C6470"/>
          <w:sz w:val="16"/>
        </w:rPr>
        <w:t>This proposal is fictional sample material. The company, the figures, and the people in it are invented.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 PAGE </w:instrText>
      <w:fldChar w:fldCharType="end"/>
    </w:r>
    <w:r>
      <w:rPr>
        <w:sz w:val="16"/>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470"/>
        <w:sz w:val="16"/>
      </w:rPr>
      <w:t>Vantabrook Ltd. — confidential (fictional)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xample.com/kestrel/docs/ca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shared build cache</dc:title>
  <dc:subject>Sample project proposal</dc:subject>
  <dc:creator>sample-assets</dc:creator>
  <cp:keywords>proposal</cp:keywords>
  <dc:description>Fictional sample document from the sample-assets repository.</dc:description>
  <cp:lastModifiedBy/>
  <cp:revision>1</cp:revision>
  <dcterms:created xsi:type="dcterms:W3CDTF">2013-12-23T23:15:00Z</dcterms:created>
  <dcterms:modified xsi:type="dcterms:W3CDTF">2013-12-23T23:15:00Z</dcterms:modified>
  <cp:category/>
</cp:coreProperties>
</file>