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styles showcase</w:t>
      </w:r>
    </w:p>
    <w:p>
      <w:pPr>
        <w:pStyle w:val="Subtitle"/>
      </w:pPr>
      <w:r>
        <w:t>Every built-in style a converter is likely to meet</w:t>
      </w:r>
    </w:p>
    <w:p>
      <w:r>
        <w:t>This document exists to be read by something other than a person: a converter, a text extractor, or a style mapper. It uses the built-in styles rather than direct formatting wherever a built-in style exists.</w:t>
      </w:r>
    </w:p>
    <w:p>
      <w:pPr>
        <w:pStyle w:val="Heading1"/>
      </w:pPr>
      <w:r>
        <w:t>Headings</w:t>
      </w:r>
    </w:p>
    <w:p>
      <w:pPr>
        <w:pStyle w:val="Heading1"/>
      </w:pPr>
      <w:r>
        <w:t>Heading level 1</w:t>
      </w:r>
    </w:p>
    <w:p>
      <w:r>
        <w:t>A paragraph of body text beneath heading level 1.</w:t>
      </w:r>
    </w:p>
    <w:p>
      <w:pPr>
        <w:pStyle w:val="Heading2"/>
      </w:pPr>
      <w:r>
        <w:t>Heading level 2</w:t>
      </w:r>
    </w:p>
    <w:p>
      <w:r>
        <w:t>A paragraph of body text beneath heading level 2.</w:t>
      </w:r>
    </w:p>
    <w:p>
      <w:pPr>
        <w:pStyle w:val="Heading3"/>
      </w:pPr>
      <w:r>
        <w:t>Heading level 3</w:t>
      </w:r>
    </w:p>
    <w:p>
      <w:r>
        <w:t>A paragraph of body text beneath heading level 3.</w:t>
      </w:r>
    </w:p>
    <w:p>
      <w:pPr>
        <w:pStyle w:val="Heading4"/>
      </w:pPr>
      <w:r>
        <w:t>Heading level 4</w:t>
      </w:r>
    </w:p>
    <w:p>
      <w:r>
        <w:t>A paragraph of body text beneath heading level 4.</w:t>
      </w:r>
    </w:p>
    <w:p>
      <w:pPr>
        <w:pStyle w:val="Heading1"/>
      </w:pPr>
      <w:r>
        <w:t>Character formatting</w:t>
      </w:r>
    </w:p>
    <w:p>
      <w:r>
        <w:t xml:space="preserve">Plain,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underlined</w:t>
      </w:r>
      <w:r>
        <w:t xml:space="preserve">, </w:t>
      </w:r>
      <w:r>
        <w:rPr>
          <w:strike/>
        </w:rPr>
        <w:t>struck through</w:t>
      </w:r>
      <w:r>
        <w:t xml:space="preserve">, </w:t>
      </w:r>
      <w:r>
        <w:rPr>
          <w:smallCaps/>
        </w:rPr>
        <w:t>small capitals</w:t>
      </w:r>
      <w:r>
        <w:t xml:space="preserve">, </w:t>
      </w:r>
      <w:r>
        <w:rPr>
          <w:color w:val="2F6F4F"/>
        </w:rPr>
        <w:t>coloured</w:t>
      </w:r>
      <w:r>
        <w:t xml:space="preserve">, and </w:t>
      </w:r>
      <w:r>
        <w:rPr>
          <w:rFonts w:ascii="Courier New" w:hAnsi="Courier New"/>
        </w:rPr>
        <w:t>monospaced</w:t>
      </w:r>
      <w:r>
        <w:t>.</w:t>
      </w:r>
    </w:p>
    <w:p>
      <w:r>
        <w:t>Water is H</w:t>
      </w:r>
      <w:r>
        <w:rPr>
          <w:vertAlign w:val="subscript"/>
        </w:rPr>
        <w:t>2</w:t>
      </w:r>
      <w:r>
        <w:t>O, and the theorem is a</w:t>
      </w:r>
      <w:r>
        <w:rPr>
          <w:vertAlign w:val="superscript"/>
        </w:rPr>
        <w:t>2</w:t>
      </w:r>
      <w:r>
        <w:t xml:space="preserve"> + b</w:t>
      </w:r>
      <w:r>
        <w:rPr>
          <w:vertAlign w:val="superscript"/>
        </w:rPr>
        <w:t>2</w:t>
      </w:r>
      <w:r>
        <w:t xml:space="preserve"> = c</w:t>
      </w:r>
      <w:r>
        <w:rPr>
          <w:vertAlign w:val="superscript"/>
        </w:rPr>
        <w:t>2</w:t>
      </w:r>
      <w:r>
        <w:t>.</w:t>
      </w:r>
    </w:p>
    <w:p>
      <w:r>
        <w:rPr>
          <w:sz w:val="16"/>
        </w:rPr>
        <w:t xml:space="preserve">8pt  </w:t>
      </w:r>
      <w:r>
        <w:rPr>
          <w:sz w:val="22"/>
        </w:rPr>
        <w:t xml:space="preserve">11pt  </w:t>
      </w:r>
      <w:r>
        <w:rPr>
          <w:sz w:val="28"/>
        </w:rPr>
        <w:t xml:space="preserve">14pt  </w:t>
      </w:r>
      <w:r>
        <w:rPr>
          <w:sz w:val="40"/>
        </w:rPr>
        <w:t xml:space="preserve">20pt  </w:t>
      </w:r>
    </w:p>
    <w:p>
      <w:pPr>
        <w:pStyle w:val="Heading1"/>
      </w:pPr>
      <w:r>
        <w:t>Paragraph styles</w:t>
      </w:r>
    </w:p>
    <w:p>
      <w:pPr>
        <w:pStyle w:val="Quote"/>
      </w:pPr>
      <w:r>
        <w:t>A paragraph in the Quote style, long enough to wrap across more than one line so that its indentation is visible.</w:t>
      </w:r>
    </w:p>
    <w:p>
      <w:pPr>
        <w:pStyle w:val="IntenseQuote"/>
      </w:pPr>
      <w:r>
        <w:t>A paragraph in the Intense Quote style, long enough to wrap across more than one line so that its indentation is visible.</w:t>
      </w:r>
    </w:p>
    <w:p>
      <w:pPr>
        <w:pStyle w:val="Heading1"/>
      </w:pPr>
      <w:r>
        <w:t>Alignment</w:t>
      </w:r>
    </w:p>
    <w:p>
      <w:pPr>
        <w:jc w:val="left"/>
      </w:pPr>
      <w:r>
        <w:t>This paragraph is left. It runs on for a sentence or two so that the effect of the alignment is visible over more than a single line of text.</w:t>
      </w:r>
    </w:p>
    <w:p>
      <w:pPr>
        <w:jc w:val="center"/>
      </w:pPr>
      <w:r>
        <w:t>This paragraph is centred. It runs on for a sentence or two so that the effect of the alignment is visible over more than a single line of text.</w:t>
      </w:r>
    </w:p>
    <w:p>
      <w:pPr>
        <w:jc w:val="right"/>
      </w:pPr>
      <w:r>
        <w:t>This paragraph is right. It runs on for a sentence or two so that the effect of the alignment is visible over more than a single line of text.</w:t>
      </w:r>
    </w:p>
    <w:p>
      <w:pPr>
        <w:jc w:val="both"/>
      </w:pPr>
      <w:r>
        <w:t>This paragraph is justified. It runs on for a sentence or two so that the effect of the alignment is visible over more than a single line of text.</w:t>
      </w:r>
    </w:p>
    <w:p>
      <w:pPr>
        <w:pStyle w:val="Heading1"/>
      </w:pPr>
      <w:r>
        <w:t>Lists</w:t>
      </w:r>
    </w:p>
    <w:p>
      <w:pPr>
        <w:pStyle w:val="ListBullet"/>
      </w:pPr>
      <w:r>
        <w:t>Bulleted item 1</w:t>
      </w:r>
    </w:p>
    <w:p>
      <w:pPr>
        <w:pStyle w:val="ListBullet"/>
      </w:pPr>
      <w:r>
        <w:t>Bulleted item 2</w:t>
      </w:r>
    </w:p>
    <w:p>
      <w:pPr>
        <w:pStyle w:val="ListBullet"/>
      </w:pPr>
      <w:r>
        <w:t>Bulleted item 3</w:t>
      </w:r>
    </w:p>
    <w:p>
      <w:pPr>
        <w:pStyle w:val="ListNumber"/>
      </w:pPr>
      <w:r>
        <w:t>Numbered item 1</w:t>
      </w:r>
    </w:p>
    <w:p>
      <w:pPr>
        <w:pStyle w:val="ListNumber"/>
      </w:pPr>
      <w:r>
        <w:t>Numbered item 2</w:t>
      </w:r>
    </w:p>
    <w:p>
      <w:pPr>
        <w:pStyle w:val="ListNumber"/>
      </w:pPr>
      <w:r>
        <w:t>Numbered item 3</w:t>
      </w:r>
    </w:p>
    <w:p>
      <w:pPr>
        <w:pStyle w:val="ListBullet2"/>
      </w:pPr>
      <w:r>
        <w:t>A nested bullet</w:t>
      </w:r>
    </w:p>
    <w:p>
      <w:pPr>
        <w:pStyle w:val="ListBullet3"/>
      </w:pPr>
      <w:r>
        <w:t>A deeper nested bullet</w:t>
      </w:r>
    </w:p>
    <w:p>
      <w:pPr>
        <w:pStyle w:val="Heading1"/>
      </w:pPr>
      <w:r>
        <w:t>Links and breaks</w:t>
      </w:r>
    </w:p>
    <w:p>
      <w:r>
        <w:t xml:space="preserve">An external hyperlink: </w:t>
      </w:r>
      <w:hyperlink r:id="rId9">
        <w:r>
          <w:rPr>
            <w:color w:val="2F6F4F"/>
            <w:u w:val="single"/>
          </w:rPr>
          <w:t>example.com/kestrel</w:t>
        </w:r>
      </w:hyperlink>
      <w:r>
        <w:t>. A line break follows this sentence.</w:t>
      </w:r>
      <w:r>
        <w:br/>
      </w:r>
      <w:r>
        <w:t>This run sits after the line break, in the same paragraph.</w:t>
      </w:r>
    </w:p>
    <w:p>
      <w:pPr>
        <w:pStyle w:val="Heading1"/>
      </w:pPr>
      <w:r>
        <w:t>Unicode</w:t>
      </w:r>
    </w:p>
    <w:p>
      <w:r>
        <w:t>안녕하세요 · こんにちは · 你好 · Здравствуйте · Γεια σου · مرحبا · नमस्ते · Přílíš žluťoučký kůň</w:t>
      </w:r>
    </w:p>
    <w:p>
      <w:r>
        <w:t>Typography: “curly quotes”, ‘single’, an em dash —, an en dash –, an ellipsis …, ½ ¾ © ® ™ € £ ¥ °</w:t>
      </w:r>
    </w:p>
    <w:p>
      <w:r>
        <w:br w:type="page"/>
      </w:r>
    </w:p>
    <w:p>
      <w:pPr>
        <w:pStyle w:val="Heading1"/>
      </w:pPr>
      <w:r>
        <w:t>After a page break</w:t>
      </w:r>
    </w:p>
    <w:p>
      <w:r>
        <w:t>This heading and paragraph open the second page. A landscape section follows.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A landscape section</w:t>
      </w:r>
    </w:p>
    <w:p>
      <w:r>
        <w:t>This section is rotated, so a converter has to notice that page geometry can change part-way through a document.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Column A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Column B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Column C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a1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b1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a2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c2</w:t>
            </w:r>
          </w:p>
        </w:tc>
      </w:tr>
    </w:tbl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kestr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styles showcase</dc:title>
  <dc:subject>Sample exercising built-in Word styles</dc:subject>
  <dc:creator>sample-assets</dc:creator>
  <cp:keywords/>
  <dc:description>Fictional sample document from the sample-assets repository.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