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바탕" w:cs="바탕" w:eastAsia="바탕" w:hAnsi="바탕"/>
          <w:b/>
          <w:bCs/>
          <w:sz w:val="36"/>
          <w:szCs w:val="36"/>
        </w:rPr>
        <w:t xml:space="preserve">한영고 킬러 내신</w:t>
      </w:r>
    </w:p>
    <w:p>
      <w:pPr>
        <w:spacing w:after="120"/>
        <w:jc w:val="center"/>
      </w:pPr>
      <w:r>
        <w:rPr>
          <w:rFonts w:ascii="바탕" w:cs="바탕" w:eastAsia="바탕" w:hAnsi="바탕"/>
          <w:color w:val="666666"/>
          <w:sz w:val="22"/>
          <w:szCs w:val="22"/>
        </w:rPr>
        <w:t xml:space="preserve">총 4문항</w:t>
      </w:r>
    </w:p>
    <w:p>
      <w:pPr>
        <w:pBdr>
          <w:top w:val="none" w:color="FFFFFF" w:sz="0"/>
          <w:bottom w:val="single" w:color="000000" w:sz="12"/>
          <w:left w:val="none" w:color="FFFFFF" w:sz="0"/>
          <w:right w:val="none" w:color="FFFFFF" w:sz="0"/>
        </w:pBdr>
        <w:spacing w:after="200" w:before="80"/>
      </w:pPr>
      <w:r>
        <w:t xml:space="preserve"> </w:t>
      </w:r>
    </w:p>
    <w:p>
      <w:pPr>
        <w:spacing w:after="120" w:before="240"/>
      </w:pPr>
      <w:r>
        <w:rPr>
          <w:rFonts w:ascii="바탕" w:cs="바탕" w:eastAsia="바탕" w:hAnsi="바탕"/>
          <w:b/>
          <w:bCs/>
          <w:sz w:val="24"/>
          <w:szCs w:val="24"/>
        </w:rPr>
        <w:t xml:space="preserve">1. </w:t>
      </w:r>
      <w:r>
        <w:rPr>
          <w:rFonts w:ascii="바탕" w:cs="바탕" w:eastAsia="바탕" w:hAnsi="바탕"/>
          <w:b w:val="false"/>
          <w:bCs w:val="false"/>
          <w:sz w:val="22"/>
          <w:szCs w:val="22"/>
        </w:rPr>
        <w:t xml:space="preserve">다음 문장에서 어법상 틀린 부분을 찾아 바르게 고쳐 쓰시오.</w:t>
      </w:r>
      <w:r>
        <w:rPr>
          <w:rFonts w:ascii="바탕" w:cs="바탕" w:eastAsia="바탕" w:hAnsi="바탕"/>
          <w:b w:val="false"/>
          <w:bCs w:val="false"/>
          <w:sz w:val="18"/>
          <w:szCs w:val="18"/>
        </w:rPr>
        <w:t xml:space="preserve"> [1점]</w:t>
      </w:r>
    </w:p>
    <w:p>
      <w:pPr>
        <w:spacing w:after="40" w:before="40"/>
      </w:pPr>
      <w:r>
        <w:rPr>
          <w:rFonts w:ascii="바탕" w:cs="바탕" w:eastAsia="바탕" w:hAnsi="바탕"/>
          <w:b/>
          <w:bCs/>
          <w:sz w:val="22"/>
          <w:szCs w:val="22"/>
        </w:rPr>
        <w:t xml:space="preserve">&lt;오류 문장&gt;</w:t>
      </w:r>
    </w:p>
    <w:tbl>
      <w:tblPr>
        <w:tblW w:type="pct" w:w="100%"/>
        <w:tblBorders>
          <w:top w:val="none" w:color="FFFFFF" w:sz="0"/>
          <w:left w:val="single" w:color="000000" w:sz="12"/>
          <w:bottom w:val="none" w:color="FFFFFF" w:sz="0"/>
          <w:right w:val="none" w:color="FFFFFF" w:sz="0"/>
          <w:insideH w:val="none" w:color="FFFFFF" w:sz="0"/>
          <w:insideV w:val="none" w:color="FFFFFF" w:sz="0"/>
        </w:tblBorders>
      </w:tblPr>
      <w:tblGrid>
        <w:gridCol w:w="100"/>
      </w:tblGrid>
      <w:tr>
        <w:tc>
          <w:tcPr>
            <w:tcW w:type="pct" w:w="100%"/>
            <w:tcBorders>
              <w:top w:val="none" w:color="FFFFFF" w:sz="0"/>
              <w:left w:val="none" w:color="FFFFFF" w:sz="0"/>
              <w:bottom w:val="none" w:color="FFFFFF" w:sz="0"/>
              <w:right w:val="none" w:color="FFFFFF" w:sz="0"/>
            </w:tcBorders>
            <w:tcMar>
              <w:left w:type="dxa" w:w="160"/>
            </w:tcMar>
          </w:tcPr>
          <w:p>
            <w:pPr>
              <w:spacing w:after="0" w:line="312"/>
              <w:jc w:val="both"/>
            </w:pPr>
            <w:r>
              <w:rPr>
                <w:rFonts w:ascii="Times New Roman" w:cs="Times New Roman" w:eastAsia="Times New Roman" w:hAnsi="Times New Roman"/>
                <w:sz w:val="22"/>
                <w:szCs w:val="22"/>
              </w:rPr>
              <w:t xml:space="preserve">The history of surviving dress really only starts in the 17th century, and like all artefacts described as fine or decorative art, are a highly visual subject.</w:t>
            </w:r>
          </w:p>
        </w:tc>
      </w:tr>
    </w:tbl>
    <w:p>
      <w:pPr>
        <w:spacing w:after="120"/>
      </w:pPr>
    </w:p>
    <w:p>
      <w:pPr>
        <w:pBdr>
          <w:top w:val="none" w:color="FFFFFF" w:sz="0"/>
          <w:bottom w:val="single" w:color="CCCCCC" w:sz="4"/>
          <w:left w:val="none" w:color="FFFFFF" w:sz="0"/>
          <w:right w:val="none" w:color="FFFFFF" w:sz="0"/>
        </w:pBdr>
        <w:spacing w:after="160" w:before="160"/>
      </w:pPr>
      <w:r>
        <w:t xml:space="preserve"> </w:t>
      </w:r>
    </w:p>
    <w:p>
      <w:pPr>
        <w:spacing w:after="120" w:before="240"/>
      </w:pPr>
      <w:r>
        <w:rPr>
          <w:rFonts w:ascii="바탕" w:cs="바탕" w:eastAsia="바탕" w:hAnsi="바탕"/>
          <w:b/>
          <w:bCs/>
          <w:sz w:val="24"/>
          <w:szCs w:val="24"/>
        </w:rPr>
        <w:t xml:space="preserve">2. </w:t>
      </w:r>
      <w:r>
        <w:rPr>
          <w:rFonts w:ascii="바탕" w:cs="바탕" w:eastAsia="바탕" w:hAnsi="바탕"/>
          <w:b w:val="false"/>
          <w:bCs w:val="false"/>
          <w:sz w:val="22"/>
          <w:szCs w:val="22"/>
        </w:rPr>
        <w:t xml:space="preserve">다음 문장을 주어진 조건에 맞게 가정법 과거 구문을 활용한 단문 형태로 전환하여 쓰시오.</w:t>
      </w:r>
      <w:r>
        <w:rPr>
          <w:rFonts w:ascii="바탕" w:cs="바탕" w:eastAsia="바탕" w:hAnsi="바탕"/>
          <w:b w:val="false"/>
          <w:bCs w:val="false"/>
          <w:sz w:val="18"/>
          <w:szCs w:val="18"/>
        </w:rPr>
        <w:t xml:space="preserve"> [1점]</w:t>
      </w:r>
    </w:p>
    <w:p>
      <w:pPr>
        <w:spacing w:after="40" w:before="40"/>
      </w:pPr>
      <w:r>
        <w:rPr>
          <w:rFonts w:ascii="바탕" w:cs="바탕" w:eastAsia="바탕" w:hAnsi="바탕"/>
          <w:b/>
          <w:bCs/>
          <w:sz w:val="22"/>
          <w:szCs w:val="22"/>
        </w:rPr>
        <w:t xml:space="preserve">&lt;원문&gt;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pct" w:w="100%"/>
            <w:tcBorders>
              <w:top w:val="single" w:color="000000" w:sz="4"/>
              <w:left w:val="single" w:color="000000" w:sz="4"/>
              <w:bottom w:val="single" w:color="000000" w:sz="4"/>
              <w:right w:val="single" w:color="000000" w:sz="4"/>
            </w:tcBorders>
            <w:tcMar>
              <w:top w:type="dxa" w:w="120"/>
              <w:left w:type="dxa" w:w="160"/>
              <w:bottom w:type="dxa" w:w="120"/>
              <w:right w:type="dxa" w:w="160"/>
            </w:tcMar>
          </w:tcPr>
          <w:p>
            <w:pPr>
              <w:spacing w:after="0" w:line="312"/>
              <w:jc w:val="both"/>
            </w:pPr>
            <w:r>
              <w:rPr>
                <w:rFonts w:ascii="Times New Roman" w:cs="Times New Roman" w:eastAsia="Times New Roman" w:hAnsi="Times New Roman"/>
                <w:sz w:val="22"/>
                <w:szCs w:val="22"/>
              </w:rPr>
              <w:t xml:space="preserve">Without the information contained in art in all of its forms, from drawing to sculpture, it is likely that displays of historic dress would be awkward imitations of the intentions of their original makers and owners.</w:t>
            </w:r>
          </w:p>
        </w:tc>
      </w:tr>
    </w:tbl>
    <w:p>
      <w:pPr>
        <w:spacing w:after="120"/>
      </w:pPr>
    </w:p>
    <w:p>
      <w:pPr>
        <w:spacing w:after="40" w:before="40"/>
      </w:pPr>
      <w:r>
        <w:rPr>
          <w:rFonts w:ascii="바탕" w:cs="바탕" w:eastAsia="바탕" w:hAnsi="바탕"/>
          <w:b/>
          <w:bCs/>
          <w:sz w:val="22"/>
          <w:szCs w:val="22"/>
        </w:rPr>
        <w:t xml:space="preserve">&lt;조건&gt;</w:t>
      </w:r>
    </w:p>
    <w:p>
      <w:pPr>
        <w:spacing w:after="40" w:line="312"/>
        <w:ind w:left="400" w:hanging="200"/>
      </w:pPr>
      <w:r>
        <w:rPr>
          <w:rFonts w:ascii="바탕" w:cs="바탕" w:eastAsia="바탕" w:hAnsi="바탕"/>
          <w:sz w:val="22"/>
          <w:szCs w:val="22"/>
        </w:rPr>
        <w:t xml:space="preserve">1. </w:t>
      </w:r>
      <w:r>
        <w:rPr>
          <w:rFonts w:ascii="바탕" w:cs="바탕" w:eastAsia="바탕" w:hAnsi="바탕"/>
          <w:sz w:val="22"/>
          <w:szCs w:val="22"/>
        </w:rPr>
        <w:t xml:space="preserve">'Without'으로 시작하는 구를 'If it were not for'로 시작하는 조건절로 바꿀 것</w:t>
      </w:r>
    </w:p>
    <w:p>
      <w:pPr>
        <w:spacing w:after="40" w:line="312"/>
        <w:ind w:left="400" w:hanging="200"/>
      </w:pPr>
      <w:r>
        <w:rPr>
          <w:rFonts w:ascii="바탕" w:cs="바탕" w:eastAsia="바탕" w:hAnsi="바탕"/>
          <w:sz w:val="22"/>
          <w:szCs w:val="22"/>
        </w:rPr>
        <w:t xml:space="preserve">2. </w:t>
      </w:r>
      <w:r>
        <w:rPr>
          <w:rFonts w:ascii="바탕" w:cs="바탕" w:eastAsia="바탕" w:hAnsi="바탕"/>
          <w:sz w:val="22"/>
          <w:szCs w:val="22"/>
        </w:rPr>
        <w:t xml:space="preserve">가주어-진주어 구문인 'it is likely that ~'을 'displays'를 주어로 하는 주절로 통합하여 'would likely be'의 형태로 쓸 것</w:t>
      </w:r>
    </w:p>
    <w:p>
      <w:pPr>
        <w:spacing w:after="40" w:line="312"/>
        <w:ind w:left="400" w:hanging="200"/>
      </w:pPr>
      <w:r>
        <w:rPr>
          <w:rFonts w:ascii="바탕" w:cs="바탕" w:eastAsia="바탕" w:hAnsi="바탕"/>
          <w:sz w:val="22"/>
          <w:szCs w:val="22"/>
        </w:rPr>
        <w:t xml:space="preserve">3. </w:t>
      </w:r>
      <w:r>
        <w:rPr>
          <w:rFonts w:ascii="바탕" w:cs="바탕" w:eastAsia="바탕" w:hAnsi="바탕"/>
          <w:sz w:val="22"/>
          <w:szCs w:val="22"/>
        </w:rPr>
        <w:t xml:space="preserve">원문의 의미를 훼손하지 않으며 모든 구성 요소를 포함할 것</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pct" w:w="100%"/>
            <w:tcBorders>
              <w:top w:val="single" w:color="000000" w:sz="4"/>
              <w:left w:val="single" w:color="000000" w:sz="4"/>
              <w:bottom w:val="single" w:color="000000" w:sz="4"/>
              <w:right w:val="single" w:color="000000" w:sz="4"/>
            </w:tcBorders>
            <w:tcMar>
              <w:top w:type="dxa" w:w="160"/>
              <w:left w:type="dxa" w:w="240"/>
              <w:bottom w:type="dxa" w:w="160"/>
              <w:right w:type="dxa" w:w="240"/>
            </w:tcMar>
          </w:tcPr>
          <w:p>
            <w:pPr>
              <w:spacing w:after="0" w:line="312"/>
              <w:jc w:val="both"/>
            </w:pPr>
            <w:r>
              <w:rPr>
                <w:rFonts w:ascii="Times New Roman" w:cs="Times New Roman" w:eastAsia="Times New Roman" w:hAnsi="Times New Roman"/>
                <w:sz w:val="22"/>
                <w:szCs w:val="22"/>
              </w:rPr>
              <w:t xml:space="preserve">There is an obvious problem with the history of dress in all of its displays and that is, although textiles survive from early periods and cultures of recorded history, actual garments do not provide an uninterrupted flow of evidence across the same long time-span. Therefore, to give the study of dress equal significance to other areas such as architecture, painting, prints, drawings and sculpture, it was inevitable that these other areas would provide much of the source material. The history of surviving dress really only starts in the 17th century, and like all artefacts described as fine or decorative art, is a highly visual subject. However, unlike most of the categories of collection and study that make up those areas, it is fluid rather than static. Garments should be seen in movement on a human body, not frozen on a display figure. This is one of the many difficulties when curating collections of costume and also why some modern writers find costume collections physically and intellectually lifeless. Fortunately, in the period after 1660, when more items of dress survive to enrich our understanding of the history of the subject, there are also many painted, printed, photographed and filmed sources of evidence of people in clothing, caught in movement. Often a variety of different types of illustrative examples will provide evidence about how a garment was worn within the period in which it was made. Without the information contained in art in all of its forms, from drawing to sculpture, it is likely that displays of historic dress would be awkward imitations of the intentions of their original makers and owners.</w:t>
            </w:r>
          </w:p>
        </w:tc>
      </w:tr>
    </w:tbl>
    <w:p>
      <w:pPr>
        <w:spacing w:after="120"/>
      </w:pPr>
    </w:p>
    <w:p>
      <w:pPr>
        <w:pBdr>
          <w:top w:val="none" w:color="FFFFFF" w:sz="0"/>
          <w:bottom w:val="single" w:color="CCCCCC" w:sz="4"/>
          <w:left w:val="none" w:color="FFFFFF" w:sz="0"/>
          <w:right w:val="none" w:color="FFFFFF" w:sz="0"/>
        </w:pBdr>
        <w:spacing w:after="160" w:before="160"/>
      </w:pPr>
      <w:r>
        <w:t xml:space="preserve"> </w:t>
      </w:r>
    </w:p>
    <w:p>
      <w:pPr>
        <w:spacing w:after="120" w:before="240"/>
      </w:pPr>
      <w:r>
        <w:rPr>
          <w:rFonts w:ascii="바탕" w:cs="바탕" w:eastAsia="바탕" w:hAnsi="바탕"/>
          <w:b/>
          <w:bCs/>
          <w:sz w:val="24"/>
          <w:szCs w:val="24"/>
        </w:rPr>
        <w:t xml:space="preserve">3. </w:t>
      </w:r>
      <w:r>
        <w:rPr>
          <w:rFonts w:ascii="바탕" w:cs="바탕" w:eastAsia="바탕" w:hAnsi="바탕"/>
          <w:b w:val="false"/>
          <w:bCs w:val="false"/>
          <w:sz w:val="22"/>
          <w:szCs w:val="22"/>
        </w:rPr>
        <w:t xml:space="preserve">다음 우리말을 주어진 조건에 맞게 영작하시오.</w:t>
      </w:r>
      <w:r>
        <w:rPr>
          <w:rFonts w:ascii="바탕" w:cs="바탕" w:eastAsia="바탕" w:hAnsi="바탕"/>
          <w:b w:val="false"/>
          <w:bCs w:val="false"/>
          <w:sz w:val="18"/>
          <w:szCs w:val="18"/>
        </w:rPr>
        <w:t xml:space="preserve"> [1점]</w:t>
      </w:r>
    </w:p>
    <w:p>
      <w:pPr>
        <w:spacing w:after="40" w:before="40"/>
      </w:pPr>
      <w:r>
        <w:rPr>
          <w:rFonts w:ascii="바탕" w:cs="바탕" w:eastAsia="바탕" w:hAnsi="바탕"/>
          <w:b/>
          <w:bCs/>
          <w:sz w:val="22"/>
          <w:szCs w:val="22"/>
        </w:rPr>
        <w:t xml:space="preserve">&lt;영작할 우리말&gt;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pct" w:w="100%"/>
            <w:tcBorders>
              <w:top w:val="single" w:color="000000" w:sz="4"/>
              <w:left w:val="single" w:color="000000" w:sz="4"/>
              <w:bottom w:val="single" w:color="000000" w:sz="4"/>
              <w:right w:val="single" w:color="000000" w:sz="4"/>
            </w:tcBorders>
            <w:tcMar>
              <w:top w:type="dxa" w:w="120"/>
              <w:left w:type="dxa" w:w="160"/>
              <w:bottom w:type="dxa" w:w="120"/>
              <w:right w:type="dxa" w:w="160"/>
            </w:tcMar>
          </w:tcPr>
          <w:p>
            <w:pPr>
              <w:spacing w:after="0" w:line="312"/>
              <w:jc w:val="left"/>
            </w:pPr>
            <w:r>
              <w:rPr>
                <w:rFonts w:ascii="바탕" w:cs="바탕" w:eastAsia="바탕" w:hAnsi="바탕"/>
                <w:sz w:val="22"/>
                <w:szCs w:val="22"/>
              </w:rPr>
              <w:t xml:space="preserve">드로잉에서 조각에 이르기까지 모든 형태의 예술에 담긴 정보가 없다면, 역사적 의상의 전시는 원래 제작자와 소유자의 의도를 어색하게 모방한 것이 될 가능성이 높다.</w:t>
            </w:r>
          </w:p>
        </w:tc>
      </w:tr>
    </w:tbl>
    <w:p>
      <w:pPr>
        <w:spacing w:after="120"/>
      </w:pPr>
    </w:p>
    <w:p>
      <w:pPr>
        <w:spacing w:after="40" w:before="40"/>
      </w:pPr>
      <w:r>
        <w:rPr>
          <w:rFonts w:ascii="바탕" w:cs="바탕" w:eastAsia="바탕" w:hAnsi="바탕"/>
          <w:b/>
          <w:bCs/>
          <w:sz w:val="22"/>
          <w:szCs w:val="22"/>
        </w:rPr>
        <w:t xml:space="preserve">&lt;조건&gt;</w:t>
      </w:r>
    </w:p>
    <w:p>
      <w:pPr>
        <w:spacing w:after="40" w:line="312"/>
        <w:ind w:left="400" w:hanging="200"/>
      </w:pPr>
      <w:r>
        <w:rPr>
          <w:rFonts w:ascii="바탕" w:cs="바탕" w:eastAsia="바탕" w:hAnsi="바탕"/>
          <w:sz w:val="22"/>
          <w:szCs w:val="22"/>
        </w:rPr>
        <w:t xml:space="preserve">1. </w:t>
      </w:r>
      <w:r>
        <w:rPr>
          <w:rFonts w:ascii="바탕" w:cs="바탕" w:eastAsia="바탕" w:hAnsi="바탕"/>
          <w:sz w:val="22"/>
          <w:szCs w:val="22"/>
        </w:rPr>
        <w:t xml:space="preserve">전치사 'Without'으로 문장을 시작할 것</w:t>
      </w:r>
    </w:p>
    <w:p>
      <w:pPr>
        <w:spacing w:after="40" w:line="312"/>
        <w:ind w:left="400" w:hanging="200"/>
      </w:pPr>
      <w:r>
        <w:rPr>
          <w:rFonts w:ascii="바탕" w:cs="바탕" w:eastAsia="바탕" w:hAnsi="바탕"/>
          <w:sz w:val="22"/>
          <w:szCs w:val="22"/>
        </w:rPr>
        <w:t xml:space="preserve">2. </w:t>
      </w:r>
      <w:r>
        <w:rPr>
          <w:rFonts w:ascii="바탕" w:cs="바탕" w:eastAsia="바탕" w:hAnsi="바탕"/>
          <w:sz w:val="22"/>
          <w:szCs w:val="22"/>
        </w:rPr>
        <w:t xml:space="preserve">동사 'contain'을 적절한 분사 형태로 변형하여 'the information'을 수식하도록 작성할 것</w:t>
      </w:r>
    </w:p>
    <w:p>
      <w:pPr>
        <w:spacing w:after="40" w:line="312"/>
        <w:ind w:left="400" w:hanging="200"/>
      </w:pPr>
      <w:r>
        <w:rPr>
          <w:rFonts w:ascii="바탕" w:cs="바탕" w:eastAsia="바탕" w:hAnsi="바탕"/>
          <w:sz w:val="22"/>
          <w:szCs w:val="22"/>
        </w:rPr>
        <w:t xml:space="preserve">3. </w:t>
      </w:r>
      <w:r>
        <w:rPr>
          <w:rFonts w:ascii="바탕" w:cs="바탕" w:eastAsia="바탕" w:hAnsi="바탕"/>
          <w:sz w:val="22"/>
          <w:szCs w:val="22"/>
        </w:rPr>
        <w:t xml:space="preserve">가주어 'it'과 'that'절을 활용하여 '~할 가능성이 높다'는 의미를 포함할 것</w:t>
      </w:r>
    </w:p>
    <w:p>
      <w:pPr>
        <w:spacing w:after="40" w:line="312"/>
        <w:ind w:left="400" w:hanging="200"/>
      </w:pPr>
      <w:r>
        <w:rPr>
          <w:rFonts w:ascii="바탕" w:cs="바탕" w:eastAsia="바탕" w:hAnsi="바탕"/>
          <w:sz w:val="22"/>
          <w:szCs w:val="22"/>
        </w:rPr>
        <w:t xml:space="preserve">4. </w:t>
      </w:r>
      <w:r>
        <w:rPr>
          <w:rFonts w:ascii="바탕" w:cs="바탕" w:eastAsia="바탕" w:hAnsi="바탕"/>
          <w:sz w:val="22"/>
          <w:szCs w:val="22"/>
        </w:rPr>
        <w:t xml:space="preserve">가정법 과거 시제에 맞춰 조동사 'would'를 반드시 포함할 것</w:t>
      </w:r>
    </w:p>
    <w:p>
      <w:pPr>
        <w:spacing w:after="40" w:line="312"/>
        <w:ind w:left="400" w:hanging="200"/>
      </w:pPr>
      <w:r>
        <w:rPr>
          <w:rFonts w:ascii="바탕" w:cs="바탕" w:eastAsia="바탕" w:hAnsi="바탕"/>
          <w:sz w:val="22"/>
          <w:szCs w:val="22"/>
        </w:rPr>
        <w:t xml:space="preserve">5. </w:t>
      </w:r>
      <w:r>
        <w:rPr>
          <w:rFonts w:ascii="바탕" w:cs="바탕" w:eastAsia="바탕" w:hAnsi="바탕"/>
          <w:sz w:val="22"/>
          <w:szCs w:val="22"/>
        </w:rPr>
        <w:t xml:space="preserve">제시어 'form', 'imitation', 'intention'을 반드시 한 번씩 사용할 것 (필요 시 복수형 등 어형 변화 가능)</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pct" w:w="100%"/>
            <w:tcBorders>
              <w:top w:val="single" w:color="000000" w:sz="4"/>
              <w:left w:val="single" w:color="000000" w:sz="4"/>
              <w:bottom w:val="single" w:color="000000" w:sz="4"/>
              <w:right w:val="single" w:color="000000" w:sz="4"/>
            </w:tcBorders>
            <w:tcMar>
              <w:top w:type="dxa" w:w="160"/>
              <w:left w:type="dxa" w:w="240"/>
              <w:bottom w:type="dxa" w:w="160"/>
              <w:right w:type="dxa" w:w="240"/>
            </w:tcMar>
          </w:tcPr>
          <w:p>
            <w:pPr>
              <w:spacing w:after="0" w:line="312"/>
              <w:jc w:val="both"/>
            </w:pPr>
            <w:r>
              <w:rPr>
                <w:rFonts w:ascii="Times New Roman" w:cs="Times New Roman" w:eastAsia="Times New Roman" w:hAnsi="Times New Roman"/>
                <w:sz w:val="22"/>
                <w:szCs w:val="22"/>
              </w:rPr>
              <w:t xml:space="preserve">There is an obvious problem with the history of dress in all of its displays and that is, although textiles survive from early periods and cultures of recorded history, actual garments do not provide an uninterrupted flow of evidence across the same long time-span. Therefore, to give the study of dress equal significance to other areas such as architecture, painting, prints, drawings and sculpture, it was inevitable that these other areas would provide much of the source material. The history of surviving dress really only starts in the 17th century, and like all artefacts described as fine or decorative art, is a highly visual subject. However, unlike most of the categories of collection and study that make up those areas, it is fluid rather than static. Garments should be seen in movement on a human body, not frozen on a display figure. This is one of the many difficulties when curating collections of costume and also why some modern writers find costume collections physically and intellectually lifeless. Fortunately, in the period after 1660, when more items of dress survive to enrich our understanding of the history of the subject, there are also many painted, printed, photographed and filmed sources of evidence of people in clothing, caught in movement. Often a variety of different types of illustrative examples will provide evidence about how a garment was worn within the period in which it was made. Without the information contained in art in all of its forms, from drawing to sculpture, it is likely that displays of historic dress would be awkward imitations of the intentions of their original makers and owners.</w:t>
            </w:r>
          </w:p>
        </w:tc>
      </w:tr>
    </w:tbl>
    <w:p>
      <w:pPr>
        <w:spacing w:after="120"/>
      </w:pPr>
    </w:p>
    <w:p>
      <w:pPr>
        <w:pBdr>
          <w:top w:val="none" w:color="FFFFFF" w:sz="0"/>
          <w:bottom w:val="single" w:color="CCCCCC" w:sz="4"/>
          <w:left w:val="none" w:color="FFFFFF" w:sz="0"/>
          <w:right w:val="none" w:color="FFFFFF" w:sz="0"/>
        </w:pBdr>
        <w:spacing w:after="160" w:before="160"/>
      </w:pPr>
      <w:r>
        <w:t xml:space="preserve"> </w:t>
      </w:r>
    </w:p>
    <w:p>
      <w:pPr>
        <w:spacing w:after="120" w:before="240"/>
      </w:pPr>
      <w:r>
        <w:rPr>
          <w:rFonts w:ascii="바탕" w:cs="바탕" w:eastAsia="바탕" w:hAnsi="바탕"/>
          <w:b/>
          <w:bCs/>
          <w:sz w:val="24"/>
          <w:szCs w:val="24"/>
        </w:rPr>
        <w:t xml:space="preserve">4. </w:t>
      </w:r>
      <w:r>
        <w:rPr>
          <w:rFonts w:ascii="바탕" w:cs="바탕" w:eastAsia="바탕" w:hAnsi="바탕"/>
          <w:b w:val="false"/>
          <w:bCs w:val="false"/>
          <w:sz w:val="22"/>
          <w:szCs w:val="22"/>
        </w:rPr>
        <w:t xml:space="preserve">다음 밑줄 친 단어의 의미와 가장 유사한 것은?</w:t>
      </w:r>
      <w:r>
        <w:rPr>
          <w:rFonts w:ascii="바탕" w:cs="바탕" w:eastAsia="바탕" w:hAnsi="바탕"/>
          <w:b w:val="false"/>
          <w:bCs w:val="false"/>
          <w:sz w:val="18"/>
          <w:szCs w:val="18"/>
        </w:rPr>
        <w:t xml:space="preserve"> [1점]</w:t>
      </w:r>
    </w:p>
    <w:p>
      <w:pPr>
        <w:spacing w:after="120" w:before="40"/>
        <w:ind w:left="300" w:hanging="300"/>
      </w:pPr>
      <w:r>
        <w:rPr>
          <w:rFonts w:ascii="바탕" w:cs="바탕" w:eastAsia="바탕" w:hAnsi="바탕"/>
          <w:b/>
          <w:bCs/>
          <w:sz w:val="22"/>
          <w:szCs w:val="22"/>
        </w:rPr>
        <w:t xml:space="preserve">&lt;대상 단어&gt; </w:t>
      </w:r>
      <w:r>
        <w:rPr>
          <w:rFonts w:ascii="Times New Roman" w:cs="Times New Roman" w:eastAsia="Times New Roman" w:hAnsi="Times New Roman"/>
          <w:b/>
          <w:bCs/>
          <w:sz w:val="22"/>
          <w:szCs w:val="22"/>
        </w:rPr>
        <w:t xml:space="preserve">fluid</w:t>
      </w:r>
    </w:p>
    <w:p>
      <w:pPr>
        <w:spacing w:after="120" w:before="40"/>
        <w:ind w:left="300" w:hanging="300"/>
      </w:pPr>
      <w:r>
        <w:rPr>
          <w:rFonts w:ascii="바탕" w:cs="바탕" w:eastAsia="바탕" w:hAnsi="바탕"/>
          <w:b/>
          <w:bCs/>
          <w:sz w:val="22"/>
          <w:szCs w:val="22"/>
        </w:rPr>
        <w:t xml:space="preserve">&lt;문맥&gt; </w:t>
      </w:r>
      <w:r>
        <w:rPr>
          <w:rFonts w:ascii="Times New Roman" w:cs="Times New Roman" w:eastAsia="Times New Roman" w:hAnsi="Times New Roman"/>
          <w:i/>
          <w:iCs/>
          <w:sz w:val="22"/>
          <w:szCs w:val="22"/>
        </w:rPr>
        <w:t xml:space="preserve">However, unlike most of the categories of collection and study that make up those areas, it is fluid rather than static.</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pct" w:w="100%"/>
            <w:tcBorders>
              <w:top w:val="single" w:color="000000" w:sz="4"/>
              <w:left w:val="single" w:color="000000" w:sz="4"/>
              <w:bottom w:val="single" w:color="000000" w:sz="4"/>
              <w:right w:val="single" w:color="000000" w:sz="4"/>
            </w:tcBorders>
            <w:tcMar>
              <w:top w:type="dxa" w:w="160"/>
              <w:left w:type="dxa" w:w="240"/>
              <w:bottom w:type="dxa" w:w="160"/>
              <w:right w:type="dxa" w:w="240"/>
            </w:tcMar>
          </w:tcPr>
          <w:p>
            <w:pPr>
              <w:spacing w:after="0" w:line="312"/>
              <w:jc w:val="both"/>
            </w:pPr>
            <w:r>
              <w:rPr>
                <w:rFonts w:ascii="Times New Roman" w:cs="Times New Roman" w:eastAsia="Times New Roman" w:hAnsi="Times New Roman"/>
                <w:sz w:val="22"/>
                <w:szCs w:val="22"/>
              </w:rPr>
              <w:t xml:space="preserve">There is an obvious problem with the history of dress in all of its displays and that is, although textiles survive from early periods and cultures of recorded history, actual garments do not provide an uninterrupted flow of evidence across the same long time-span. Therefore, to give the study of dress equal significance to other areas such as architecture, painting, prints, drawings and sculpture, it was inevitable that these other areas would provide much of the source material. The history of surviving dress really only starts in the 17th century, and like all artefacts described as fine or decorative art, is a highly visual subject. However, unlike most of the categories of collection and study that make up those areas, it is fluid rather than static. Garments should be seen in movement on a human body, not frozen on a display figure. This is one of the many difficulties when curating collections of costume and also why some modern writers find costume collections physically and intellectually lifeless. Fortunately, in the period after 1660, when more items of dress survive to enrich our understanding of the history of the subject, there are also many painted, printed, photographed and filmed sources of evidence of people in clothing, caught in movement. Often a variety of different types of illustrative examples will provide evidence about how a garment was worn within the period in which it was made. Without the information contained in art in all of its forms, from drawing to sculpture, it is likely that displays of historic dress would be awkward imitations of the intentions of their original makers and owners.</w:t>
            </w:r>
          </w:p>
        </w:tc>
      </w:tr>
    </w:tbl>
    <w:p>
      <w:pPr>
        <w:spacing w:after="120"/>
      </w:pPr>
    </w:p>
    <w:tbl>
      <w:tblPr>
        <w:tblW w:type="pct" w:w="100%"/>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100"/>
        <w:gridCol w:w="100"/>
      </w:tblGrid>
      <w:tr>
        <w:tc>
          <w:tcPr>
            <w:tcW w:type="pct" w:w="50%"/>
            <w:tcBorders>
              <w:top w:val="none" w:color="FFFFFF" w:sz="0"/>
              <w:left w:val="none" w:color="FFFFFF" w:sz="0"/>
              <w:bottom w:val="none" w:color="FFFFFF" w:sz="0"/>
              <w:right w:val="none" w:color="FFFFFF" w:sz="0"/>
            </w:tcBorders>
          </w:tcPr>
          <w:p>
            <w:pPr>
              <w:spacing w:line="276"/>
              <w:ind w:left="400" w:hanging="400"/>
            </w:pPr>
            <w:r>
              <w:rPr>
                <w:rFonts w:ascii="Times New Roman" w:cs="Times New Roman" w:eastAsia="Times New Roman" w:hAnsi="Times New Roman"/>
                <w:sz w:val="22"/>
                <w:szCs w:val="22"/>
              </w:rPr>
              <w:t xml:space="preserve">1   </w:t>
            </w:r>
            <w:r>
              <w:rPr>
                <w:rFonts w:ascii="Times New Roman" w:cs="Times New Roman" w:eastAsia="Times New Roman" w:hAnsi="Times New Roman"/>
                <w:sz w:val="22"/>
                <w:szCs w:val="22"/>
              </w:rPr>
              <w:t xml:space="preserve">stable</w:t>
            </w:r>
          </w:p>
        </w:tc>
        <w:tc>
          <w:tcPr>
            <w:tcW w:type="pct" w:w="50%"/>
            <w:tcBorders>
              <w:top w:val="none" w:color="FFFFFF" w:sz="0"/>
              <w:left w:val="none" w:color="FFFFFF" w:sz="0"/>
              <w:bottom w:val="none" w:color="FFFFFF" w:sz="0"/>
              <w:right w:val="none" w:color="FFFFFF" w:sz="0"/>
            </w:tcBorders>
          </w:tcPr>
          <w:p>
            <w:pPr>
              <w:spacing w:line="276"/>
              <w:ind w:left="400" w:hanging="400"/>
            </w:pPr>
            <w:r>
              <w:rPr>
                <w:rFonts w:ascii="Times New Roman" w:cs="Times New Roman" w:eastAsia="Times New Roman" w:hAnsi="Times New Roman"/>
                <w:sz w:val="22"/>
                <w:szCs w:val="22"/>
              </w:rPr>
              <w:t xml:space="preserve">2   </w:t>
            </w:r>
            <w:r>
              <w:rPr>
                <w:rFonts w:ascii="Times New Roman" w:cs="Times New Roman" w:eastAsia="Times New Roman" w:hAnsi="Times New Roman"/>
                <w:sz w:val="22"/>
                <w:szCs w:val="22"/>
              </w:rPr>
              <w:t xml:space="preserve">mutable</w:t>
            </w:r>
          </w:p>
        </w:tc>
      </w:tr>
      <w:tr>
        <w:tc>
          <w:tcPr>
            <w:tcW w:type="pct" w:w="50%"/>
            <w:tcBorders>
              <w:top w:val="none" w:color="FFFFFF" w:sz="0"/>
              <w:left w:val="none" w:color="FFFFFF" w:sz="0"/>
              <w:bottom w:val="none" w:color="FFFFFF" w:sz="0"/>
              <w:right w:val="none" w:color="FFFFFF" w:sz="0"/>
            </w:tcBorders>
          </w:tcPr>
          <w:p>
            <w:pPr>
              <w:spacing w:line="276"/>
              <w:ind w:left="400" w:hanging="400"/>
            </w:pPr>
            <w:r>
              <w:rPr>
                <w:rFonts w:ascii="Times New Roman" w:cs="Times New Roman" w:eastAsia="Times New Roman" w:hAnsi="Times New Roman"/>
                <w:sz w:val="22"/>
                <w:szCs w:val="22"/>
              </w:rPr>
              <w:t xml:space="preserve">3   </w:t>
            </w:r>
            <w:r>
              <w:rPr>
                <w:rFonts w:ascii="Times New Roman" w:cs="Times New Roman" w:eastAsia="Times New Roman" w:hAnsi="Times New Roman"/>
                <w:sz w:val="22"/>
                <w:szCs w:val="22"/>
              </w:rPr>
              <w:t xml:space="preserve">rigid</w:t>
            </w:r>
          </w:p>
        </w:tc>
        <w:tc>
          <w:tcPr>
            <w:tcW w:type="pct" w:w="50%"/>
            <w:tcBorders>
              <w:top w:val="none" w:color="FFFFFF" w:sz="0"/>
              <w:left w:val="none" w:color="FFFFFF" w:sz="0"/>
              <w:bottom w:val="none" w:color="FFFFFF" w:sz="0"/>
              <w:right w:val="none" w:color="FFFFFF" w:sz="0"/>
            </w:tcBorders>
          </w:tcPr>
          <w:p>
            <w:pPr>
              <w:spacing w:line="276"/>
              <w:ind w:left="400" w:hanging="400"/>
            </w:pPr>
            <w:r>
              <w:rPr>
                <w:rFonts w:ascii="Times New Roman" w:cs="Times New Roman" w:eastAsia="Times New Roman" w:hAnsi="Times New Roman"/>
                <w:sz w:val="22"/>
                <w:szCs w:val="22"/>
              </w:rPr>
              <w:t xml:space="preserve">4   </w:t>
            </w:r>
            <w:r>
              <w:rPr>
                <w:rFonts w:ascii="Times New Roman" w:cs="Times New Roman" w:eastAsia="Times New Roman" w:hAnsi="Times New Roman"/>
                <w:sz w:val="22"/>
                <w:szCs w:val="22"/>
              </w:rPr>
              <w:t xml:space="preserve">stagnant</w:t>
            </w:r>
          </w:p>
        </w:tc>
      </w:tr>
      <w:tr>
        <w:tc>
          <w:tcPr>
            <w:tcW w:type="pct" w:w="50%"/>
            <w:tcBorders>
              <w:top w:val="none" w:color="FFFFFF" w:sz="0"/>
              <w:left w:val="none" w:color="FFFFFF" w:sz="0"/>
              <w:bottom w:val="none" w:color="FFFFFF" w:sz="0"/>
              <w:right w:val="none" w:color="FFFFFF" w:sz="0"/>
            </w:tcBorders>
          </w:tcPr>
          <w:p>
            <w:pPr>
              <w:spacing w:line="276"/>
              <w:ind w:left="400" w:hanging="400"/>
            </w:pPr>
            <w:r>
              <w:rPr>
                <w:rFonts w:ascii="Times New Roman" w:cs="Times New Roman" w:eastAsia="Times New Roman" w:hAnsi="Times New Roman"/>
                <w:sz w:val="22"/>
                <w:szCs w:val="22"/>
              </w:rPr>
              <w:t xml:space="preserve">5   </w:t>
            </w:r>
            <w:r>
              <w:rPr>
                <w:rFonts w:ascii="Times New Roman" w:cs="Times New Roman" w:eastAsia="Times New Roman" w:hAnsi="Times New Roman"/>
                <w:sz w:val="22"/>
                <w:szCs w:val="22"/>
              </w:rPr>
              <w:t xml:space="preserve">transparent</w:t>
            </w:r>
          </w:p>
        </w:tc>
        <w:tc>
          <w:tcPr>
            <w:tcBorders>
              <w:top w:val="none" w:color="FFFFFF" w:sz="0"/>
              <w:left w:val="none" w:color="FFFFFF" w:sz="0"/>
              <w:bottom w:val="none" w:color="FFFFFF" w:sz="0"/>
              <w:right w:val="none" w:color="FFFFFF" w:sz="0"/>
            </w:tcBorders>
          </w:tcPr>
          <w:p>
            <w:r>
              <w:t xml:space="preserve"> </w:t>
            </w:r>
          </w:p>
        </w:tc>
      </w:tr>
    </w:tbl>
    <w:p>
      <w:pPr>
        <w:spacing w:after="120"/>
      </w:pPr>
    </w:p>
    <w:p>
      <w:pPr>
        <w:pBdr>
          <w:top w:val="none" w:color="FFFFFF" w:sz="0"/>
          <w:bottom w:val="single" w:color="CCCCCC" w:sz="4"/>
          <w:left w:val="none" w:color="FFFFFF" w:sz="0"/>
          <w:right w:val="none" w:color="FFFFFF" w:sz="0"/>
        </w:pBdr>
        <w:spacing w:after="160" w:before="160"/>
      </w:pPr>
      <w:r>
        <w:t xml:space="preserve"> </w:t>
      </w:r>
    </w:p>
    <w:p>
      <w:pPr>
        <w:pBdr>
          <w:top w:val="none" w:color="FFFFFF" w:sz="0"/>
          <w:bottom w:val="single" w:color="333333" w:sz="12"/>
          <w:left w:val="none" w:color="FFFFFF" w:sz="0"/>
          <w:right w:val="none" w:color="FFFFFF" w:sz="0"/>
        </w:pBdr>
        <w:spacing w:after="200" w:before="300"/>
      </w:pPr>
      <w:r>
        <w:t xml:space="preserve"> </w:t>
      </w:r>
    </w:p>
    <w:p>
      <w:pPr>
        <w:spacing w:after="200"/>
        <w:jc w:val="center"/>
      </w:pPr>
      <w:r>
        <w:rPr>
          <w:rFonts w:ascii="바탕" w:cs="바탕" w:eastAsia="바탕" w:hAnsi="바탕"/>
          <w:b/>
          <w:bCs/>
          <w:sz w:val="28"/>
          <w:szCs w:val="28"/>
        </w:rPr>
        <w:t xml:space="preserve">정 답 표</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c>
          <w:tcPr>
            <w:tcW w:type="pct" w:w="20%"/>
            <w:tcBorders>
              <w:top w:val="single" w:color="333333" w:sz="8"/>
              <w:left w:val="single" w:color="333333" w:sz="8"/>
              <w:bottom w:val="single" w:color="333333" w:sz="8"/>
              <w:right w:val="single" w:color="CCCCCC" w:sz="4"/>
            </w:tcBorders>
            <w:shd w:fill="F5F5F5"/>
          </w:tcPr>
          <w:p>
            <w:pPr>
              <w:spacing w:after="40" w:before="40"/>
              <w:jc w:val="center"/>
            </w:pPr>
            <w:r>
              <w:rPr>
                <w:rFonts w:ascii="바탕" w:cs="바탕" w:eastAsia="바탕" w:hAnsi="바탕"/>
                <w:b/>
                <w:bCs/>
                <w:sz w:val="20"/>
                <w:szCs w:val="20"/>
              </w:rPr>
              <w:t xml:space="preserve">문항</w:t>
            </w:r>
            <w:r>
              <w:rPr>
                <w:rFonts w:ascii="바탕" w:cs="바탕" w:eastAsia="바탕" w:hAnsi="바탕"/>
                <w:sz w:val="20"/>
                <w:szCs w:val="20"/>
              </w:rPr>
              <w:t xml:space="preserve"> / </w:t>
            </w:r>
            <w:r>
              <w:rPr>
                <w:rFonts w:ascii="바탕" w:cs="바탕" w:eastAsia="바탕" w:hAnsi="바탕"/>
                <w:b/>
                <w:bCs/>
                <w:sz w:val="20"/>
                <w:szCs w:val="20"/>
              </w:rPr>
              <w:t xml:space="preserve">정답</w:t>
            </w:r>
          </w:p>
        </w:tc>
        <w:tc>
          <w:tcPr>
            <w:tcW w:type="pct" w:w="20%"/>
            <w:tcBorders>
              <w:top w:val="single" w:color="333333" w:sz="8"/>
              <w:left w:val="single" w:color="CCCCCC" w:sz="4"/>
              <w:bottom w:val="single" w:color="333333" w:sz="8"/>
              <w:right w:val="single" w:color="CCCCCC" w:sz="4"/>
            </w:tcBorders>
            <w:shd w:fill="F5F5F5"/>
          </w:tcPr>
          <w:p>
            <w:pPr>
              <w:spacing w:after="40" w:before="40"/>
              <w:jc w:val="center"/>
            </w:pPr>
            <w:r>
              <w:rPr>
                <w:rFonts w:ascii="바탕" w:cs="바탕" w:eastAsia="바탕" w:hAnsi="바탕"/>
                <w:b/>
                <w:bCs/>
                <w:sz w:val="20"/>
                <w:szCs w:val="20"/>
              </w:rPr>
              <w:t xml:space="preserve">문항</w:t>
            </w:r>
            <w:r>
              <w:rPr>
                <w:rFonts w:ascii="바탕" w:cs="바탕" w:eastAsia="바탕" w:hAnsi="바탕"/>
                <w:sz w:val="20"/>
                <w:szCs w:val="20"/>
              </w:rPr>
              <w:t xml:space="preserve"> / </w:t>
            </w:r>
            <w:r>
              <w:rPr>
                <w:rFonts w:ascii="바탕" w:cs="바탕" w:eastAsia="바탕" w:hAnsi="바탕"/>
                <w:b/>
                <w:bCs/>
                <w:sz w:val="20"/>
                <w:szCs w:val="20"/>
              </w:rPr>
              <w:t xml:space="preserve">정답</w:t>
            </w:r>
          </w:p>
        </w:tc>
        <w:tc>
          <w:tcPr>
            <w:tcW w:type="pct" w:w="20%"/>
            <w:tcBorders>
              <w:top w:val="single" w:color="333333" w:sz="8"/>
              <w:left w:val="single" w:color="CCCCCC" w:sz="4"/>
              <w:bottom w:val="single" w:color="333333" w:sz="8"/>
              <w:right w:val="single" w:color="CCCCCC" w:sz="4"/>
            </w:tcBorders>
            <w:shd w:fill="F5F5F5"/>
          </w:tcPr>
          <w:p>
            <w:pPr>
              <w:spacing w:after="40" w:before="40"/>
              <w:jc w:val="center"/>
            </w:pPr>
            <w:r>
              <w:rPr>
                <w:rFonts w:ascii="바탕" w:cs="바탕" w:eastAsia="바탕" w:hAnsi="바탕"/>
                <w:b/>
                <w:bCs/>
                <w:sz w:val="20"/>
                <w:szCs w:val="20"/>
              </w:rPr>
              <w:t xml:space="preserve">문항</w:t>
            </w:r>
            <w:r>
              <w:rPr>
                <w:rFonts w:ascii="바탕" w:cs="바탕" w:eastAsia="바탕" w:hAnsi="바탕"/>
                <w:sz w:val="20"/>
                <w:szCs w:val="20"/>
              </w:rPr>
              <w:t xml:space="preserve"> / </w:t>
            </w:r>
            <w:r>
              <w:rPr>
                <w:rFonts w:ascii="바탕" w:cs="바탕" w:eastAsia="바탕" w:hAnsi="바탕"/>
                <w:b/>
                <w:bCs/>
                <w:sz w:val="20"/>
                <w:szCs w:val="20"/>
              </w:rPr>
              <w:t xml:space="preserve">정답</w:t>
            </w:r>
          </w:p>
        </w:tc>
        <w:tc>
          <w:tcPr>
            <w:tcW w:type="pct" w:w="20%"/>
            <w:tcBorders>
              <w:top w:val="single" w:color="333333" w:sz="8"/>
              <w:left w:val="single" w:color="CCCCCC" w:sz="4"/>
              <w:bottom w:val="single" w:color="333333" w:sz="8"/>
              <w:right w:val="single" w:color="CCCCCC" w:sz="4"/>
            </w:tcBorders>
            <w:shd w:fill="F5F5F5"/>
          </w:tcPr>
          <w:p>
            <w:pPr>
              <w:spacing w:after="40" w:before="40"/>
              <w:jc w:val="center"/>
            </w:pPr>
            <w:r>
              <w:rPr>
                <w:rFonts w:ascii="바탕" w:cs="바탕" w:eastAsia="바탕" w:hAnsi="바탕"/>
                <w:b/>
                <w:bCs/>
                <w:sz w:val="20"/>
                <w:szCs w:val="20"/>
              </w:rPr>
              <w:t xml:space="preserve">문항</w:t>
            </w:r>
            <w:r>
              <w:rPr>
                <w:rFonts w:ascii="바탕" w:cs="바탕" w:eastAsia="바탕" w:hAnsi="바탕"/>
                <w:sz w:val="20"/>
                <w:szCs w:val="20"/>
              </w:rPr>
              <w:t xml:space="preserve"> / </w:t>
            </w:r>
            <w:r>
              <w:rPr>
                <w:rFonts w:ascii="바탕" w:cs="바탕" w:eastAsia="바탕" w:hAnsi="바탕"/>
                <w:b/>
                <w:bCs/>
                <w:sz w:val="20"/>
                <w:szCs w:val="20"/>
              </w:rPr>
              <w:t xml:space="preserve">정답</w:t>
            </w:r>
          </w:p>
        </w:tc>
        <w:tc>
          <w:tcPr>
            <w:tcW w:type="pct" w:w="20%"/>
            <w:tcBorders>
              <w:top w:val="single" w:color="333333" w:sz="8"/>
              <w:left w:val="single" w:color="CCCCCC" w:sz="4"/>
              <w:bottom w:val="single" w:color="333333" w:sz="8"/>
              <w:right w:val="single" w:color="333333" w:sz="8"/>
            </w:tcBorders>
            <w:shd w:fill="F5F5F5"/>
          </w:tcPr>
          <w:p>
            <w:pPr>
              <w:spacing w:after="40" w:before="40"/>
              <w:jc w:val="center"/>
            </w:pPr>
            <w:r>
              <w:rPr>
                <w:rFonts w:ascii="바탕" w:cs="바탕" w:eastAsia="바탕" w:hAnsi="바탕"/>
                <w:b/>
                <w:bCs/>
                <w:sz w:val="20"/>
                <w:szCs w:val="20"/>
              </w:rPr>
              <w:t xml:space="preserve">문항</w:t>
            </w:r>
            <w:r>
              <w:rPr>
                <w:rFonts w:ascii="바탕" w:cs="바탕" w:eastAsia="바탕" w:hAnsi="바탕"/>
                <w:sz w:val="20"/>
                <w:szCs w:val="20"/>
              </w:rPr>
              <w:t xml:space="preserve"> / </w:t>
            </w:r>
            <w:r>
              <w:rPr>
                <w:rFonts w:ascii="바탕" w:cs="바탕" w:eastAsia="바탕" w:hAnsi="바탕"/>
                <w:b/>
                <w:bCs/>
                <w:sz w:val="20"/>
                <w:szCs w:val="20"/>
              </w:rPr>
              <w:t xml:space="preserve">정답</w:t>
            </w:r>
          </w:p>
        </w:tc>
      </w:tr>
      <w:tr>
        <w:tc>
          <w:tcPr>
            <w:tcW w:type="pct" w:w="20%"/>
            <w:tcBorders>
              <w:top w:val="none" w:color="FFFFFF" w:sz="0"/>
              <w:left w:val="single" w:color="333333" w:sz="8"/>
              <w:bottom w:val="single" w:color="333333" w:sz="8"/>
              <w:right w:val="single" w:color="CCCCCC" w:sz="4"/>
            </w:tcBorders>
          </w:tcPr>
          <w:p>
            <w:pPr>
              <w:spacing w:after="40" w:before="40"/>
              <w:jc w:val="center"/>
            </w:pPr>
            <w:r>
              <w:rPr>
                <w:rFonts w:ascii="바탕" w:cs="바탕" w:eastAsia="바탕" w:hAnsi="바탕"/>
                <w:b/>
                <w:bCs/>
                <w:sz w:val="22"/>
                <w:szCs w:val="22"/>
              </w:rPr>
              <w:t xml:space="preserve">1. </w:t>
            </w:r>
            <w:r>
              <w:rPr>
                <w:rFonts w:ascii="Times New Roman" w:cs="Times New Roman" w:eastAsia="Times New Roman" w:hAnsi="Times New Roman"/>
                <w:b/>
                <w:bCs/>
                <w:color w:val="000000"/>
                <w:sz w:val="22"/>
                <w:szCs w:val="22"/>
              </w:rPr>
              <w:t xml:space="preserve">is</w:t>
            </w:r>
          </w:p>
        </w:tc>
        <w:tc>
          <w:tcPr>
            <w:tcW w:type="pct" w:w="20%"/>
            <w:tcBorders>
              <w:top w:val="none" w:color="FFFFFF" w:sz="0"/>
              <w:left w:val="single" w:color="CCCCCC" w:sz="4"/>
              <w:bottom w:val="single" w:color="333333" w:sz="8"/>
              <w:right w:val="single" w:color="CCCCCC" w:sz="4"/>
            </w:tcBorders>
          </w:tcPr>
          <w:p>
            <w:pPr>
              <w:spacing w:after="40" w:before="40"/>
              <w:jc w:val="center"/>
            </w:pPr>
            <w:r>
              <w:rPr>
                <w:rFonts w:ascii="바탕" w:cs="바탕" w:eastAsia="바탕" w:hAnsi="바탕"/>
                <w:b/>
                <w:bCs/>
                <w:sz w:val="22"/>
                <w:szCs w:val="22"/>
              </w:rPr>
              <w:t xml:space="preserve">2. </w:t>
            </w:r>
            <w:r>
              <w:rPr>
                <w:rFonts w:ascii="Times New Roman" w:cs="Times New Roman" w:eastAsia="Times New Roman" w:hAnsi="Times New Roman"/>
                <w:b/>
                <w:bCs/>
                <w:color w:val="000000"/>
                <w:sz w:val="22"/>
                <w:szCs w:val="22"/>
              </w:rPr>
              <w:t xml:space="preserve">If it were not for the information contained in art in all of its forms, from drawing to sculpture, displays of historic dress would likely be awkward imitations of the intentions of their original makers and owners.</w:t>
            </w:r>
          </w:p>
        </w:tc>
        <w:tc>
          <w:tcPr>
            <w:tcW w:type="pct" w:w="20%"/>
            <w:tcBorders>
              <w:top w:val="none" w:color="FFFFFF" w:sz="0"/>
              <w:left w:val="single" w:color="CCCCCC" w:sz="4"/>
              <w:bottom w:val="single" w:color="333333" w:sz="8"/>
              <w:right w:val="single" w:color="CCCCCC" w:sz="4"/>
            </w:tcBorders>
          </w:tcPr>
          <w:p>
            <w:pPr>
              <w:spacing w:after="40" w:before="40"/>
              <w:jc w:val="center"/>
            </w:pPr>
            <w:r>
              <w:rPr>
                <w:rFonts w:ascii="바탕" w:cs="바탕" w:eastAsia="바탕" w:hAnsi="바탕"/>
                <w:b/>
                <w:bCs/>
                <w:sz w:val="22"/>
                <w:szCs w:val="22"/>
              </w:rPr>
              <w:t xml:space="preserve">3. </w:t>
            </w:r>
            <w:r>
              <w:rPr>
                <w:rFonts w:ascii="Times New Roman" w:cs="Times New Roman" w:eastAsia="Times New Roman" w:hAnsi="Times New Roman"/>
                <w:b/>
                <w:bCs/>
                <w:color w:val="000000"/>
                <w:sz w:val="22"/>
                <w:szCs w:val="22"/>
              </w:rPr>
              <w:t xml:space="preserve">Without the information contained in art in all of its forms, from drawing to sculpture, it is likely that displays of historic dress would be awkward imitations of the intentions of their original makers and owners.</w:t>
            </w:r>
          </w:p>
        </w:tc>
        <w:tc>
          <w:tcPr>
            <w:tcW w:type="pct" w:w="20%"/>
            <w:tcBorders>
              <w:top w:val="none" w:color="FFFFFF" w:sz="0"/>
              <w:left w:val="single" w:color="CCCCCC" w:sz="4"/>
              <w:bottom w:val="single" w:color="333333" w:sz="8"/>
              <w:right w:val="single" w:color="CCCCCC" w:sz="4"/>
            </w:tcBorders>
          </w:tcPr>
          <w:p>
            <w:pPr>
              <w:spacing w:after="40" w:before="40"/>
              <w:jc w:val="center"/>
            </w:pPr>
            <w:r>
              <w:rPr>
                <w:rFonts w:ascii="바탕" w:cs="바탕" w:eastAsia="바탕" w:hAnsi="바탕"/>
                <w:b/>
                <w:bCs/>
                <w:sz w:val="22"/>
                <w:szCs w:val="22"/>
              </w:rPr>
              <w:t xml:space="preserve">4. </w:t>
            </w:r>
            <w:r>
              <w:rPr>
                <w:rFonts w:ascii="Times New Roman" w:cs="Times New Roman" w:eastAsia="Times New Roman" w:hAnsi="Times New Roman"/>
                <w:b/>
                <w:bCs/>
                <w:color w:val="000000"/>
                <w:sz w:val="22"/>
                <w:szCs w:val="22"/>
              </w:rPr>
              <w:t xml:space="preserve">2</w:t>
            </w:r>
          </w:p>
        </w:tc>
        <w:tc>
          <w:tcPr>
            <w:tcW w:type="pct" w:w="20%"/>
            <w:tcBorders>
              <w:top w:val="none" w:color="FFFFFF" w:sz="0"/>
              <w:left w:val="single" w:color="CCCCCC" w:sz="4"/>
              <w:bottom w:val="single" w:color="333333" w:sz="8"/>
              <w:right w:val="single" w:color="333333" w:sz="8"/>
            </w:tcBorders>
          </w:tcPr>
          <w:p>
            <w:r>
              <w:t xml:space="preserve"> </w:t>
            </w:r>
          </w:p>
        </w:tc>
      </w:tr>
    </w:tbl>
    <w:sectPr>
      <w:headerReference w:type="default" r:id="rId7"/>
      <w:footerReference w:type="default" r:id="rId8"/>
      <w:pgSz w:w="11906" w:h="16838" w:orient="portrait"/>
      <w:pgMar w:top="720" w:right="720" w:bottom="720" w:left="720" w:header="708" w:footer="708" w:gutter="0"/>
      <w:pgNumType/>
      <w:cols w:space="48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바탕" w:cs="바탕" w:eastAsia="바탕" w:hAnsi="바탕"/>
        <w:color w:val="999999"/>
        <w:sz w:val="20"/>
        <w:szCs w:val="20"/>
      </w:rPr>
      <w:t xml:space="preserve">- </w:t>
    </w:r>
    <w:r>
      <w:rPr>
        <w:rFonts w:ascii="Times New Roman" w:cs="Times New Roman" w:eastAsia="Times New Roman" w:hAnsi="Times New Roman"/>
        <w:color w:val="999999"/>
        <w:sz w:val="20"/>
        <w:szCs w:val="20"/>
      </w:rPr>
      <w:fldChar w:fldCharType="begin"/>
      <w:instrText xml:space="preserve">PAGE</w:instrText>
      <w:fldChar w:fldCharType="separate"/>
      <w:fldChar w:fldCharType="end"/>
    </w:r>
    <w:r>
      <w:rPr>
        <w:rFonts w:ascii="바탕" w:cs="바탕" w:eastAsia="바탕" w:hAnsi="바탕"/>
        <w:color w:val="999999"/>
        <w:sz w:val="20"/>
        <w:szCs w:val="20"/>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바탕" w:cs="바탕" w:eastAsia="바탕" w:hAnsi="바탕"/>
        <w:color w:val="999999"/>
        <w:sz w:val="16"/>
        <w:szCs w:val="16"/>
      </w:rPr>
      <w:t xml:space="preserve">한영고 킬러 내신</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2026-04-05T17:25:05.564Z</dcterms:created>
  <dcterms:modified xsi:type="dcterms:W3CDTF">2026-04-05T17:25:05.564Z</dcterms:modified>
</cp:coreProperties>
</file>

<file path=docProps/custom.xml><?xml version="1.0" encoding="utf-8"?>
<Properties xmlns="http://schemas.openxmlformats.org/officeDocument/2006/custom-properties" xmlns:vt="http://schemas.openxmlformats.org/officeDocument/2006/docPropsVTypes"/>
</file>