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1D1" w:rsidRDefault="002601D1" w:rsidP="002601D1">
      <w:pPr>
        <w:widowControl w:val="0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“Київський фаховий коледж зв’язку”</w:t>
      </w:r>
    </w:p>
    <w:p w:rsidR="002601D1" w:rsidRDefault="002601D1" w:rsidP="002601D1">
      <w:pPr>
        <w:spacing w:before="120" w:after="12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Циклова комісія </w:t>
      </w:r>
      <w:r>
        <w:rPr>
          <w:rFonts w:ascii="Times New Roman" w:hAnsi="Times New Roman" w:cs="Times New Roman"/>
          <w:sz w:val="22"/>
          <w:szCs w:val="22"/>
          <w:u w:val="single"/>
        </w:rPr>
        <w:t>Комп’ютерної інженерії</w:t>
      </w: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ЗВІТ ПО ВИКОНАННЮ </w:t>
      </w:r>
    </w:p>
    <w:p w:rsidR="002601D1" w:rsidRDefault="002601D1" w:rsidP="002601D1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ЛАБОРАТОРНОЇ РОБОТИ №2</w:t>
      </w:r>
    </w:p>
    <w:p w:rsidR="002601D1" w:rsidRDefault="002601D1" w:rsidP="002601D1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2601D1" w:rsidRDefault="002601D1" w:rsidP="002601D1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з дисципліни: «Операційні системи»</w:t>
      </w:r>
    </w:p>
    <w:p w:rsidR="002601D1" w:rsidRDefault="002601D1" w:rsidP="002601D1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Тема: «Знайомство з базовими командами CLI-режиму в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Linux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>»</w:t>
      </w: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ind w:left="6661" w:hanging="708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Виконали студенти </w:t>
      </w:r>
    </w:p>
    <w:p w:rsidR="002601D1" w:rsidRDefault="002601D1" w:rsidP="002601D1">
      <w:pPr>
        <w:ind w:left="6661" w:hanging="708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групи РПЗ-93б</w:t>
      </w:r>
    </w:p>
    <w:p w:rsidR="002601D1" w:rsidRDefault="002601D1" w:rsidP="002601D1">
      <w:pPr>
        <w:ind w:left="6661" w:hanging="708"/>
        <w:jc w:val="righ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Кращенко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М.Р, Тесленко Н.В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Перевірив викладач</w:t>
      </w:r>
    </w:p>
    <w:p w:rsidR="002601D1" w:rsidRDefault="002601D1" w:rsidP="002601D1">
      <w:pPr>
        <w:ind w:left="6661" w:hanging="708"/>
        <w:jc w:val="righ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Сушанова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В.С. </w:t>
      </w: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Київ 2022</w:t>
      </w:r>
    </w:p>
    <w:p w:rsidR="002601D1" w:rsidRDefault="002601D1" w:rsidP="002601D1">
      <w:pPr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ind w:left="900" w:hanging="90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Тема: “Знайомство з базовими командами CLI-режиму в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Linux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>”</w:t>
      </w:r>
    </w:p>
    <w:p w:rsidR="002601D1" w:rsidRDefault="002601D1" w:rsidP="002601D1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2601D1" w:rsidRDefault="002601D1" w:rsidP="002601D1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Мета роботи: </w:t>
      </w:r>
    </w:p>
    <w:p w:rsidR="002601D1" w:rsidRDefault="002601D1" w:rsidP="002601D1">
      <w:pPr>
        <w:numPr>
          <w:ilvl w:val="0"/>
          <w:numId w:val="2"/>
        </w:numPr>
        <w:ind w:left="567" w:hanging="141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Отримання практичних навиків роботи з командними інтерпретаторами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Bash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PowerShell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2601D1" w:rsidRDefault="002601D1" w:rsidP="002601D1">
      <w:pPr>
        <w:numPr>
          <w:ilvl w:val="0"/>
          <w:numId w:val="2"/>
        </w:numPr>
        <w:ind w:left="567" w:hanging="141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Знайомство з базовими текстовими командами в термінальному режимі роботи в різних ОС.</w:t>
      </w:r>
    </w:p>
    <w:p w:rsidR="002601D1" w:rsidRDefault="002601D1" w:rsidP="002601D1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Матеріальне забезпечення занять</w:t>
      </w:r>
    </w:p>
    <w:p w:rsidR="002601D1" w:rsidRDefault="002601D1" w:rsidP="002601D1">
      <w:pPr>
        <w:ind w:left="709" w:hanging="28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1. ЕОМ типу IBM PC.</w:t>
      </w:r>
    </w:p>
    <w:p w:rsidR="002601D1" w:rsidRDefault="002601D1" w:rsidP="002601D1">
      <w:pPr>
        <w:ind w:left="709" w:hanging="28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 ОС сімейства Windows (Windows 7).</w:t>
      </w:r>
    </w:p>
    <w:p w:rsidR="002601D1" w:rsidRDefault="002601D1" w:rsidP="002601D1">
      <w:pPr>
        <w:ind w:left="709" w:hanging="28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 Віртуальна машина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Virtual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Box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Oracle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:rsidR="002601D1" w:rsidRDefault="002601D1" w:rsidP="002601D1">
      <w:pPr>
        <w:ind w:left="709" w:hanging="28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4. Операційна система GNU/</w:t>
      </w:r>
      <w:proofErr w:type="spellStart"/>
      <w:r>
        <w:rPr>
          <w:rFonts w:ascii="Times New Roman" w:hAnsi="Times New Roman" w:cs="Times New Roman"/>
          <w:sz w:val="22"/>
          <w:szCs w:val="22"/>
        </w:rPr>
        <w:t>Linux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CentOS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:rsidR="002601D1" w:rsidRDefault="002601D1" w:rsidP="002601D1">
      <w:pPr>
        <w:ind w:left="709" w:hanging="28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5. Сайт мережевої академії </w:t>
      </w:r>
      <w:proofErr w:type="spellStart"/>
      <w:r>
        <w:rPr>
          <w:rFonts w:ascii="Times New Roman" w:hAnsi="Times New Roman" w:cs="Times New Roman"/>
          <w:sz w:val="22"/>
          <w:szCs w:val="22"/>
        </w:rPr>
        <w:t>Cisco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netacad.com та його онлайн курси по </w:t>
      </w:r>
      <w:proofErr w:type="spellStart"/>
      <w:r>
        <w:rPr>
          <w:rFonts w:ascii="Times New Roman" w:hAnsi="Times New Roman" w:cs="Times New Roman"/>
          <w:sz w:val="22"/>
          <w:szCs w:val="22"/>
        </w:rPr>
        <w:t>Linux</w:t>
      </w:r>
      <w:proofErr w:type="spellEnd"/>
    </w:p>
    <w:p w:rsidR="002601D1" w:rsidRDefault="002601D1" w:rsidP="002601D1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2601D1" w:rsidRDefault="002601D1" w:rsidP="002601D1">
      <w:pPr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ascii="Times New Roman" w:hAnsi="Times New Roman" w:cs="Times New Roman"/>
          <w:b/>
          <w:sz w:val="22"/>
          <w:szCs w:val="22"/>
        </w:rPr>
        <w:t>Завдання для попередньої підготовки.</w:t>
      </w:r>
      <w:r>
        <w:rPr>
          <w:rFonts w:ascii="Times New Roman" w:hAnsi="Times New Roman" w:cs="Times New Roman"/>
          <w:b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2"/>
          <w:szCs w:val="22"/>
          <w:lang w:val="ru-RU"/>
        </w:rPr>
        <w:t>(</w:t>
      </w:r>
      <w:r>
        <w:rPr>
          <w:rFonts w:ascii="Times New Roman" w:hAnsi="Times New Roman" w:cs="Times New Roman"/>
          <w:b/>
          <w:color w:val="FF0000"/>
          <w:sz w:val="22"/>
          <w:szCs w:val="22"/>
          <w:lang w:val="en-US"/>
        </w:rPr>
        <w:t>Nikita</w:t>
      </w:r>
      <w:r>
        <w:rPr>
          <w:rFonts w:ascii="Times New Roman" w:hAnsi="Times New Roman" w:cs="Times New Roman"/>
          <w:b/>
          <w:color w:val="FF0000"/>
          <w:sz w:val="22"/>
          <w:szCs w:val="22"/>
          <w:lang w:val="ru-RU"/>
        </w:rPr>
        <w:t>)</w:t>
      </w:r>
    </w:p>
    <w:p w:rsidR="002601D1" w:rsidRDefault="002601D1" w:rsidP="002601D1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628"/>
        <w:gridCol w:w="4615"/>
      </w:tblGrid>
      <w:tr w:rsidR="002601D1" w:rsidTr="002601D1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commands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shell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оболочка</w:t>
            </w:r>
            <w:proofErr w:type="spellEnd"/>
          </w:p>
        </w:tc>
      </w:tr>
      <w:tr w:rsidR="002601D1" w:rsidTr="002601D1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directory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каталог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files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файлы</w:t>
            </w:r>
            <w:proofErr w:type="spellEnd"/>
          </w:p>
        </w:tc>
      </w:tr>
      <w:tr w:rsidR="002601D1" w:rsidTr="002601D1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filesystem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файловая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система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System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Система</w:t>
            </w:r>
          </w:p>
        </w:tc>
      </w:tr>
      <w:tr w:rsidR="002601D1" w:rsidTr="002601D1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processes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процессы</w:t>
            </w:r>
            <w:proofErr w:type="spellEnd"/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network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сеть</w:t>
            </w:r>
            <w:proofErr w:type="spellEnd"/>
          </w:p>
        </w:tc>
      </w:tr>
    </w:tbl>
    <w:p w:rsidR="002601D1" w:rsidRDefault="002601D1" w:rsidP="002601D1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Дайте визначення наступним поняттям:</w:t>
      </w:r>
    </w:p>
    <w:p w:rsidR="002601D1" w:rsidRDefault="002601D1" w:rsidP="002601D1">
      <w:pPr>
        <w:numPr>
          <w:ilvl w:val="0"/>
          <w:numId w:val="3"/>
        </w:numPr>
        <w:ind w:left="993" w:hanging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Командний інтерпретатор</w:t>
      </w:r>
    </w:p>
    <w:p w:rsidR="002601D1" w:rsidRDefault="002601D1" w:rsidP="002601D1">
      <w:pPr>
        <w:ind w:left="99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computer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program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part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of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an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operating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system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provides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basic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computer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control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capabilities</w:t>
      </w:r>
      <w:proofErr w:type="spellEnd"/>
    </w:p>
    <w:p w:rsidR="002601D1" w:rsidRDefault="002601D1" w:rsidP="002601D1">
      <w:pPr>
        <w:numPr>
          <w:ilvl w:val="0"/>
          <w:numId w:val="3"/>
        </w:numPr>
        <w:ind w:left="993" w:hanging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Консоль та термінал</w:t>
      </w:r>
    </w:p>
    <w:p w:rsidR="002601D1" w:rsidRDefault="002601D1" w:rsidP="002601D1">
      <w:pPr>
        <w:ind w:left="993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Console</w:t>
      </w:r>
    </w:p>
    <w:p w:rsidR="002601D1" w:rsidRDefault="002601D1" w:rsidP="002601D1">
      <w:pPr>
        <w:ind w:left="993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device that allows a computer operator to interact with the operating system.</w:t>
      </w:r>
    </w:p>
    <w:p w:rsidR="002601D1" w:rsidRDefault="002601D1" w:rsidP="002601D1">
      <w:pPr>
        <w:ind w:left="993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Terminal</w:t>
      </w:r>
    </w:p>
    <w:p w:rsidR="002601D1" w:rsidRDefault="002601D1" w:rsidP="002601D1">
      <w:pPr>
        <w:ind w:left="993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device designed to enter human data into a computer system, as well as to display information on a computer</w:t>
      </w:r>
    </w:p>
    <w:p w:rsidR="002601D1" w:rsidRDefault="002601D1" w:rsidP="002601D1">
      <w:pPr>
        <w:numPr>
          <w:ilvl w:val="0"/>
          <w:numId w:val="3"/>
        </w:numPr>
        <w:ind w:left="993" w:hanging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CLI-режим</w:t>
      </w:r>
    </w:p>
    <w:p w:rsidR="002601D1" w:rsidRDefault="002601D1" w:rsidP="002601D1">
      <w:pPr>
        <w:ind w:left="99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type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of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text-based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interface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(TUI)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between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human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computer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in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which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instructions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computer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are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given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primarily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by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typing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strings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of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text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keyboard</w:t>
      </w:r>
      <w:proofErr w:type="spellEnd"/>
    </w:p>
    <w:p w:rsidR="002601D1" w:rsidRDefault="002601D1" w:rsidP="002601D1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Дайте відповіді на наступні питання:</w:t>
      </w:r>
    </w:p>
    <w:p w:rsidR="002601D1" w:rsidRDefault="002601D1" w:rsidP="002601D1">
      <w:pPr>
        <w:numPr>
          <w:ilvl w:val="0"/>
          <w:numId w:val="3"/>
        </w:numPr>
        <w:ind w:left="993" w:hanging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Яким чином в терміналі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Linux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можна дізнатися інформацію про команду, її призначення та параметри?</w:t>
      </w:r>
    </w:p>
    <w:p w:rsidR="002601D1" w:rsidRDefault="002601D1" w:rsidP="002601D1">
      <w:pPr>
        <w:ind w:left="993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man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/*command name*/</w:t>
      </w:r>
    </w:p>
    <w:p w:rsidR="002601D1" w:rsidRDefault="002601D1" w:rsidP="002601D1">
      <w:pPr>
        <w:numPr>
          <w:ilvl w:val="0"/>
          <w:numId w:val="3"/>
        </w:numPr>
        <w:ind w:left="993" w:hanging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Яке призначення команд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ls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pwd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?</w:t>
      </w:r>
    </w:p>
    <w:p w:rsidR="002601D1" w:rsidRDefault="002601D1" w:rsidP="002601D1">
      <w:pPr>
        <w:ind w:left="993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ls –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list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of files and directories in current folder</w:t>
      </w:r>
    </w:p>
    <w:p w:rsidR="002601D1" w:rsidRDefault="002601D1" w:rsidP="002601D1">
      <w:pPr>
        <w:ind w:left="99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pwd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– absolute path of current folder</w:t>
      </w:r>
    </w:p>
    <w:p w:rsidR="002601D1" w:rsidRDefault="002601D1" w:rsidP="002601D1">
      <w:pPr>
        <w:numPr>
          <w:ilvl w:val="0"/>
          <w:numId w:val="3"/>
        </w:numPr>
        <w:ind w:left="993" w:hanging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Яке призначення команд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more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less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cat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в терміналі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Linux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? Які параметри вони можуть мати.</w:t>
      </w:r>
    </w:p>
    <w:p w:rsidR="002601D1" w:rsidRDefault="002601D1" w:rsidP="002601D1">
      <w:pPr>
        <w:ind w:left="99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color w:val="000000"/>
          <w:sz w:val="22"/>
          <w:szCs w:val="22"/>
        </w:rPr>
        <w:t>cat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reads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data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from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files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displays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their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contents</w:t>
      </w:r>
      <w:proofErr w:type="spellEnd"/>
    </w:p>
    <w:tbl>
      <w:tblPr>
        <w:tblStyle w:val="a3"/>
        <w:tblW w:w="0" w:type="auto"/>
        <w:tblInd w:w="993" w:type="dxa"/>
        <w:tblLook w:val="04A0" w:firstRow="1" w:lastRow="0" w:firstColumn="1" w:lastColumn="0" w:noHBand="0" w:noVBand="1"/>
      </w:tblPr>
      <w:tblGrid>
        <w:gridCol w:w="8970"/>
      </w:tblGrid>
      <w:tr w:rsidR="002601D1" w:rsidTr="002601D1">
        <w:tc>
          <w:tcPr>
            <w:tcW w:w="10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szCs w:val="22"/>
                <w:lang w:val="en-US"/>
              </w:rPr>
              <w:t>-b the number of each line of the result, except blank</w:t>
            </w:r>
          </w:p>
        </w:tc>
      </w:tr>
      <w:tr w:rsidR="002601D1" w:rsidTr="002601D1">
        <w:tc>
          <w:tcPr>
            <w:tcW w:w="10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szCs w:val="22"/>
                <w:lang w:val="en-US"/>
              </w:rPr>
              <w:t>-n the number of each line of the result</w:t>
            </w:r>
          </w:p>
        </w:tc>
      </w:tr>
      <w:tr w:rsidR="002601D1" w:rsidTr="002601D1">
        <w:tc>
          <w:tcPr>
            <w:tcW w:w="10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szCs w:val="22"/>
                <w:lang w:val="en-US"/>
              </w:rPr>
              <w:t>-s exclude empty lines from the output</w:t>
            </w:r>
          </w:p>
        </w:tc>
      </w:tr>
      <w:tr w:rsidR="002601D1" w:rsidTr="002601D1">
        <w:tc>
          <w:tcPr>
            <w:tcW w:w="10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szCs w:val="22"/>
                <w:lang w:val="en-US"/>
              </w:rPr>
              <w:t>-t show non-printable characters except the end of the line</w:t>
            </w:r>
          </w:p>
        </w:tc>
      </w:tr>
    </w:tbl>
    <w:p w:rsidR="002601D1" w:rsidRDefault="002601D1" w:rsidP="002601D1">
      <w:pPr>
        <w:ind w:left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more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performs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same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function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cat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, but the difference is that the more command can view the contents of the file per page.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243"/>
      </w:tblGrid>
      <w:tr w:rsidR="002601D1" w:rsidTr="002601D1">
        <w:tc>
          <w:tcPr>
            <w:tcW w:w="10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-p - clear the terminal screen</w:t>
            </w:r>
          </w:p>
        </w:tc>
      </w:tr>
      <w:tr w:rsidR="002601D1" w:rsidTr="002601D1">
        <w:tc>
          <w:tcPr>
            <w:tcW w:w="10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-l - Ignore page break character in text</w:t>
            </w:r>
          </w:p>
        </w:tc>
      </w:tr>
      <w:tr w:rsidR="002601D1" w:rsidTr="002601D1">
        <w:tc>
          <w:tcPr>
            <w:tcW w:w="10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-f - Count the number of logical strings instead of screen</w:t>
            </w:r>
          </w:p>
        </w:tc>
      </w:tr>
      <w:tr w:rsidR="002601D1" w:rsidTr="002601D1">
        <w:tc>
          <w:tcPr>
            <w:tcW w:w="10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-d - display information at the bottom of the page about the keys used to continue, complete or receive instructions</w:t>
            </w:r>
          </w:p>
        </w:tc>
      </w:tr>
    </w:tbl>
    <w:p w:rsidR="002601D1" w:rsidRDefault="002601D1" w:rsidP="002601D1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Le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ss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also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2"/>
        </w:rPr>
        <w:t>tool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displaying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or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other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output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76"/>
        <w:gridCol w:w="4987"/>
      </w:tblGrid>
      <w:tr w:rsidR="002601D1" w:rsidTr="002601D1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-a - </w:t>
            </w:r>
            <w:proofErr w:type="spellStart"/>
            <w:r>
              <w:rPr>
                <w:rFonts w:cs="Times New Roman"/>
                <w:sz w:val="22"/>
                <w:szCs w:val="22"/>
              </w:rPr>
              <w:t>Do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not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search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the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text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currently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displayed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on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the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screen</w:t>
            </w:r>
            <w:proofErr w:type="spellEnd"/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-</w:t>
            </w:r>
            <w:proofErr w:type="spellStart"/>
            <w:r>
              <w:rPr>
                <w:rFonts w:cs="Times New Roman"/>
                <w:sz w:val="22"/>
                <w:szCs w:val="22"/>
              </w:rPr>
              <w:t>hn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cs="Times New Roman"/>
                <w:sz w:val="22"/>
                <w:szCs w:val="22"/>
              </w:rPr>
              <w:t>set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the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maximum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number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of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rows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to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scroll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back</w:t>
            </w:r>
            <w:proofErr w:type="spellEnd"/>
          </w:p>
        </w:tc>
      </w:tr>
      <w:tr w:rsidR="002601D1" w:rsidTr="002601D1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-</w:t>
            </w:r>
            <w:proofErr w:type="spellStart"/>
            <w:r>
              <w:rPr>
                <w:rFonts w:cs="Times New Roman"/>
                <w:sz w:val="22"/>
                <w:szCs w:val="22"/>
              </w:rPr>
              <w:t>yn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cs="Times New Roman"/>
                <w:sz w:val="22"/>
                <w:szCs w:val="22"/>
              </w:rPr>
              <w:t>set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the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maximum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number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of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rows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to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scroll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forward</w:t>
            </w:r>
            <w:proofErr w:type="spellEnd"/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-c - </w:t>
            </w:r>
            <w:proofErr w:type="spellStart"/>
            <w:r>
              <w:rPr>
                <w:rFonts w:cs="Times New Roman"/>
                <w:sz w:val="22"/>
                <w:szCs w:val="22"/>
              </w:rPr>
              <w:t>scroll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through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the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text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Times New Roman"/>
                <w:sz w:val="22"/>
                <w:szCs w:val="22"/>
              </w:rPr>
              <w:t>completely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erasing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the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contents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of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the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screen</w:t>
            </w:r>
            <w:proofErr w:type="spellEnd"/>
          </w:p>
        </w:tc>
      </w:tr>
      <w:tr w:rsidR="002601D1" w:rsidTr="002601D1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F - </w:t>
            </w:r>
            <w:proofErr w:type="spellStart"/>
            <w:r>
              <w:rPr>
                <w:rFonts w:cs="Times New Roman"/>
                <w:sz w:val="22"/>
                <w:szCs w:val="22"/>
              </w:rPr>
              <w:t>exit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if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the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contents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of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the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file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are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contained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on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one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screen</w:t>
            </w:r>
            <w:proofErr w:type="spellEnd"/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-f - </w:t>
            </w:r>
            <w:proofErr w:type="spellStart"/>
            <w:r>
              <w:rPr>
                <w:rFonts w:cs="Times New Roman"/>
                <w:sz w:val="22"/>
                <w:szCs w:val="22"/>
              </w:rPr>
              <w:t>open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cs="Times New Roman"/>
                <w:sz w:val="22"/>
                <w:szCs w:val="22"/>
              </w:rPr>
              <w:t>special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file</w:t>
            </w:r>
            <w:proofErr w:type="spellEnd"/>
          </w:p>
        </w:tc>
      </w:tr>
      <w:tr w:rsidR="002601D1" w:rsidTr="002601D1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-i - </w:t>
            </w:r>
            <w:proofErr w:type="spellStart"/>
            <w:r>
              <w:rPr>
                <w:rFonts w:cs="Times New Roman"/>
                <w:sz w:val="22"/>
                <w:szCs w:val="22"/>
              </w:rPr>
              <w:t>ignore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case</w:t>
            </w:r>
            <w:proofErr w:type="spellEnd"/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-I - </w:t>
            </w:r>
            <w:proofErr w:type="spellStart"/>
            <w:r>
              <w:rPr>
                <w:rFonts w:cs="Times New Roman"/>
                <w:sz w:val="22"/>
                <w:szCs w:val="22"/>
              </w:rPr>
              <w:t>ignore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case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Times New Roman"/>
                <w:sz w:val="22"/>
                <w:szCs w:val="22"/>
              </w:rPr>
              <w:t>even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if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the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search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pattern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contains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uppercase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letters</w:t>
            </w:r>
            <w:proofErr w:type="spellEnd"/>
          </w:p>
        </w:tc>
      </w:tr>
      <w:tr w:rsidR="002601D1" w:rsidTr="002601D1"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lastRenderedPageBreak/>
              <w:t>-</w:t>
            </w:r>
            <w:proofErr w:type="spellStart"/>
            <w:r>
              <w:rPr>
                <w:rFonts w:cs="Times New Roman"/>
                <w:sz w:val="22"/>
                <w:szCs w:val="22"/>
              </w:rPr>
              <w:t>bn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cs="Times New Roman"/>
                <w:sz w:val="22"/>
                <w:szCs w:val="22"/>
              </w:rPr>
              <w:t>set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the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size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of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the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memory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buffer</w:t>
            </w:r>
            <w:proofErr w:type="spellEnd"/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1D1" w:rsidRDefault="002601D1">
            <w:pPr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-</w:t>
            </w:r>
            <w:proofErr w:type="spellStart"/>
            <w:r>
              <w:rPr>
                <w:rFonts w:cs="Times New Roman"/>
                <w:sz w:val="22"/>
                <w:szCs w:val="22"/>
              </w:rPr>
              <w:t>jn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cs="Times New Roman"/>
                <w:sz w:val="22"/>
                <w:szCs w:val="22"/>
              </w:rPr>
              <w:t>specify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in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which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line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the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required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information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should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be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displayed</w:t>
            </w:r>
            <w:proofErr w:type="spellEnd"/>
          </w:p>
        </w:tc>
      </w:tr>
    </w:tbl>
    <w:p w:rsidR="002601D1" w:rsidRDefault="002601D1" w:rsidP="002601D1">
      <w:pPr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</w:rPr>
        <w:t>Хід роботи.</w:t>
      </w:r>
      <w:bookmarkStart w:id="0" w:name="_GoBack"/>
      <w:bookmarkEnd w:id="0"/>
    </w:p>
    <w:p w:rsidR="002601D1" w:rsidRDefault="002601D1" w:rsidP="002601D1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Опишіть дії, які виконують команди для переміщення по системі каталогів:</w:t>
      </w:r>
      <w:r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2"/>
          <w:szCs w:val="22"/>
          <w:lang w:val="ru-RU"/>
        </w:rPr>
        <w:t>(</w:t>
      </w:r>
      <w:r>
        <w:rPr>
          <w:rFonts w:ascii="Times New Roman" w:hAnsi="Times New Roman" w:cs="Times New Roman"/>
          <w:color w:val="FF0000"/>
          <w:sz w:val="22"/>
          <w:szCs w:val="22"/>
          <w:lang w:val="en-US"/>
        </w:rPr>
        <w:t>Nikita</w:t>
      </w:r>
      <w:r>
        <w:rPr>
          <w:rFonts w:ascii="Times New Roman" w:hAnsi="Times New Roman" w:cs="Times New Roman"/>
          <w:color w:val="FF0000"/>
          <w:sz w:val="22"/>
          <w:szCs w:val="22"/>
          <w:lang w:val="ru-RU"/>
        </w:rPr>
        <w:t>)</w:t>
      </w:r>
    </w:p>
    <w:p w:rsidR="002601D1" w:rsidRDefault="002601D1" w:rsidP="002601D1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- cd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command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/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go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root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directory</w:t>
      </w:r>
      <w:proofErr w:type="spellEnd"/>
    </w:p>
    <w:p w:rsidR="002601D1" w:rsidRDefault="002601D1" w:rsidP="002601D1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- cd /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home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command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go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home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directory</w:t>
      </w:r>
      <w:proofErr w:type="spellEnd"/>
    </w:p>
    <w:p w:rsidR="002601D1" w:rsidRDefault="002601D1" w:rsidP="002601D1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- cd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command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~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go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home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directory</w:t>
      </w:r>
      <w:proofErr w:type="spellEnd"/>
    </w:p>
    <w:p w:rsidR="002601D1" w:rsidRDefault="002601D1" w:rsidP="002601D1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command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cd ..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go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up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one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level</w:t>
      </w:r>
      <w:proofErr w:type="spellEnd"/>
    </w:p>
    <w:p w:rsidR="002601D1" w:rsidRDefault="002601D1" w:rsidP="002601D1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command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cd ../ ..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go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up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several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levels</w:t>
      </w:r>
      <w:proofErr w:type="spellEnd"/>
    </w:p>
    <w:p w:rsidR="002601D1" w:rsidRDefault="002601D1" w:rsidP="002601D1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- cd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command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go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previous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folder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ab/>
      </w:r>
    </w:p>
    <w:p w:rsidR="002601D1" w:rsidRDefault="002601D1" w:rsidP="002601D1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Зробіть порівняння можливостей команд для завершення роботи комп’ютера. В якому випадку доцільніше </w:t>
      </w:r>
      <w:r>
        <w:rPr>
          <w:rFonts w:ascii="Times New Roman" w:hAnsi="Times New Roman" w:cs="Times New Roman"/>
          <w:sz w:val="22"/>
          <w:szCs w:val="22"/>
        </w:rPr>
        <w:t>використовувати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кожну з них? Чи можна замінити одну команду іншою? Продемонструйте приклади використання цих команд для виконання наступних дій</w:t>
      </w:r>
    </w:p>
    <w:p w:rsidR="002601D1" w:rsidRDefault="002601D1" w:rsidP="002601D1">
      <w:pPr>
        <w:ind w:left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tbl>
      <w:tblPr>
        <w:tblW w:w="0" w:type="dxa"/>
        <w:jc w:val="right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6"/>
        <w:gridCol w:w="2283"/>
        <w:gridCol w:w="236"/>
        <w:gridCol w:w="7012"/>
      </w:tblGrid>
      <w:tr w:rsidR="002601D1" w:rsidRPr="002601D1" w:rsidTr="002601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601D1" w:rsidRDefault="002601D1">
            <w:pPr>
              <w:rPr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601D1" w:rsidRDefault="002601D1">
            <w:pPr>
              <w:jc w:val="both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 xml:space="preserve">Команда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601D1" w:rsidRDefault="002601D1">
            <w:pPr>
              <w:jc w:val="both"/>
              <w:rPr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70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601D1" w:rsidRDefault="002601D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Дії (деякі з них можна реалізувати </w:t>
            </w:r>
            <w:r>
              <w:rPr>
                <w:sz w:val="22"/>
                <w:szCs w:val="22"/>
              </w:rPr>
              <w:t>кількома</w:t>
            </w:r>
            <w:r>
              <w:rPr>
                <w:color w:val="000000"/>
                <w:sz w:val="22"/>
                <w:szCs w:val="22"/>
              </w:rPr>
              <w:t xml:space="preserve"> різними командами)</w:t>
            </w:r>
          </w:p>
        </w:tc>
      </w:tr>
    </w:tbl>
    <w:p w:rsidR="002601D1" w:rsidRDefault="002601D1" w:rsidP="002601D1">
      <w:pPr>
        <w:ind w:left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R</w:t>
      </w:r>
      <w:proofErr w:type="spellStart"/>
      <w:r>
        <w:rPr>
          <w:rFonts w:ascii="Times New Roman" w:hAnsi="Times New Roman" w:cs="Times New Roman"/>
          <w:sz w:val="22"/>
          <w:szCs w:val="22"/>
        </w:rPr>
        <w:t>eboot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>
        <w:rPr>
          <w:rFonts w:ascii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called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shutdown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-r </w:t>
      </w:r>
      <w:proofErr w:type="spellStart"/>
      <w:r>
        <w:rPr>
          <w:rFonts w:ascii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but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used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separately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logs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system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shutdown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time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deletes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unfinished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processes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waits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disk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write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complete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then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shuts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down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kernel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reboots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Linux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system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shutdown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main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managing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2"/>
        </w:rPr>
        <w:t>system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shutdown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poweroff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identical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halt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except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after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shutting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down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system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a </w:t>
      </w:r>
      <w:proofErr w:type="spellStart"/>
      <w:r>
        <w:rPr>
          <w:rFonts w:ascii="Times New Roman" w:hAnsi="Times New Roman" w:cs="Times New Roman"/>
          <w:sz w:val="22"/>
          <w:szCs w:val="22"/>
        </w:rPr>
        <w:t>special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request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sent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power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management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system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turn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off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power.Контрольні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запитання</w:t>
      </w:r>
    </w:p>
    <w:p w:rsidR="002601D1" w:rsidRDefault="002601D1" w:rsidP="002601D1">
      <w:pPr>
        <w:numPr>
          <w:ilvl w:val="0"/>
          <w:numId w:val="7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Як можна змінити зовнішній вигляд терміналу (колір, розмір, шрифти тощо) у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Linux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під бажання користувача?</w:t>
      </w:r>
    </w:p>
    <w:p w:rsidR="002601D1" w:rsidRDefault="002601D1" w:rsidP="002601D1">
      <w:pPr>
        <w:spacing w:after="120"/>
        <w:ind w:left="709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Write this command</w:t>
      </w:r>
    </w:p>
    <w:p w:rsidR="002601D1" w:rsidRDefault="002601D1" w:rsidP="002601D1">
      <w:pPr>
        <w:spacing w:after="120"/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>
            <wp:extent cx="4991100" cy="236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1D1" w:rsidRDefault="002601D1" w:rsidP="002601D1">
      <w:pPr>
        <w:spacing w:after="120"/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>
            <wp:extent cx="5090160" cy="3733800"/>
            <wp:effectExtent l="76200" t="76200" r="129540" b="95250"/>
            <wp:docPr id="44" name="Рисунок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62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01D1" w:rsidRDefault="002601D1" w:rsidP="002601D1">
      <w:pPr>
        <w:spacing w:after="120"/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lastRenderedPageBreak/>
        <w:drawing>
          <wp:inline distT="0" distB="0" distL="0" distR="0">
            <wp:extent cx="5052060" cy="3550920"/>
            <wp:effectExtent l="76200" t="76200" r="129540" b="68580"/>
            <wp:docPr id="45" name="Рисунок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71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01D1" w:rsidRDefault="002601D1" w:rsidP="002601D1">
      <w:pPr>
        <w:spacing w:after="120"/>
        <w:ind w:left="1080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Choose the one you like</w:t>
      </w:r>
    </w:p>
    <w:p w:rsidR="002601D1" w:rsidRDefault="002601D1" w:rsidP="002601D1">
      <w:pPr>
        <w:spacing w:after="120"/>
        <w:ind w:left="10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>
            <wp:extent cx="4754880" cy="3467100"/>
            <wp:effectExtent l="76200" t="76200" r="140970" b="76200"/>
            <wp:docPr id="47" name="Рисунок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293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01D1" w:rsidRDefault="002601D1" w:rsidP="002601D1">
      <w:pPr>
        <w:spacing w:after="120"/>
        <w:ind w:left="10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lastRenderedPageBreak/>
        <w:drawing>
          <wp:inline distT="0" distB="0" distL="0" distR="0">
            <wp:extent cx="4831080" cy="3009900"/>
            <wp:effectExtent l="76200" t="76200" r="140970" b="57150"/>
            <wp:docPr id="48" name="Рисунок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835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01D1" w:rsidRDefault="002601D1" w:rsidP="002601D1">
      <w:pPr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Охарактеризуйте поняття «віртуальної консолі» в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Linux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. Скільки активних віртуальних консолей може бути у процесі роботи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Linux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по замовчуванню. Як їх викликати та між ними перемикатися? Наведіть приклади?</w:t>
      </w:r>
    </w:p>
    <w:p w:rsidR="002601D1" w:rsidRDefault="002601D1" w:rsidP="002601D1">
      <w:pPr>
        <w:spacing w:after="120"/>
        <w:ind w:left="10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virtual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console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is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conceptual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combination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of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computer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keyboard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display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with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user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interface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Press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Ctrl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Alt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+ F (1-6)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switch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one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of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six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virtual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terminals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first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six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virtual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consoles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work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as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login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password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prompt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terminal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Alt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LeftArrow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Alt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RightArrow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is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used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switch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between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virtual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consoles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2601D1" w:rsidRDefault="002601D1" w:rsidP="002601D1">
      <w:pPr>
        <w:numPr>
          <w:ilvl w:val="0"/>
          <w:numId w:val="7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Яка віртуальна консоль виконує функцію графічної оболонки?  </w:t>
      </w:r>
    </w:p>
    <w:p w:rsidR="002601D1" w:rsidRDefault="002601D1" w:rsidP="002601D1">
      <w:pPr>
        <w:spacing w:after="120"/>
        <w:ind w:left="709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7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and</w:t>
      </w:r>
      <w:r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8. </w:t>
      </w:r>
    </w:p>
    <w:p w:rsidR="002601D1" w:rsidRDefault="002601D1" w:rsidP="002601D1">
      <w:pPr>
        <w:numPr>
          <w:ilvl w:val="0"/>
          <w:numId w:val="7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*** Яким чином можна переключатися в графічний/консольний режим вручну користувачем використовуючи команди в терміналі. Як можна налаштувати завантаження системи тільки в консольному режимі, і тільки за необхідністю (по команді) переходити до графічного? </w:t>
      </w:r>
    </w:p>
    <w:p w:rsidR="002601D1" w:rsidRDefault="002601D1" w:rsidP="002601D1">
      <w:pPr>
        <w:numPr>
          <w:ilvl w:val="0"/>
          <w:numId w:val="7"/>
        </w:numPr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*** Чи можлива реєстрація в системі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Linux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декілька разів під одним і тим же системним ім’ям? Які переваги це може надати?</w:t>
      </w:r>
    </w:p>
    <w:p w:rsidR="002601D1" w:rsidRDefault="002601D1" w:rsidP="002601D1">
      <w:pPr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Yes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it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is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perfectly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normal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log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in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under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same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name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several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times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this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is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one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way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organize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parallel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work</w:t>
      </w:r>
      <w:proofErr w:type="spellEnd"/>
    </w:p>
    <w:p w:rsidR="002601D1" w:rsidRDefault="002601D1" w:rsidP="002601D1">
      <w:pPr>
        <w:numPr>
          <w:ilvl w:val="0"/>
          <w:numId w:val="7"/>
        </w:numPr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*** Охарактеризуйте поняття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tty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у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Linux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. Як воно </w:t>
      </w:r>
      <w:r>
        <w:rPr>
          <w:rFonts w:ascii="Times New Roman" w:hAnsi="Times New Roman" w:cs="Times New Roman"/>
          <w:sz w:val="22"/>
          <w:szCs w:val="22"/>
        </w:rPr>
        <w:t>пов'язане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з віртуальними консолями?</w:t>
      </w:r>
    </w:p>
    <w:p w:rsidR="002601D1" w:rsidRDefault="002601D1" w:rsidP="002601D1">
      <w:pPr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TTY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subsystem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TTY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abstraction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is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one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of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foundations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of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Unix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Unix-like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operating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systems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in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particular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Linux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This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system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is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intended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use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of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one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terminal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by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several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processes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some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input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possibilities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example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sending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signals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with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special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keys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deleting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entered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characters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). </w:t>
      </w:r>
    </w:p>
    <w:p w:rsidR="002601D1" w:rsidRDefault="002601D1" w:rsidP="002601D1">
      <w:pPr>
        <w:ind w:left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bookmarkStart w:id="1" w:name="_heading=h.gjdgxs"/>
      <w:bookmarkEnd w:id="1"/>
    </w:p>
    <w:p w:rsidR="002601D1" w:rsidRDefault="002601D1" w:rsidP="002601D1">
      <w:pPr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Оформлення звіту:</w:t>
      </w:r>
    </w:p>
    <w:p w:rsidR="002601D1" w:rsidRPr="002601D1" w:rsidRDefault="002601D1" w:rsidP="002601D1">
      <w:pPr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Висновок</w:t>
      </w:r>
    </w:p>
    <w:p w:rsidR="002601D1" w:rsidRDefault="002601D1" w:rsidP="002601D1">
      <w:pPr>
        <w:ind w:left="720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In this lab, I learned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the basic concepts and how to work with the Linux system in CLI mode and enter commands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. I also learned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a lot of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useful commands that I'm sure I'll have to use all the time. I had the opportunity to practice using prepositional commands in the laboratory.</w:t>
      </w:r>
    </w:p>
    <w:p w:rsidR="00863119" w:rsidRPr="002601D1" w:rsidRDefault="002601D1">
      <w:pPr>
        <w:rPr>
          <w:lang w:val="en-US"/>
        </w:rPr>
      </w:pPr>
    </w:p>
    <w:sectPr w:rsidR="00863119" w:rsidRPr="002601D1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6043"/>
    <w:multiLevelType w:val="multilevel"/>
    <w:tmpl w:val="74CEA13A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05972072"/>
    <w:multiLevelType w:val="multilevel"/>
    <w:tmpl w:val="D2C45738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503545"/>
    <w:multiLevelType w:val="multilevel"/>
    <w:tmpl w:val="CA6C2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F1D32B4"/>
    <w:multiLevelType w:val="multilevel"/>
    <w:tmpl w:val="AF62F7F4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5084A"/>
    <w:multiLevelType w:val="multilevel"/>
    <w:tmpl w:val="505C5A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868AD"/>
    <w:multiLevelType w:val="multilevel"/>
    <w:tmpl w:val="F5B23F4A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D54178"/>
    <w:multiLevelType w:val="multilevel"/>
    <w:tmpl w:val="D49CDB7C"/>
    <w:lvl w:ilvl="0">
      <w:start w:val="39"/>
      <w:numFmt w:val="bullet"/>
      <w:lvlText w:val="-"/>
      <w:lvlJc w:val="left"/>
      <w:pPr>
        <w:ind w:left="1343" w:hanging="359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D1"/>
    <w:rsid w:val="002601D1"/>
    <w:rsid w:val="00695556"/>
    <w:rsid w:val="0071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72BB"/>
  <w15:chartTrackingRefBased/>
  <w15:docId w15:val="{0BC4251D-F9D1-4027-8AFE-D9BF9633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1D1"/>
    <w:pPr>
      <w:spacing w:after="0" w:line="240" w:lineRule="auto"/>
    </w:pPr>
    <w:rPr>
      <w:rFonts w:ascii="Arimo" w:eastAsia="Times New Roman" w:hAnsi="Arimo" w:cs="Arimo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semiHidden/>
    <w:unhideWhenUsed/>
    <w:rsid w:val="002601D1"/>
    <w:pPr>
      <w:numPr>
        <w:numId w:val="1"/>
      </w:numPr>
    </w:pPr>
  </w:style>
  <w:style w:type="table" w:styleId="a3">
    <w:name w:val="Table Grid"/>
    <w:basedOn w:val="a1"/>
    <w:rsid w:val="002601D1"/>
    <w:pPr>
      <w:spacing w:after="0" w:line="240" w:lineRule="auto"/>
    </w:pPr>
    <w:rPr>
      <w:rFonts w:ascii="Times New Roman" w:eastAsia="Times New Roman" w:hAnsi="Times New Roman" w:cs="Arimo"/>
      <w:sz w:val="24"/>
      <w:szCs w:val="24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972</Words>
  <Characters>5545</Characters>
  <Application>Microsoft Office Word</Application>
  <DocSecurity>0</DocSecurity>
  <Lines>46</Lines>
  <Paragraphs>13</Paragraphs>
  <ScaleCrop>false</ScaleCrop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2022-02-22T21:22:00Z</dcterms:created>
  <dcterms:modified xsi:type="dcterms:W3CDTF">2022-02-22T21:23:00Z</dcterms:modified>
</cp:coreProperties>
</file>