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Material: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670" cy="265049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26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2035" cy="1727200"/>
                                  <wp:effectExtent l="0" t="0" r="0" b="0"/>
                                  <wp:docPr id="3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2035" cy="172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the erosion of lithospheric base for MB (solid lines) and MB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 xml:space="preserve"> (dashed lines) according to the scale factor of mobile belt rheology: 5 (green), 3 (red) and 1 (blue). Black, pink and light green dashed dotted lines correspond</w:t>
                            </w:r>
                            <w:r>
                              <w:rPr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 xml:space="preserve"> to Reference (REF), Alternating Asthenospheric Drag (AAD) and Mobile Belt with Alternating 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000000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>rag (MBA) scenarios, respectively.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1pt;margin-top:0.05pt;width:482pt;height:208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2035" cy="1727200"/>
                            <wp:effectExtent l="0" t="0" r="0" b="0"/>
                            <wp:docPr id="4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2035" cy="172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the erosion of lithospheric base for MB (solid lines) and MB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 xml:space="preserve"> (dashed lines) according to the scale factor of mobile belt rheology: 5 (green), 3 (red) and 1 (blue). Black, pink and light green dashed dotted lines correspond</w:t>
                      </w:r>
                      <w:r>
                        <w:rPr>
                          <w:color w:val="000000"/>
                        </w:rPr>
                        <w:t>s</w:t>
                      </w:r>
                      <w:r>
                        <w:rPr>
                          <w:color w:val="000000"/>
                        </w:rPr>
                        <w:t xml:space="preserve"> to Reference (REF), Alternating Asthenospheric Drag (AAD) and Mobile Belt with Alternating 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000000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D</w:t>
                      </w:r>
                      <w:r>
                        <w:rPr>
                          <w:color w:val="000000"/>
                        </w:rPr>
                        <w:t>rag (MBA) scenarios, respectively.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5930" cy="4578985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360" cy="457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Evolution of temperature anomaly for the preliminary scenario </w:t>
                            </w:r>
                            <w:r>
                              <w:rPr>
                                <w:color w:val="000000"/>
                              </w:rPr>
                              <w:t>(PS)</w:t>
                            </w:r>
                            <w:r>
                              <w:rPr>
                                <w:color w:val="000000"/>
                              </w:rPr>
                              <w:t xml:space="preserve"> used to build the cratonic keel scenarios. Red lines shows the 500, 800, 1300 °C isotherms.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3pt;margin-top:0.05pt;width:435.8pt;height:360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Evolution of temperature anomaly for the preliminary scenario </w:t>
                      </w:r>
                      <w:r>
                        <w:rPr>
                          <w:color w:val="000000"/>
                        </w:rPr>
                        <w:t>(PS)</w:t>
                      </w:r>
                      <w:r>
                        <w:rPr>
                          <w:color w:val="000000"/>
                        </w:rPr>
                        <w:t xml:space="preserve"> used to build the cratonic keel scenarios. Red lines shows the 500, 800, 1300 °C isotherms.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7380" cy="516826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20" cy="516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11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21.05pt;margin-top:2.65pt;width:449.3pt;height:4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12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Plate Tectonics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Dynamic Topography 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Thermal Insulation</w:t>
            </w:r>
          </w:p>
          <w:p>
            <w:pPr>
              <w:pStyle w:val="Contedodatabela"/>
              <w:rPr/>
            </w:pPr>
            <w:r>
              <w:rPr/>
              <w:t>(this study)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Wavelength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&lt;1000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500 – 10,000</w:t>
            </w:r>
            <w:r>
              <w:rPr/>
              <w:t xml:space="preserve"> km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  <w:r>
              <w:rPr/>
              <w:t xml:space="preserve"> – 1000 km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Amplitude 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-11 - 8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+/- 1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+/- 1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Rate [m/Myr]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10² – 10³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4x10¹ - 5x10² [1, 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10⁰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Duration [Myr]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&lt;200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~3 [2]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[1]: Hoggard, M., Austermann, J., Randel, C., &amp; Stephenson, S. (2021). Observational estimates of dynamic topography through space and time. Mantle convection and surface expressions, 371-411. </w:t>
      </w:r>
      <w:hyperlink r:id="rId5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https://doi.org/10.1002/9781119528609.ch15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[2]: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Dávila, F. M., Lithgow-Bertelloni, C., Martina, F., Ávila, P., Nóbile, J., Collo, G., ... &amp; Sánchez, F. (2018). Mantle influence on Andean and pre-Andean topography. The Evolution of the Chilean-Argentinean Andes, 363-385. </w:t>
      </w:r>
      <w:hyperlink r:id="rId6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https://doi.org/10.1007/978-3-319-67774-3_15</w:t>
        </w:r>
      </w:hyperlink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i.org/10.1002/9781119528609.ch15" TargetMode="External"/><Relationship Id="rId6" Type="http://schemas.openxmlformats.org/officeDocument/2006/relationships/hyperlink" Target="https://doi.org/10.1007/978-3-319-67774-3_15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2</Pages>
  <Words>228</Words>
  <Characters>1290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2024-08-05T23:35:18Z</dcterms:modified>
  <cp:revision>8</cp:revision>
  <dc:subject/>
  <dc:title/>
</cp:coreProperties>
</file>