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Supplementary Material: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3940" cy="2651760"/>
                <wp:effectExtent l="0" t="0" r="0" b="0"/>
                <wp:wrapSquare wrapText="largest"/>
                <wp:docPr id="1" name="Quadro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3240" cy="265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a"/>
                              <w:bidi w:val="0"/>
                              <w:spacing w:before="120" w:after="12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122035" cy="1727200"/>
                                  <wp:effectExtent l="0" t="0" r="0" b="0"/>
                                  <wp:docPr id="3" name="Figura1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Figura1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2035" cy="1727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>Figure S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> SEQ Figura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>: Evolution of the erosion of lithospheric base for MB (solid lines) and MB</w:t>
                            </w:r>
                            <w:r>
                              <w:rPr>
                                <w:rFonts w:eastAsia="Noto Serif CJK SC" w:cs="Lohit Devanagari"/>
                                <w:i/>
                                <w:iCs/>
                                <w:color w:val="000000"/>
                                <w:kern w:val="2"/>
                                <w:sz w:val="24"/>
                                <w:szCs w:val="24"/>
                                <w:lang w:val="pt-BR" w:eastAsia="zh-CN" w:bidi="hi-IN"/>
                              </w:rPr>
                              <w:t>D</w:t>
                            </w:r>
                            <w:r>
                              <w:rPr>
                                <w:color w:val="000000"/>
                              </w:rPr>
                              <w:t xml:space="preserve"> (dashed lines) according to the scale factor of mobile belt rheology: 5 (green), 3 (red) and 1 (blue). Black, pink and light green dashed dotted lines corresponds to Reference (REF), Alternating Asthenospheric Drag (AAD) and Mobile Belt with Alternating </w:t>
                            </w:r>
                            <w:r>
                              <w:rPr>
                                <w:rFonts w:eastAsia="Noto Serif CJK SC" w:cs="Lohit Devanagari"/>
                                <w:i/>
                                <w:iCs/>
                                <w:color w:val="000000"/>
                                <w:kern w:val="2"/>
                                <w:sz w:val="24"/>
                                <w:szCs w:val="24"/>
                                <w:lang w:val="pt-BR" w:eastAsia="zh-CN" w:bidi="hi-IN"/>
                              </w:rPr>
                              <w:t>D</w:t>
                            </w:r>
                            <w:r>
                              <w:rPr>
                                <w:color w:val="000000"/>
                              </w:rPr>
                              <w:t>rag (MBA) scenarios, respectively.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1" stroked="f" style="position:absolute;margin-left:-0.15pt;margin-top:0.05pt;width:482.1pt;height:208.7pt;mso-position-horizontal:center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igura"/>
                        <w:bidi w:val="0"/>
                        <w:spacing w:before="120" w:after="120"/>
                        <w:jc w:val="start"/>
                        <w:rPr>
                          <w:color w:val="000000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6122035" cy="1727200"/>
                            <wp:effectExtent l="0" t="0" r="0" b="0"/>
                            <wp:docPr id="4" name="Figura1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Figura1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2035" cy="1727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>Figure S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> SEQ Figura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1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>: Evolution of the erosion of lithospheric base for MB (solid lines) and MB</w:t>
                      </w:r>
                      <w:r>
                        <w:rPr>
                          <w:rFonts w:eastAsia="Noto Serif CJK SC" w:cs="Lohit Devanagari"/>
                          <w:i/>
                          <w:iCs/>
                          <w:color w:val="000000"/>
                          <w:kern w:val="2"/>
                          <w:sz w:val="24"/>
                          <w:szCs w:val="24"/>
                          <w:lang w:val="pt-BR" w:eastAsia="zh-CN" w:bidi="hi-IN"/>
                        </w:rPr>
                        <w:t>D</w:t>
                      </w:r>
                      <w:r>
                        <w:rPr>
                          <w:color w:val="000000"/>
                        </w:rPr>
                        <w:t xml:space="preserve"> (dashed lines) according to the scale factor of mobile belt rheology: 5 (green), 3 (red) and 1 (blue). Black, pink and light green dashed dotted lines corresponds to Reference (REF), Alternating Asthenospheric Drag (AAD) and Mobile Belt with Alternating </w:t>
                      </w:r>
                      <w:r>
                        <w:rPr>
                          <w:rFonts w:eastAsia="Noto Serif CJK SC" w:cs="Lohit Devanagari"/>
                          <w:i/>
                          <w:iCs/>
                          <w:color w:val="000000"/>
                          <w:kern w:val="2"/>
                          <w:sz w:val="24"/>
                          <w:szCs w:val="24"/>
                          <w:lang w:val="pt-BR" w:eastAsia="zh-CN" w:bidi="hi-IN"/>
                        </w:rPr>
                        <w:t>D</w:t>
                      </w:r>
                      <w:r>
                        <w:rPr>
                          <w:color w:val="000000"/>
                        </w:rPr>
                        <w:t>rag (MBA) scenarios, respectively.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537200" cy="4580255"/>
                <wp:effectExtent l="0" t="0" r="0" b="0"/>
                <wp:wrapSquare wrapText="largest"/>
                <wp:docPr id="5" name="Quadro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6440" cy="457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a"/>
                              <w:bidi w:val="0"/>
                              <w:spacing w:before="120" w:after="12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533390" cy="4149725"/>
                                  <wp:effectExtent l="0" t="0" r="0" b="0"/>
                                  <wp:docPr id="7" name="Figura2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Figura2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33390" cy="41497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>Figure S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> SEQ Figura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>: Evolution of temperature anomaly for the preliminary scenario (PS) used to build the cratonic keel scenarios. Red lines shows the 500, 800, 1300 °C isotherms.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2" stroked="f" style="position:absolute;margin-left:22.95pt;margin-top:0.05pt;width:435.9pt;height:360.55pt;mso-position-horizontal:center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igura"/>
                        <w:bidi w:val="0"/>
                        <w:spacing w:before="120" w:after="120"/>
                        <w:jc w:val="start"/>
                        <w:rPr>
                          <w:color w:val="000000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5533390" cy="4149725"/>
                            <wp:effectExtent l="0" t="0" r="0" b="0"/>
                            <wp:docPr id="8" name="Figura2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Figura2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33390" cy="41497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>Figure S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> SEQ Figura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2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>: Evolution of temperature anomaly for the preliminary scenario (PS) used to build the cratonic keel scenarios. Red lines shows the 500, 800, 1300 °C isotherms.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267335</wp:posOffset>
                </wp:positionH>
                <wp:positionV relativeFrom="paragraph">
                  <wp:posOffset>33655</wp:posOffset>
                </wp:positionV>
                <wp:extent cx="5708650" cy="5169535"/>
                <wp:effectExtent l="0" t="0" r="0" b="0"/>
                <wp:wrapSquare wrapText="largest"/>
                <wp:docPr id="9" name="Quadro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8160" cy="5168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a"/>
                              <w:bidi w:val="0"/>
                              <w:spacing w:before="120" w:after="12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04840" cy="4563745"/>
                                  <wp:effectExtent l="0" t="0" r="0" b="0"/>
                                  <wp:docPr id="11" name="Figura3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Figura3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04840" cy="45637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>Figure S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> SEQ Figura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>: Final mean thermal profile for preliminary scenario (blue line) with fitted curve (purple line) used to estimate the mantle potential temperature of 1292 °C (purple filled circle).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3" stroked="f" style="position:absolute;margin-left:21.05pt;margin-top:2.65pt;width:449.4pt;height:406.9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igura"/>
                        <w:bidi w:val="0"/>
                        <w:spacing w:before="120" w:after="120"/>
                        <w:jc w:val="start"/>
                        <w:rPr>
                          <w:color w:val="000000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5704840" cy="4563745"/>
                            <wp:effectExtent l="0" t="0" r="0" b="0"/>
                            <wp:docPr id="12" name="Figura3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Figura3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04840" cy="45637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>Figure S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> SEQ Figura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3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>: Final mean thermal profile for preliminary scenario (blue line) with fitted curve (purple line) used to estimate the mantle potential temperature of 1292 °C (purple filled circle).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Table S1: Comparison of topographic features scales.</w:t>
      </w:r>
    </w:p>
    <w:tbl>
      <w:tblPr>
        <w:tblW w:w="9638" w:type="dxa"/>
        <w:jc w:val="start"/>
        <w:tblInd w:w="55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409"/>
        <w:gridCol w:w="2410"/>
        <w:gridCol w:w="2409"/>
        <w:gridCol w:w="2409"/>
      </w:tblGrid>
      <w:tr>
        <w:trPr/>
        <w:tc>
          <w:tcPr>
            <w:tcW w:w="240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/>
            </w:pPr>
            <w:r>
              <w:rPr/>
              <w:t>Plate Tectonics</w:t>
            </w:r>
          </w:p>
        </w:tc>
        <w:tc>
          <w:tcPr>
            <w:tcW w:w="240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/>
            </w:pPr>
            <w:r>
              <w:rPr/>
              <w:t xml:space="preserve">Dynamic Topography </w:t>
            </w:r>
          </w:p>
        </w:tc>
        <w:tc>
          <w:tcPr>
            <w:tcW w:w="240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dodatabela"/>
              <w:rPr/>
            </w:pPr>
            <w:r>
              <w:rPr/>
              <w:t>Thermal Insulation</w:t>
            </w:r>
          </w:p>
          <w:p>
            <w:pPr>
              <w:pStyle w:val="Contedodatabela"/>
              <w:rPr/>
            </w:pPr>
            <w:r>
              <w:rPr/>
              <w:t>(this study)</w:t>
            </w:r>
          </w:p>
        </w:tc>
      </w:tr>
      <w:tr>
        <w:trPr/>
        <w:tc>
          <w:tcPr>
            <w:tcW w:w="240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/>
            </w:pPr>
            <w:r>
              <w:rPr/>
              <w:t>Wavelength [km]</w:t>
            </w:r>
          </w:p>
        </w:tc>
        <w:tc>
          <w:tcPr>
            <w:tcW w:w="241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/>
            </w:pPr>
            <w:r>
              <w:rPr/>
              <w:t>&lt;1000 km</w:t>
            </w:r>
          </w:p>
        </w:tc>
        <w:tc>
          <w:tcPr>
            <w:tcW w:w="240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  <w:t>500 – 10,000</w:t>
            </w:r>
            <w:r>
              <w:rPr/>
              <w:t xml:space="preserve"> km [2]</w:t>
            </w:r>
          </w:p>
        </w:tc>
        <w:tc>
          <w:tcPr>
            <w:tcW w:w="240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dodatabela"/>
              <w:rPr/>
            </w:pPr>
            <w:r>
              <w:rPr/>
              <w:t>10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  <w:t>0</w:t>
            </w:r>
            <w:r>
              <w:rPr/>
              <w:t xml:space="preserve"> – 1000 km</w:t>
            </w:r>
          </w:p>
        </w:tc>
      </w:tr>
      <w:tr>
        <w:trPr/>
        <w:tc>
          <w:tcPr>
            <w:tcW w:w="240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/>
            </w:pPr>
            <w:r>
              <w:rPr/>
              <w:t>Amplitude [km]</w:t>
            </w:r>
          </w:p>
        </w:tc>
        <w:tc>
          <w:tcPr>
            <w:tcW w:w="241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/>
            </w:pPr>
            <w:r>
              <w:rPr/>
              <w:t>-11 - 8 km</w:t>
            </w:r>
          </w:p>
        </w:tc>
        <w:tc>
          <w:tcPr>
            <w:tcW w:w="240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  <w:t>+/- 1 [2]</w:t>
            </w:r>
          </w:p>
        </w:tc>
        <w:tc>
          <w:tcPr>
            <w:tcW w:w="240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dodatabela"/>
              <w:rPr>
                <w:rFonts w:ascii="Liberation Serif" w:hAnsi="Liberation Serif" w:eastAsia="Noto Serif CJK SC" w:cs="Lohit Devanagari"/>
                <w:b w:val="false"/>
                <w:b w:val="false"/>
                <w:bCs w:val="false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erif CJK SC" w:cs="Lohit Devanagari"/>
                <w:b w:val="false"/>
                <w:bCs w:val="false"/>
                <w:color w:val="auto"/>
                <w:kern w:val="2"/>
                <w:sz w:val="24"/>
                <w:szCs w:val="24"/>
                <w:lang w:val="pt-BR" w:eastAsia="zh-CN" w:bidi="hi-IN"/>
              </w:rPr>
              <w:t>+/- 1</w:t>
            </w:r>
          </w:p>
        </w:tc>
      </w:tr>
      <w:tr>
        <w:trPr/>
        <w:tc>
          <w:tcPr>
            <w:tcW w:w="240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/>
            </w:pPr>
            <w:r>
              <w:rPr/>
              <w:t>Rate [m/Myr]</w:t>
            </w:r>
          </w:p>
        </w:tc>
        <w:tc>
          <w:tcPr>
            <w:tcW w:w="241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/>
            </w:pPr>
            <w:r>
              <w:rPr/>
              <w:t>10² – 10³</w:t>
            </w:r>
          </w:p>
        </w:tc>
        <w:tc>
          <w:tcPr>
            <w:tcW w:w="240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/>
            </w:pPr>
            <w:r>
              <w:rPr/>
              <w:t>4x10¹ - 5x10² [1, 2]</w:t>
            </w:r>
          </w:p>
        </w:tc>
        <w:tc>
          <w:tcPr>
            <w:tcW w:w="240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dodatabela"/>
              <w:rPr/>
            </w:pPr>
            <w:r>
              <w:rPr/>
              <w:t>10</w:t>
            </w:r>
            <w:r>
              <w:rPr/>
              <w:t>⁻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  <w:t>¹</w:t>
            </w:r>
            <w:r>
              <w:rPr/>
              <w:t>-</w:t>
            </w:r>
            <w:r>
              <w:rPr/>
              <w:t>10⁰</w:t>
            </w:r>
          </w:p>
        </w:tc>
      </w:tr>
      <w:tr>
        <w:trPr/>
        <w:tc>
          <w:tcPr>
            <w:tcW w:w="240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/>
            </w:pPr>
            <w:r>
              <w:rPr/>
              <w:t>Duration [Myr]</w:t>
            </w:r>
          </w:p>
        </w:tc>
        <w:tc>
          <w:tcPr>
            <w:tcW w:w="241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/>
            </w:pPr>
            <w:r>
              <w:rPr/>
              <w:t>&lt;200</w:t>
            </w:r>
          </w:p>
        </w:tc>
        <w:tc>
          <w:tcPr>
            <w:tcW w:w="240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/>
            </w:pPr>
            <w:r>
              <w:rPr/>
              <w:t>~3 [2]</w:t>
            </w:r>
          </w:p>
        </w:tc>
        <w:tc>
          <w:tcPr>
            <w:tcW w:w="240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dodatabela"/>
              <w:rPr/>
            </w:pPr>
            <w:r>
              <w:rPr/>
              <w:t>1000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 xml:space="preserve">[1]: Hoggard, M., Austermann, J., Randel, C., &amp; Stephenson, S. (2021). Observational estimates of dynamic topography through space and time. Mantle convection and surface expressions, 371-411. </w:t>
      </w:r>
      <w:hyperlink r:id="rId5">
        <w:r>
          <w:rPr>
            <w:rStyle w:val="LinkdaInternet"/>
            <w:rFonts w:eastAsia="Noto Serif CJK SC" w:cs="Lohit Devanagari"/>
            <w:b w:val="false"/>
            <w:i w:val="false"/>
            <w:caps w:val="false"/>
            <w:smallCaps w:val="false"/>
            <w:color w:val="auto"/>
            <w:spacing w:val="0"/>
            <w:kern w:val="2"/>
            <w:sz w:val="24"/>
            <w:szCs w:val="24"/>
            <w:lang w:val="pt-BR" w:eastAsia="zh-CN" w:bidi="hi-IN"/>
          </w:rPr>
          <w:t>https://doi.org/10.1002/9781119528609.ch15</w:t>
        </w:r>
      </w:hyperlink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 xml:space="preserve"> 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star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[2]: </w:t>
      </w: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 xml:space="preserve">Dávila, F. M., Lithgow-Bertelloni, C., Martina, F., Ávila, P., Nóbile, J., Collo, G., ... &amp; Sánchez, F. (2018). Mantle influence on Andean and pre-Andean topography. The Evolution of the Chilean-Argentinean Andes, 363-385. </w:t>
      </w:r>
      <w:hyperlink r:id="rId6">
        <w:r>
          <w:rPr>
            <w:rStyle w:val="LinkdaInternet"/>
            <w:rFonts w:eastAsia="Noto Serif CJK SC" w:cs="Lohit Devanagari"/>
            <w:b w:val="false"/>
            <w:i w:val="false"/>
            <w:caps w:val="false"/>
            <w:smallCaps w:val="false"/>
            <w:color w:val="auto"/>
            <w:spacing w:val="0"/>
            <w:kern w:val="2"/>
            <w:sz w:val="24"/>
            <w:szCs w:val="24"/>
            <w:lang w:val="pt-BR" w:eastAsia="zh-CN" w:bidi="hi-IN"/>
          </w:rPr>
          <w:t>https://doi.org/10.1007/978-3-319-67774-3_15</w:t>
        </w:r>
      </w:hyperlink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Figura">
    <w:name w:val="Figura"/>
    <w:basedOn w:val="Legenda"/>
    <w:qFormat/>
    <w:pPr/>
    <w:rPr/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doi.org/10.1002/9781119528609.ch15" TargetMode="External"/><Relationship Id="rId6" Type="http://schemas.openxmlformats.org/officeDocument/2006/relationships/hyperlink" Target="https://doi.org/10.1007/978-3-319-67774-3_15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LibreOffice/6.4.7.2$Linux_X86_64 LibreOffice_project/40$Build-2</Application>
  <Pages>2</Pages>
  <Words>237</Words>
  <Characters>1344</Characters>
  <CharactersWithSpaces>1553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2024-06-21T18:37:04Z</dcterms:created>
  <dc:creator/>
  <dc:description/>
  <dc:language>pt-BR</dc:language>
  <cp:lastModifiedBy/>
  <dcterms:modified xsi:type="dcterms:W3CDTF">2024-08-14T13:53:55Z</dcterms:modified>
  <cp:revision>11</cp:revision>
  <dc:subject/>
  <dc:title/>
</cp:coreProperties>
</file>