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Rheological and topograp</w:t>
      </w:r>
      <w:r>
        <w:rPr>
          <w:b/>
          <w:bCs/>
          <w:sz w:val="36"/>
          <w:szCs w:val="36"/>
        </w:rPr>
        <w:t>h</w:t>
      </w:r>
      <w:r>
        <w:rPr>
          <w:b/>
          <w:bCs/>
          <w:sz w:val="36"/>
          <w:szCs w:val="36"/>
        </w:rPr>
        <w:t>ic implications of thermal insulation created by supercontinents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Supplementary Material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4575" cy="265239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6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2035" cy="1727200"/>
                                  <wp:effectExtent l="0" t="0" r="0" b="0"/>
                                  <wp:docPr id="3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2035" cy="172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Figure S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the erosion of lithospheric base for MB (solid lines) and MB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000000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 xml:space="preserve"> (dashed lines) according to the scale factor of mobile belt rheology: 5 (green), 3 (red) and 1 (blue). Black, pink and light green dashed dotted lines corresponds to Reference (REF), Alternating Asthenospheric Drag (AAD) and Mobile Belt with Alternating 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000000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>rag (MBA) scenarios, respectively.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0.15pt;margin-top:0.05pt;width:482.15pt;height:208.7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2035" cy="1727200"/>
                            <wp:effectExtent l="0" t="0" r="0" b="0"/>
                            <wp:docPr id="4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2035" cy="172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Figure S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the erosion of lithospheric base for MB (solid lines) and MB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000000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D</w:t>
                      </w:r>
                      <w:r>
                        <w:rPr>
                          <w:color w:val="000000"/>
                        </w:rPr>
                        <w:t xml:space="preserve"> (dashed lines) according to the scale factor of mobile belt rheology: 5 (green), 3 (red) and 1 (blue). Black, pink and light green dashed dotted lines corresponds to Reference (REF), Alternating Asthenospheric Drag (AAD) and Mobile Belt with Alternating 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000000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D</w:t>
                      </w:r>
                      <w:r>
                        <w:rPr>
                          <w:color w:val="000000"/>
                        </w:rPr>
                        <w:t>rag (MBA) scenarios, respectively.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7835" cy="4580890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160" cy="458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3390" cy="4149725"/>
                                  <wp:effectExtent l="0" t="0" r="0" b="0"/>
                                  <wp:docPr id="7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Figure S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temperature anomaly for the preliminary scenario (PS) used to build the cratonic keel scenarios. Red lines shows the 500, 800, 1300 °C isotherms.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22.95pt;margin-top:0.05pt;width:435.95pt;height:360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33390" cy="4149725"/>
                            <wp:effectExtent l="0" t="0" r="0" b="0"/>
                            <wp:docPr id="8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414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Figure S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temperature anomaly for the preliminary scenario (PS) used to build the cratonic keel scenarios. Red lines shows the 500, 800, 1300 °C isotherms.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267335</wp:posOffset>
                </wp:positionH>
                <wp:positionV relativeFrom="paragraph">
                  <wp:posOffset>33655</wp:posOffset>
                </wp:positionV>
                <wp:extent cx="5709285" cy="5170170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520" cy="51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04840" cy="4563745"/>
                                  <wp:effectExtent l="0" t="0" r="0" b="0"/>
                                  <wp:docPr id="11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840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Figure S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Final mean thermal profile for preliminary scenario (blue line) with fitted curve (purple line) used to estimate the mantle potential temperature of 1292 °C (purple filled circle).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21.05pt;margin-top:2.65pt;width:449.45pt;height:40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04840" cy="4563745"/>
                            <wp:effectExtent l="0" t="0" r="0" b="0"/>
                            <wp:docPr id="12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840" cy="4563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Figure S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Final mean thermal profile for preliminary scenario (blue line) with fitted curve (purple line) used to estimate the mantle potential temperature of 1292 °C (purple filled circle).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Table S1: Comparison of topographic features scales.</w:t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Plate Tectonics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Dynamic Topography 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Thermal Insulation</w:t>
            </w:r>
          </w:p>
          <w:p>
            <w:pPr>
              <w:pStyle w:val="Contedodatabela"/>
              <w:rPr/>
            </w:pPr>
            <w:r>
              <w:rPr/>
              <w:t>(this study)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Wavelength 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&lt;1000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500 – 10,000</w:t>
            </w:r>
            <w:r>
              <w:rPr/>
              <w:t xml:space="preserve"> km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0</w:t>
            </w:r>
            <w:r>
              <w:rPr/>
              <w:t xml:space="preserve"> – 1000 km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Amplitude 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-11 - 8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+/- 1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+/- 1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Rate [m/Myr]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10² – 10³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4x10¹ - 5x10² [1, 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10⁻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¹</w:t>
            </w:r>
            <w:r>
              <w:rPr/>
              <w:t>-10⁰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Duration [Myr]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&lt;200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~3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Supplementary Movies</w:t>
      </w:r>
      <w:r>
        <w:rPr>
          <w:b/>
          <w:bCs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S1: Reference Scenario – REF</w:t>
      </w:r>
    </w:p>
    <w:p>
      <w:pPr>
        <w:pStyle w:val="Normal"/>
        <w:bidi w:val="0"/>
        <w:jc w:val="start"/>
        <w:rPr/>
      </w:pPr>
      <w:r>
        <w:rPr/>
        <w:t>S2: Shifted Cratonic Keel - SCK</w:t>
      </w:r>
    </w:p>
    <w:p>
      <w:pPr>
        <w:pStyle w:val="Normal"/>
        <w:bidi w:val="0"/>
        <w:jc w:val="start"/>
        <w:rPr/>
      </w:pPr>
      <w:r>
        <w:rPr/>
        <w:t>S3: Constant Asthenospheric Drag - CAD</w:t>
      </w:r>
    </w:p>
    <w:p>
      <w:pPr>
        <w:pStyle w:val="Normal"/>
        <w:bidi w:val="0"/>
        <w:jc w:val="start"/>
        <w:rPr/>
      </w:pPr>
      <w:r>
        <w:rPr/>
        <w:t>S4: Alternating Asthenospheric Drag - AAD</w:t>
      </w:r>
    </w:p>
    <w:p>
      <w:pPr>
        <w:pStyle w:val="Normal"/>
        <w:bidi w:val="0"/>
        <w:jc w:val="start"/>
        <w:rPr/>
      </w:pPr>
      <w:r>
        <w:rPr/>
        <w:t>S5: Mobile Belt with viscosity of 5 x wet olivine - MB5</w:t>
      </w:r>
    </w:p>
    <w:p>
      <w:pPr>
        <w:pStyle w:val="Normal"/>
        <w:bidi w:val="0"/>
        <w:jc w:val="start"/>
        <w:rPr/>
      </w:pPr>
      <w:r>
        <w:rPr/>
        <w:t>S6: Mobile Belt with viscosity of 3 x wet olivine - MB3</w:t>
      </w:r>
    </w:p>
    <w:p>
      <w:pPr>
        <w:pStyle w:val="Normal"/>
        <w:bidi w:val="0"/>
        <w:jc w:val="start"/>
        <w:rPr/>
      </w:pPr>
      <w:r>
        <w:rPr/>
        <w:t>S7: Mobile Belt with viscosity of 1 x wet olivine - MB1</w:t>
      </w:r>
    </w:p>
    <w:p>
      <w:pPr>
        <w:pStyle w:val="Normal"/>
        <w:bidi w:val="0"/>
        <w:jc w:val="start"/>
        <w:rPr/>
      </w:pPr>
      <w:r>
        <w:rPr/>
        <w:t>S8: Mobile Belt with viscosity of 5 x wet olivine with Constant Drag - MBD5</w:t>
      </w:r>
    </w:p>
    <w:p>
      <w:pPr>
        <w:pStyle w:val="Normal"/>
        <w:bidi w:val="0"/>
        <w:jc w:val="start"/>
        <w:rPr/>
      </w:pPr>
      <w:r>
        <w:rPr/>
        <w:t>S9: Mobile Belt with viscosity of 3 x wet olivine with Constant Drag - MBD3</w:t>
      </w:r>
    </w:p>
    <w:p>
      <w:pPr>
        <w:pStyle w:val="Normal"/>
        <w:bidi w:val="0"/>
        <w:jc w:val="start"/>
        <w:rPr/>
      </w:pPr>
      <w:r>
        <w:rPr/>
        <w:t>S10: Mobile Belt with viscosity of 1 x wet olivine with Constant Drag - MBD1</w:t>
      </w:r>
    </w:p>
    <w:p>
      <w:pPr>
        <w:pStyle w:val="Normal"/>
        <w:bidi w:val="0"/>
        <w:jc w:val="start"/>
        <w:rPr/>
      </w:pPr>
      <w:r>
        <w:rPr/>
        <w:t>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11</w:t>
      </w:r>
      <w:r>
        <w:rPr/>
        <w:t xml:space="preserve">: Mobile Belt with viscosity of 1 x wet olivine with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Alternating Asthenospheric</w:t>
      </w:r>
      <w:r>
        <w:rPr/>
        <w:t xml:space="preserve"> Drag - MB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References: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[1]: Hoggard, M., Austermann, J., Randel, C., &amp; Stephenson, S. (2021). Observational estimates of dynamic topography through space and time. Mantle convection and surface expressions, 371-411. </w:t>
      </w:r>
      <w:hyperlink r:id="rId5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https://doi.org/10.1002/9781119528609.ch15</w:t>
        </w:r>
      </w:hyperlink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[2]: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Dávila, F. M., Lithgow-Bertelloni, C., Martina, F., Ávila, P., Nóbile, J., Collo, G., ... &amp; Sánchez, F. (2018). Mantle influence on Andean and pre-Andean topography. The Evolution of the Chilean-Argentinean Andes, 363-385. </w:t>
      </w:r>
      <w:hyperlink r:id="rId6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https://doi.org/10.1007/978-3-319-67774-3_15</w:t>
        </w:r>
      </w:hyperlink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i.org/10.1002/9781119528609.ch15" TargetMode="External"/><Relationship Id="rId6" Type="http://schemas.openxmlformats.org/officeDocument/2006/relationships/hyperlink" Target="https://doi.org/10.1007/978-3-319-67774-3_15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3</Pages>
  <Words>369</Words>
  <Characters>1967</Characters>
  <CharactersWithSpaces>2295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2024-06-21T18:37:04Z</dcterms:created>
  <dc:creator/>
  <dc:description/>
  <dc:language>pt-BR</dc:language>
  <cp:lastModifiedBy/>
  <dcterms:modified xsi:type="dcterms:W3CDTF">2024-08-23T14:42:19Z</dcterms:modified>
  <cp:revision>14</cp:revision>
  <dc:subject/>
  <dc:title/>
</cp:coreProperties>
</file>