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237E"/>
          <w:sz w:val="44"/>
        </w:rPr>
        <w:t>ESCUELA NACIONAL DE</w:t>
        <w:br/>
        <w:t>CAPACITACIÓN Y CURSOS EN LÍNEA</w:t>
      </w:r>
    </w:p>
    <w:p/>
    <w:p>
      <w:pPr>
        <w:jc w:val="center"/>
      </w:pPr>
      <w:r>
        <w:rPr>
          <w:b/>
          <w:color w:val="0A0A1A"/>
          <w:sz w:val="56"/>
        </w:rPr>
        <w:t>Manual del Súper Administrador</w:t>
      </w:r>
    </w:p>
    <w:p>
      <w:pPr>
        <w:jc w:val="center"/>
      </w:pPr>
      <w:r>
        <w:rPr>
          <w:color w:val="555555"/>
          <w:sz w:val="28"/>
        </w:rPr>
        <w:t>Guía completa para la administración avanzada de ENCL</w:t>
      </w:r>
    </w:p>
    <w:p/>
    <w:p/>
    <w:p/>
    <w:p/>
    <w:p>
      <w:pPr>
        <w:jc w:val="center"/>
      </w:pPr>
      <w:r>
        <w:rPr>
          <w:color w:val="888888"/>
          <w:sz w:val="22"/>
        </w:rPr>
        <w:t>Versión 1.0 — 2026</w:t>
      </w:r>
    </w:p>
    <w:p>
      <w:r>
        <w:br w:type="page"/>
      </w:r>
    </w:p>
    <w:p>
      <w:r>
        <w:rPr>
          <w:b/>
          <w:color w:val="1A237E"/>
          <w:sz w:val="36"/>
        </w:rPr>
        <w:t>Índice</w:t>
      </w:r>
    </w:p>
    <w:p>
      <w:pPr>
        <w:spacing w:after="40"/>
      </w:pPr>
      <w:r>
        <w:rPr>
          <w:sz w:val="22"/>
        </w:rPr>
        <w:t>1. Introducción</w:t>
      </w:r>
    </w:p>
    <w:p>
      <w:pPr>
        <w:spacing w:after="40"/>
      </w:pPr>
      <w:r>
        <w:rPr>
          <w:sz w:val="22"/>
        </w:rPr>
        <w:t>2. Acceso y seguridad</w:t>
      </w:r>
    </w:p>
    <w:p>
      <w:pPr>
        <w:spacing w:after="40"/>
      </w:pPr>
      <w:r>
        <w:rPr>
          <w:sz w:val="22"/>
        </w:rPr>
        <w:t>3. Gestión de patrocinadores</w:t>
      </w:r>
    </w:p>
    <w:p>
      <w:pPr>
        <w:spacing w:after="40"/>
      </w:pPr>
      <w:r>
        <w:rPr>
          <w:sz w:val="22"/>
        </w:rPr>
        <w:t>4. Gestión de banners</w:t>
      </w:r>
    </w:p>
    <w:p>
      <w:pPr>
        <w:spacing w:after="40"/>
      </w:pPr>
      <w:r>
        <w:rPr>
          <w:sz w:val="22"/>
        </w:rPr>
        <w:t>5. Páginas territoriales</w:t>
      </w:r>
    </w:p>
    <w:p>
      <w:pPr>
        <w:spacing w:after="40"/>
      </w:pPr>
      <w:r>
        <w:rPr>
          <w:sz w:val="22"/>
        </w:rPr>
        <w:t>6. Configuración avanzada</w:t>
      </w:r>
    </w:p>
    <w:p>
      <w:pPr>
        <w:spacing w:after="40"/>
      </w:pPr>
      <w:r>
        <w:rPr>
          <w:sz w:val="22"/>
        </w:rPr>
        <w:t>7. Verificación de certificados</w:t>
      </w:r>
    </w:p>
    <w:p>
      <w:pPr>
        <w:spacing w:after="40"/>
      </w:pPr>
      <w:r>
        <w:rPr>
          <w:sz w:val="22"/>
        </w:rPr>
        <w:t>8. Buenas prácticas</w:t>
      </w:r>
    </w:p>
    <w:p>
      <w:pPr>
        <w:spacing w:after="40"/>
      </w:pPr>
      <w:r>
        <w:rPr>
          <w:sz w:val="22"/>
        </w:rPr>
        <w:t>9. Preguntas frecuentes</w:t>
      </w:r>
    </w:p>
    <w:p>
      <w:r>
        <w:br w:type="page"/>
      </w:r>
    </w:p>
    <w:p>
      <w:pPr>
        <w:spacing w:before="240"/>
      </w:pPr>
      <w:r>
        <w:rPr>
          <w:b/>
          <w:color w:val="1A237E"/>
          <w:sz w:val="32"/>
        </w:rPr>
        <w:t>1. Introducción</w:t>
      </w:r>
    </w:p>
    <w:p>
      <w:pPr>
        <w:spacing w:after="80"/>
      </w:pPr>
      <w:r>
        <w:t>El Súper Administrador tiene el nivel más alto de acceso en la plataforma ENCL.</w:t>
      </w:r>
    </w:p>
    <w:p>
      <w:pPr>
        <w:spacing w:after="80"/>
      </w:pPr>
      <w:r>
        <w:t>Este manual cubre funciones exclusivas como gestión de patrocinadores, banners, páginas territoriales y configuración avanzada del sistema.</w:t>
      </w:r>
    </w:p>
    <w:p>
      <w:pPr>
        <w:spacing w:after="80"/>
      </w:pPr>
      <w:r>
        <w:t>Se recomienda utilizar este acceso con responsabilidad y solo para tareas administrativas que requieran privilegios elevados.</w:t>
      </w:r>
    </w:p>
    <w:p>
      <w:pPr>
        <w:spacing w:before="240"/>
      </w:pPr>
      <w:r>
        <w:rPr>
          <w:b/>
          <w:color w:val="1A237E"/>
          <w:sz w:val="32"/>
        </w:rPr>
        <w:t>2. Acceso y seguridad</w:t>
      </w:r>
    </w:p>
    <w:p>
      <w:pPr>
        <w:spacing w:after="80"/>
      </w:pPr>
      <w:r>
        <w:t>• Use credenciales seguras y no las comparta con nadie.</w:t>
      </w:r>
    </w:p>
    <w:p>
      <w:pPr>
        <w:spacing w:after="80"/>
      </w:pPr>
      <w:r>
        <w:t>• La cuenta de súper administrador no debe usarse para tareas cotidianas.</w:t>
      </w:r>
    </w:p>
    <w:p>
      <w:pPr>
        <w:spacing w:after="80"/>
      </w:pPr>
      <w:r>
        <w:t>• Cree cuentas de administrador para la gestión diaria.</w:t>
      </w:r>
    </w:p>
    <w:p>
      <w:pPr>
        <w:spacing w:after="80"/>
      </w:pPr>
      <w:r>
        <w:t>• Revise periódicamente los accesos y actividades del sistema.</w:t>
      </w:r>
    </w:p>
    <w:p>
      <w:pPr>
        <w:spacing w:after="80"/>
      </w:pPr>
      <w:r>
        <w:t>• Cambie la contraseña regularmente.</w:t>
      </w:r>
    </w:p>
    <w:p>
      <w:pPr>
        <w:spacing w:before="240"/>
      </w:pPr>
      <w:r>
        <w:rPr>
          <w:b/>
          <w:color w:val="1A237E"/>
          <w:sz w:val="32"/>
        </w:rPr>
        <w:t>3. Gestión de patrocinadores</w:t>
      </w:r>
    </w:p>
    <w:p>
      <w:pPr>
        <w:spacing w:after="80"/>
      </w:pPr>
      <w:r>
        <w:t>• Los patrocinadores son organizaciones que apoyan los cursos.</w:t>
      </w:r>
    </w:p>
    <w:p>
      <w:pPr>
        <w:spacing w:after="80"/>
      </w:pPr>
      <w:r>
        <w:t>• Desde "Patrocinadores" puede crear, editar y eliminar patrocinadores.</w:t>
      </w:r>
    </w:p>
    <w:p>
      <w:pPr>
        <w:spacing w:after="80"/>
      </w:pPr>
      <w:r>
        <w:t>• Cada patrocinador puede tener un logo, foto, cargo y mensaje institucional.</w:t>
      </w:r>
    </w:p>
    <w:p>
      <w:pPr>
        <w:spacing w:after="80"/>
      </w:pPr>
      <w:r>
        <w:t>• También puede generar un código QR único para cada patrocinador.</w:t>
      </w:r>
    </w:p>
    <w:p>
      <w:pPr>
        <w:spacing w:after="80"/>
      </w:pPr>
      <w:r>
        <w:t>• Los patrocinadores se muestran en la página pública de patrocinadores.</w:t>
      </w:r>
    </w:p>
    <w:p>
      <w:pPr>
        <w:spacing w:before="240"/>
      </w:pPr>
      <w:r>
        <w:rPr>
          <w:b/>
          <w:color w:val="1A237E"/>
          <w:sz w:val="32"/>
        </w:rPr>
        <w:t>4. Gestión de banners</w:t>
      </w:r>
    </w:p>
    <w:p>
      <w:pPr>
        <w:spacing w:after="80"/>
      </w:pPr>
      <w:r>
        <w:t>• Los banners son elementos visuales destacados en la página principal.</w:t>
      </w:r>
    </w:p>
    <w:p>
      <w:pPr>
        <w:spacing w:after="80"/>
      </w:pPr>
      <w:r>
        <w:t>• Puede crear banners con título, subtítulo, imagen y enlace.</w:t>
      </w:r>
    </w:p>
    <w:p>
      <w:pPr>
        <w:spacing w:after="80"/>
      </w:pPr>
      <w:r>
        <w:t>• Configure el tiempo de visualización de cada banner en milisegundos.</w:t>
      </w:r>
    </w:p>
    <w:p>
      <w:pPr>
        <w:spacing w:after="80"/>
      </w:pPr>
      <w:r>
        <w:t>• Reordene los banners según la prioridad de visualización.</w:t>
      </w:r>
    </w:p>
    <w:p>
      <w:pPr>
        <w:spacing w:after="80"/>
      </w:pPr>
      <w:r>
        <w:t>• Active o desactive banners según la campaña vigente.</w:t>
      </w:r>
    </w:p>
    <w:p>
      <w:pPr>
        <w:spacing w:before="240"/>
      </w:pPr>
      <w:r>
        <w:rPr>
          <w:b/>
          <w:color w:val="1A237E"/>
          <w:sz w:val="32"/>
        </w:rPr>
        <w:t>5. Páginas territoriales</w:t>
      </w:r>
    </w:p>
    <w:p>
      <w:pPr>
        <w:spacing w:after="80"/>
      </w:pPr>
      <w:r>
        <w:t>• Las páginas territoriales son landing pages para regiones específicas.</w:t>
      </w:r>
    </w:p>
    <w:p>
      <w:pPr>
        <w:spacing w:after="80"/>
      </w:pPr>
      <w:r>
        <w:t>• Cada página tiene: nombre, municipio, foto de fondo, mensaje y colores personalizados.</w:t>
      </w:r>
    </w:p>
    <w:p>
      <w:pPr>
        <w:spacing w:after="80"/>
      </w:pPr>
      <w:r>
        <w:t>• Puede ajustar la posición y zoom de la imagen de fondo con el editor visual.</w:t>
      </w:r>
    </w:p>
    <w:p>
      <w:pPr>
        <w:spacing w:after="80"/>
      </w:pPr>
      <w:r>
        <w:t>• Incluyen código QR, información de contacto y meta tags para SEO.</w:t>
      </w:r>
    </w:p>
    <w:p>
      <w:pPr>
        <w:spacing w:after="80"/>
      </w:pPr>
      <w:r>
        <w:t>• La URL de cada página es: /territorial/[slug].</w:t>
      </w:r>
    </w:p>
    <w:p>
      <w:pPr>
        <w:spacing w:after="80"/>
      </w:pPr>
      <w:r>
        <w:t>• Use estas páginas para presencia institucional en diferentes regiones.</w:t>
      </w:r>
    </w:p>
    <w:p>
      <w:pPr>
        <w:spacing w:before="240"/>
      </w:pPr>
      <w:r>
        <w:rPr>
          <w:b/>
          <w:color w:val="1A237E"/>
          <w:sz w:val="32"/>
        </w:rPr>
        <w:t>6. Configuración avanzada</w:t>
      </w:r>
    </w:p>
    <w:p>
      <w:pPr>
        <w:spacing w:after="80"/>
      </w:pPr>
      <w:r>
        <w:t>• Gestión de favicon, logo y colores institucionales desde el CMS.</w:t>
      </w:r>
    </w:p>
    <w:p>
      <w:pPr>
        <w:spacing w:after="80"/>
      </w:pPr>
      <w:r>
        <w:t>• Subida de logo oficial, logo clean (SVG) e imágenes de encabezado.</w:t>
      </w:r>
    </w:p>
    <w:p>
      <w:pPr>
        <w:spacing w:after="80"/>
      </w:pPr>
      <w:r>
        <w:t>• Configuración de meta tags para SEO de la página principal.</w:t>
      </w:r>
    </w:p>
    <w:p>
      <w:pPr>
        <w:spacing w:after="80"/>
      </w:pPr>
      <w:r>
        <w:t>• Personalización de textos institucionales (misión, visión, about).</w:t>
      </w:r>
    </w:p>
    <w:p>
      <w:pPr>
        <w:spacing w:before="240"/>
      </w:pPr>
      <w:r>
        <w:rPr>
          <w:b/>
          <w:color w:val="1A237E"/>
          <w:sz w:val="32"/>
        </w:rPr>
        <w:t>7. Verificación de certificados</w:t>
      </w:r>
    </w:p>
    <w:p>
      <w:pPr>
        <w:spacing w:after="80"/>
      </w:pPr>
      <w:r>
        <w:t>• Todos los certificados emitidos son verificables públicamente.</w:t>
      </w:r>
    </w:p>
    <w:p>
      <w:pPr>
        <w:spacing w:after="80"/>
      </w:pPr>
      <w:r>
        <w:t>• La URL de verificación es: /admin/validar-certificado/[folio].</w:t>
      </w:r>
    </w:p>
    <w:p>
      <w:pPr>
        <w:spacing w:after="80"/>
      </w:pPr>
      <w:r>
        <w:t>• Los empleadores y terceros pueden verificar la autenticidad sin iniciar sesión.</w:t>
      </w:r>
    </w:p>
    <w:p>
      <w:pPr>
        <w:spacing w:after="80"/>
      </w:pPr>
      <w:r>
        <w:t>• Un certificado revocado muestra estado "No válido".</w:t>
      </w:r>
    </w:p>
    <w:p>
      <w:pPr>
        <w:spacing w:before="240"/>
      </w:pPr>
      <w:r>
        <w:rPr>
          <w:b/>
          <w:color w:val="1A237E"/>
          <w:sz w:val="32"/>
        </w:rPr>
        <w:t>8. Buenas prácticas</w:t>
      </w:r>
    </w:p>
    <w:p>
      <w:pPr>
        <w:spacing w:after="80"/>
      </w:pPr>
      <w:r>
        <w:t>• Realice respaldos periódicos de la base de datos.</w:t>
      </w:r>
    </w:p>
    <w:p>
      <w:pPr>
        <w:spacing w:after="80"/>
      </w:pPr>
      <w:r>
        <w:t>• Mantenga un registro de cambios importantes en la plataforma.</w:t>
      </w:r>
    </w:p>
    <w:p>
      <w:pPr>
        <w:spacing w:after="80"/>
      </w:pPr>
      <w:r>
        <w:t>• Capacite a los administradores en el uso correcto del sistema.</w:t>
      </w:r>
    </w:p>
    <w:p>
      <w:pPr>
        <w:spacing w:after="80"/>
      </w:pPr>
      <w:r>
        <w:t>• Revise periódicamente los logs y reportes de actividad.</w:t>
      </w:r>
    </w:p>
    <w:p>
      <w:pPr>
        <w:spacing w:after="80"/>
      </w:pPr>
      <w:r>
        <w:t>• Actualice la plataforma y sus dependencias regularmente.</w:t>
      </w:r>
    </w:p>
    <w:p>
      <w:pPr>
        <w:spacing w:after="80"/>
      </w:pPr>
      <w:r>
        <w:t>• Atienda oportunamente los reportes de soporte técnico.</w:t>
      </w:r>
    </w:p>
    <w:p>
      <w:pPr>
        <w:spacing w:before="240"/>
      </w:pPr>
      <w:r>
        <w:rPr>
          <w:b/>
          <w:color w:val="1A237E"/>
          <w:sz w:val="32"/>
        </w:rPr>
        <w:t>9. Preguntas frecuentes</w:t>
      </w:r>
    </w:p>
    <w:p>
      <w:pPr>
        <w:spacing w:after="80"/>
      </w:pPr>
      <w:r>
        <w:t>P: ¿Cómo agrego un nuevo patrocinador?</w:t>
        <w:br/>
        <w:t>R: Desde "Patrocinadores", haga clic en "Nuevo patrocinador" y complete el formulario.</w:t>
      </w:r>
    </w:p>
    <w:p>
      <w:pPr>
        <w:spacing w:after="80"/>
      </w:pPr>
      <w:r>
        <w:t>P: ¿Cómo elimino una página territorial?</w:t>
        <w:br/>
        <w:t>R: Desde "Páginas Territoriales", use el botón de eliminar en la página deseada.</w:t>
      </w:r>
    </w:p>
    <w:p>
      <w:pPr>
        <w:spacing w:after="80"/>
      </w:pPr>
      <w:r>
        <w:t>P: ¿Puedo duplicar una página territorial?</w:t>
        <w:br/>
        <w:t>R: Sí, use el botón "Duplicar" para crear una copia con los mismos datos.</w:t>
      </w:r>
    </w:p>
    <w:p>
      <w:pPr>
        <w:spacing w:after="80"/>
      </w:pPr>
      <w:r>
        <w:t>P: ¿Cómo ajusto la imagen de fondo de una página territorial?</w:t>
        <w:br/>
        <w:t>R: Use el editor Cropper.js integrado en el formulario de edición.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ESCUELA NACIONAL DE CAPACITACIÓN Y CURSOS EN LÍNEA — Manual Institucional —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