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B5342A"/>
          <w:sz w:val="28"/>
          <w:szCs w:val="28"/>
        </w:rPr>
        <w:t xml:space="preserve">MINERÍA DE DATOS</w:t>
      </w:r>
    </w:p>
    <w:p>
      <w:pPr>
        <w:spacing w:after="400"/>
        <w:jc w:val="center"/>
      </w:pPr>
      <w:r>
        <w:rPr>
          <w:b/>
          <w:bCs/>
          <w:sz w:val="44"/>
          <w:szCs w:val="44"/>
        </w:rPr>
        <w:t xml:space="preserve">Entendimiento del Negocio y Entendimiento de los Datos (EDA)</w:t>
      </w:r>
    </w:p>
    <w:p>
      <w:pPr>
        <w:spacing w:after="100"/>
        <w:jc w:val="center"/>
      </w:pPr>
      <w:r>
        <w:rPr>
          <w:i/>
          <w:iCs/>
          <w:color w:val="595959"/>
          <w:sz w:val="28"/>
          <w:szCs w:val="28"/>
        </w:rPr>
        <w:t xml:space="preserve">Prevalencia de Complicaciones Médicas Hospitalarias</w:t>
      </w:r>
    </w:p>
    <w:p>
      <w:pPr>
        <w:spacing w:before="900"/>
      </w:pPr>
    </w:p>
    <w:p>
      <w:pPr>
        <w:spacing w:after="60"/>
        <w:jc w:val="center"/>
      </w:pPr>
      <w:r>
        <w:rPr>
          <w:b/>
          <w:bCs/>
          <w:sz w:val="22"/>
          <w:szCs w:val="22"/>
        </w:rPr>
        <w:t xml:space="preserve">Integrantes:</w:t>
      </w:r>
    </w:p>
    <w:p>
      <w:pPr>
        <w:spacing w:after="20"/>
        <w:jc w:val="center"/>
      </w:pPr>
      <w:r>
        <w:rPr>
          <w:sz w:val="22"/>
          <w:szCs w:val="22"/>
        </w:rPr>
        <w:t xml:space="preserve">[Nombre Apellido 1]</w:t>
      </w:r>
    </w:p>
    <w:p>
      <w:pPr>
        <w:spacing w:after="20"/>
        <w:jc w:val="center"/>
      </w:pPr>
      <w:r>
        <w:rPr>
          <w:sz w:val="22"/>
          <w:szCs w:val="22"/>
        </w:rPr>
        <w:t xml:space="preserve">[Nombre Apellido 2]</w:t>
      </w:r>
    </w:p>
    <w:p>
      <w:pPr>
        <w:spacing w:after="20"/>
        <w:jc w:val="center"/>
      </w:pPr>
      <w:r>
        <w:rPr>
          <w:sz w:val="22"/>
          <w:szCs w:val="22"/>
        </w:rPr>
        <w:t xml:space="preserve">[Nombre Apellido 3]</w:t>
      </w:r>
    </w:p>
    <w:p>
      <w:pPr>
        <w:spacing w:before="700"/>
      </w:pPr>
    </w:p>
    <w:p>
      <w:pPr>
        <w:jc w:val="center"/>
      </w:pPr>
      <w:r>
        <w:rPr>
          <w:color w:val="595959"/>
          <w:sz w:val="20"/>
          <w:szCs w:val="20"/>
        </w:rPr>
        <w:t xml:space="preserve">Fuente de datos: base_de_datos_medicina_complicaciones_modificada.xlsx</w:t>
      </w:r>
    </w:p>
    <w:p>
      <w:pPr>
        <w:jc w:val="center"/>
      </w:pPr>
      <w:r>
        <w:rPr>
          <w:color w:val="595959"/>
          <w:sz w:val="20"/>
          <w:szCs w:val="20"/>
        </w:rPr>
        <w:t xml:space="preserve">Septiembre 2026</w:t>
      </w:r>
    </w:p>
    <w:p>
      <w:r>
        <w:br w:type="page"/>
      </w:r>
    </w:p>
    <w:p>
      <w:pPr>
        <w:pStyle w:val="Heading1"/>
        <w:spacing w:after="200" w:before="400"/>
      </w:pPr>
      <w:r>
        <w:t xml:space="preserve">1. Entendimiento del Negocio</w:t>
      </w:r>
    </w:p>
    <w:p>
      <w:pPr>
        <w:pStyle w:val="Heading2"/>
        <w:spacing w:after="150" w:before="300"/>
      </w:pPr>
      <w:r>
        <w:t xml:space="preserve">1.1 Objetivo de negocio</w:t>
      </w:r>
    </w:p>
    <w:p>
      <w:pPr>
        <w:spacing w:after="160" w:line="300"/>
      </w:pPr>
      <w:r>
        <w:t xml:space="preserve">El hospital registra, para cada visita, si el paciente presentó alguna complicación médica (Reacción Adversa, Infección Nosocomial, Hemorragia, Sepsis, Embolia, Fallo Multiorgánico o Ninguna).</w:t>
      </w:r>
    </w:p>
    <w:p>
      <w:pPr>
        <w:spacing w:after="160" w:line="300"/>
      </w:pPr>
      <w:r>
        <w:rPr>
          <w:b/>
          <w:bCs/>
        </w:rPr>
        <w:t xml:space="preserve">Problema de negocio: </w:t>
      </w:r>
      <w:r>
        <w:t xml:space="preserve">no se sabe con claridad qué tan extendido está el problema de las complicaciones dentro de la atención hospitalaria. Sin ese dato, es difícil justificar ante la dirección del hospital una inversión en un programa de prevención de complicaciones.</w:t>
      </w:r>
    </w:p>
    <w:p>
      <w:pPr>
        <w:spacing w:after="160" w:line="300"/>
      </w:pPr>
      <w:r>
        <w:rPr>
          <w:b/>
          <w:bCs/>
        </w:rPr>
        <w:t xml:space="preserve">Decisión que se espera apoyar: </w:t>
      </w:r>
      <w:r>
        <w:t xml:space="preserve">cuantificar qué proporción de la atención hospitalaria está afectada por complicaciones, como base para decidir si se justifica invertir en protocolos de prevención, y para dimensionar el impacto potencial de esa inversión.</w:t>
      </w:r>
    </w:p>
    <w:p>
      <w:pPr>
        <w:pStyle w:val="Heading2"/>
        <w:spacing w:after="150" w:before="300"/>
      </w:pPr>
      <w:r>
        <w:t xml:space="preserve">1.2 Métrica principal: Prevalencia de complicaciones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shd w:fill="EFEFEF" w:val="clear"/>
            <w:tcMar>
              <w:top w:type="dxa" w:w="80"/>
              <w:left w:type="dxa" w:w="100"/>
              <w:bottom w:type="dxa" w:w="80"/>
              <w:right w:type="dxa" w:w="100"/>
            </w:tcMar>
          </w:tcPr>
          <w:p>
            <w:pPr>
              <w:jc w:val="left"/>
            </w:pPr>
            <w:r>
              <w:rPr>
                <w:b/>
                <w:bCs/>
              </w:rPr>
              <w:t xml:space="preserve">Nombre</w:t>
            </w:r>
          </w:p>
        </w:tc>
        <w:tc>
          <w:tcPr>
            <w:tcMar>
              <w:top w:type="dxa" w:w="80"/>
              <w:left w:type="dxa" w:w="100"/>
              <w:bottom w:type="dxa" w:w="80"/>
              <w:right w:type="dxa" w:w="100"/>
            </w:tcMar>
          </w:tcPr>
          <w:p>
            <w:pPr>
              <w:jc w:val="left"/>
            </w:pPr>
            <w:r>
              <w:rPr>
                <w:b w:val="false"/>
                <w:bCs w:val="false"/>
              </w:rPr>
              <w:t xml:space="preserve">Prevalencia de complicaciones</w:t>
            </w:r>
          </w:p>
        </w:tc>
      </w:tr>
      <w:tr>
        <w:tc>
          <w:tcPr>
            <w:shd w:fill="EFEFEF" w:val="clear"/>
            <w:tcMar>
              <w:top w:type="dxa" w:w="80"/>
              <w:left w:type="dxa" w:w="100"/>
              <w:bottom w:type="dxa" w:w="80"/>
              <w:right w:type="dxa" w:w="100"/>
            </w:tcMar>
          </w:tcPr>
          <w:p>
            <w:pPr>
              <w:jc w:val="left"/>
            </w:pPr>
            <w:r>
              <w:rPr>
                <w:b/>
                <w:bCs/>
              </w:rPr>
              <w:t xml:space="preserve">Qué mide</w:t>
            </w:r>
          </w:p>
        </w:tc>
        <w:tc>
          <w:tcPr>
            <w:tcMar>
              <w:top w:type="dxa" w:w="80"/>
              <w:left w:type="dxa" w:w="100"/>
              <w:bottom w:type="dxa" w:w="80"/>
              <w:right w:type="dxa" w:w="100"/>
            </w:tcMar>
          </w:tcPr>
          <w:p>
            <w:pPr>
              <w:jc w:val="left"/>
            </w:pPr>
            <w:r>
              <w:rPr>
                <w:b w:val="false"/>
                <w:bCs w:val="false"/>
              </w:rPr>
              <w:t xml:space="preserve">De cada 100 pacientes atendidos, cuántos presentan al menos una complicación médica registrada.</w:t>
            </w:r>
          </w:p>
        </w:tc>
      </w:tr>
      <w:tr>
        <w:tc>
          <w:tcPr>
            <w:shd w:fill="EFEFEF" w:val="clear"/>
            <w:tcMar>
              <w:top w:type="dxa" w:w="80"/>
              <w:left w:type="dxa" w:w="100"/>
              <w:bottom w:type="dxa" w:w="80"/>
              <w:right w:type="dxa" w:w="100"/>
            </w:tcMar>
          </w:tcPr>
          <w:p>
            <w:pPr>
              <w:jc w:val="left"/>
            </w:pPr>
            <w:r>
              <w:rPr>
                <w:b/>
                <w:bCs/>
              </w:rPr>
              <w:t xml:space="preserve">Por qué importa</w:t>
            </w:r>
          </w:p>
        </w:tc>
        <w:tc>
          <w:tcPr>
            <w:tcMar>
              <w:top w:type="dxa" w:w="80"/>
              <w:left w:type="dxa" w:w="100"/>
              <w:bottom w:type="dxa" w:w="80"/>
              <w:right w:type="dxa" w:w="100"/>
            </w:tcMar>
          </w:tcPr>
          <w:p>
            <w:pPr>
              <w:jc w:val="left"/>
            </w:pPr>
            <w:r>
              <w:rPr>
                <w:b w:val="false"/>
                <w:bCs w:val="false"/>
              </w:rPr>
              <w:t xml:space="preserve">Un valor alto indica que el problema está muy extendido, lo que justifica invertir en su prevención.</w:t>
            </w:r>
          </w:p>
        </w:tc>
      </w:tr>
      <w:tr>
        <w:tc>
          <w:tcPr>
            <w:shd w:fill="EFEFEF" w:val="clear"/>
            <w:tcMar>
              <w:top w:type="dxa" w:w="80"/>
              <w:left w:type="dxa" w:w="100"/>
              <w:bottom w:type="dxa" w:w="80"/>
              <w:right w:type="dxa" w:w="100"/>
            </w:tcMar>
          </w:tcPr>
          <w:p>
            <w:pPr>
              <w:jc w:val="left"/>
            </w:pPr>
            <w:r>
              <w:rPr>
                <w:b/>
                <w:bCs/>
              </w:rPr>
              <w:t xml:space="preserve">Unidad</w:t>
            </w:r>
          </w:p>
        </w:tc>
        <w:tc>
          <w:tcPr>
            <w:tcMar>
              <w:top w:type="dxa" w:w="80"/>
              <w:left w:type="dxa" w:w="100"/>
              <w:bottom w:type="dxa" w:w="80"/>
              <w:right w:type="dxa" w:w="100"/>
            </w:tcMar>
          </w:tcPr>
          <w:p>
            <w:pPr>
              <w:jc w:val="left"/>
            </w:pPr>
            <w:r>
              <w:rPr>
                <w:b w:val="false"/>
                <w:bCs w:val="false"/>
              </w:rPr>
              <w:t xml:space="preserve">Porcentaje (%)</w:t>
            </w:r>
          </w:p>
        </w:tc>
      </w:tr>
      <w:tr>
        <w:tc>
          <w:tcPr>
            <w:shd w:fill="EFEFEF" w:val="clear"/>
            <w:tcMar>
              <w:top w:type="dxa" w:w="80"/>
              <w:left w:type="dxa" w:w="100"/>
              <w:bottom w:type="dxa" w:w="80"/>
              <w:right w:type="dxa" w:w="100"/>
            </w:tcMar>
          </w:tcPr>
          <w:p>
            <w:pPr>
              <w:jc w:val="left"/>
            </w:pPr>
            <w:r>
              <w:rPr>
                <w:b/>
                <w:bCs/>
              </w:rPr>
              <w:t xml:space="preserve">Base de cálculo</w:t>
            </w:r>
          </w:p>
        </w:tc>
        <w:tc>
          <w:tcPr>
            <w:tcMar>
              <w:top w:type="dxa" w:w="80"/>
              <w:left w:type="dxa" w:w="100"/>
              <w:bottom w:type="dxa" w:w="80"/>
              <w:right w:type="dxa" w:w="100"/>
            </w:tcMar>
          </w:tcPr>
          <w:p>
            <w:pPr>
              <w:jc w:val="left"/>
            </w:pPr>
            <w:r>
              <w:rPr>
                <w:b w:val="false"/>
                <w:bCs w:val="false"/>
              </w:rPr>
              <w:t xml:space="preserve">10,000 pacientes (base completa del hospital)</w:t>
            </w:r>
          </w:p>
        </w:tc>
      </w:tr>
    </w:tbl>
    <w:p>
      <w:pPr>
        <w:spacing w:after="200"/>
      </w:pPr>
    </w:p>
    <w:p>
      <w:pPr>
        <w:pStyle w:val="Heading2"/>
        <w:spacing w:after="150" w:before="300"/>
      </w:pPr>
      <w:r>
        <w:t xml:space="preserve">1.3 Fórmula y cálculo</w:t>
      </w:r>
    </w:p>
    <w:p>
      <w:pPr>
        <w:spacing w:after="160" w:line="300"/>
      </w:pPr>
      <w:r>
        <w:rPr>
          <w:i/>
          <w:iCs/>
        </w:rPr>
        <w:t xml:space="preserve">Prevalencia de complicaciones = </w:t>
      </w:r>
      <w:r>
        <w:rPr>
          <w:i/>
          <w:iCs/>
        </w:rPr>
        <w:t xml:space="preserve">(N.° de pacientes con alguna complicación / N.° total de pacientes) ×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shd w:fill="EFEFEF" w:val="clear"/>
            <w:tcMar>
              <w:top w:type="dxa" w:w="80"/>
              <w:left w:type="dxa" w:w="100"/>
              <w:bottom w:type="dxa" w:w="80"/>
              <w:right w:type="dxa" w:w="100"/>
            </w:tcMar>
          </w:tcPr>
          <w:p>
            <w:pPr>
              <w:jc w:val="left"/>
            </w:pPr>
            <w:r>
              <w:rPr>
                <w:b/>
                <w:bCs/>
              </w:rPr>
              <w:t xml:space="preserve">Concepto</w:t>
            </w:r>
          </w:p>
        </w:tc>
        <w:tc>
          <w:tcPr>
            <w:tcW w:type="dxa" w:w="4638"/>
            <w:shd w:fill="EFEFEF" w:val="clear"/>
            <w:tcMar>
              <w:top w:type="dxa" w:w="80"/>
              <w:left w:type="dxa" w:w="100"/>
              <w:bottom w:type="dxa" w:w="80"/>
              <w:right w:type="dxa" w:w="100"/>
            </w:tcMar>
          </w:tcPr>
          <w:p>
            <w:pPr>
              <w:jc w:val="left"/>
            </w:pPr>
            <w:r>
              <w:rPr>
                <w:b/>
                <w:bCs/>
              </w:rPr>
              <w:t xml:space="preserve">Valor</w:t>
            </w:r>
          </w:p>
        </w:tc>
      </w:tr>
      <w:tr>
        <w:tc>
          <w:tcPr>
            <w:tcW w:type="dxa" w:w="5000"/>
            <w:tcMar>
              <w:top w:type="dxa" w:w="80"/>
              <w:left w:type="dxa" w:w="100"/>
              <w:bottom w:type="dxa" w:w="80"/>
              <w:right w:type="dxa" w:w="100"/>
            </w:tcMar>
          </w:tcPr>
          <w:p>
            <w:pPr>
              <w:jc w:val="left"/>
            </w:pPr>
            <w:r>
              <w:rPr>
                <w:b w:val="false"/>
                <w:bCs w:val="false"/>
              </w:rPr>
              <w:t xml:space="preserve">Total de pacientes</w:t>
            </w:r>
          </w:p>
        </w:tc>
        <w:tc>
          <w:tcPr>
            <w:tcW w:type="dxa" w:w="4638"/>
            <w:tcMar>
              <w:top w:type="dxa" w:w="80"/>
              <w:left w:type="dxa" w:w="100"/>
              <w:bottom w:type="dxa" w:w="80"/>
              <w:right w:type="dxa" w:w="100"/>
            </w:tcMar>
          </w:tcPr>
          <w:p>
            <w:pPr>
              <w:jc w:val="left"/>
            </w:pPr>
            <w:r>
              <w:rPr>
                <w:b w:val="false"/>
                <w:bCs w:val="false"/>
              </w:rPr>
              <w:t xml:space="preserve">10,000</w:t>
            </w:r>
          </w:p>
        </w:tc>
      </w:tr>
      <w:tr>
        <w:tc>
          <w:tcPr>
            <w:tcW w:type="dxa" w:w="5000"/>
            <w:tcMar>
              <w:top w:type="dxa" w:w="80"/>
              <w:left w:type="dxa" w:w="100"/>
              <w:bottom w:type="dxa" w:w="80"/>
              <w:right w:type="dxa" w:w="100"/>
            </w:tcMar>
          </w:tcPr>
          <w:p>
            <w:pPr>
              <w:jc w:val="left"/>
            </w:pPr>
            <w:r>
              <w:rPr>
                <w:b w:val="false"/>
                <w:bCs w:val="false"/>
              </w:rPr>
              <w:t xml:space="preserve">Pacientes con alguna complicación</w:t>
            </w:r>
          </w:p>
        </w:tc>
        <w:tc>
          <w:tcPr>
            <w:tcW w:type="dxa" w:w="4638"/>
            <w:tcMar>
              <w:top w:type="dxa" w:w="80"/>
              <w:left w:type="dxa" w:w="100"/>
              <w:bottom w:type="dxa" w:w="80"/>
              <w:right w:type="dxa" w:w="100"/>
            </w:tcMar>
          </w:tcPr>
          <w:p>
            <w:pPr>
              <w:jc w:val="left"/>
            </w:pPr>
            <w:r>
              <w:rPr>
                <w:b w:val="false"/>
                <w:bCs w:val="false"/>
              </w:rPr>
              <w:t xml:space="preserve">8,782</w:t>
            </w:r>
          </w:p>
        </w:tc>
      </w:tr>
      <w:tr>
        <w:tc>
          <w:tcPr>
            <w:tcW w:type="dxa" w:w="5000"/>
            <w:tcMar>
              <w:top w:type="dxa" w:w="80"/>
              <w:left w:type="dxa" w:w="100"/>
              <w:bottom w:type="dxa" w:w="80"/>
              <w:right w:type="dxa" w:w="100"/>
            </w:tcMar>
          </w:tcPr>
          <w:p>
            <w:pPr>
              <w:jc w:val="left"/>
            </w:pPr>
            <w:r>
              <w:rPr>
                <w:b w:val="false"/>
                <w:bCs w:val="false"/>
              </w:rPr>
              <w:t xml:space="preserve">Pacientes sin complicación</w:t>
            </w:r>
          </w:p>
        </w:tc>
        <w:tc>
          <w:tcPr>
            <w:tcW w:type="dxa" w:w="4638"/>
            <w:tcMar>
              <w:top w:type="dxa" w:w="80"/>
              <w:left w:type="dxa" w:w="100"/>
              <w:bottom w:type="dxa" w:w="80"/>
              <w:right w:type="dxa" w:w="100"/>
            </w:tcMar>
          </w:tcPr>
          <w:p>
            <w:pPr>
              <w:jc w:val="left"/>
            </w:pPr>
            <w:r>
              <w:rPr>
                <w:b w:val="false"/>
                <w:bCs w:val="false"/>
              </w:rPr>
              <w:t xml:space="preserve">1,218</w:t>
            </w:r>
          </w:p>
        </w:tc>
      </w:tr>
      <w:tr>
        <w:tc>
          <w:tcPr>
            <w:tcW w:type="dxa" w:w="5000"/>
            <w:tcMar>
              <w:top w:type="dxa" w:w="80"/>
              <w:left w:type="dxa" w:w="100"/>
              <w:bottom w:type="dxa" w:w="80"/>
              <w:right w:type="dxa" w:w="100"/>
            </w:tcMar>
          </w:tcPr>
          <w:p>
            <w:pPr>
              <w:jc w:val="left"/>
            </w:pPr>
            <w:r>
              <w:rPr>
                <w:b w:val="false"/>
                <w:bCs w:val="false"/>
              </w:rPr>
              <w:t xml:space="preserve">Prevalencia de complicaciones</w:t>
            </w:r>
          </w:p>
        </w:tc>
        <w:tc>
          <w:tcPr>
            <w:tcW w:type="dxa" w:w="4638"/>
            <w:tcMar>
              <w:top w:type="dxa" w:w="80"/>
              <w:left w:type="dxa" w:w="100"/>
              <w:bottom w:type="dxa" w:w="80"/>
              <w:right w:type="dxa" w:w="100"/>
            </w:tcMar>
          </w:tcPr>
          <w:p>
            <w:pPr>
              <w:jc w:val="left"/>
            </w:pPr>
            <w:r>
              <w:rPr>
                <w:b w:val="false"/>
                <w:bCs w:val="false"/>
              </w:rPr>
              <w:t xml:space="preserve">87.82 %</w:t>
            </w:r>
          </w:p>
        </w:tc>
      </w:tr>
    </w:tbl>
    <w:p>
      <w:pPr>
        <w:spacing w:after="100" w:before="150"/>
        <w:jc w:val="center"/>
      </w:pPr>
      <w:r>
        <w:drawing>
          <wp:inline distT="0" distB="0" distL="0" distR="0">
            <wp:extent cx="2476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600325"/>
                    </a:xfrm>
                    <a:prstGeom prst="rect">
                      <a:avLst/>
                    </a:prstGeom>
                  </pic:spPr>
                </pic:pic>
              </a:graphicData>
            </a:graphic>
          </wp:inline>
        </w:drawing>
      </w:r>
    </w:p>
    <w:p>
      <w:pPr>
        <w:spacing w:after="220"/>
        <w:jc w:val="center"/>
      </w:pPr>
      <w:r>
        <w:rPr>
          <w:i/>
          <w:iCs/>
          <w:color w:val="595959"/>
          <w:sz w:val="20"/>
          <w:szCs w:val="20"/>
        </w:rPr>
        <w:t xml:space="preserve">Figura 1. Prevalencia de complicaciones en el hospital (con vs. sin complicación).</w:t>
      </w:r>
    </w:p>
    <w:p>
      <w:pPr>
        <w:pStyle w:val="Heading2"/>
        <w:spacing w:after="150" w:before="300"/>
      </w:pPr>
      <w:r>
        <w:t xml:space="preserve">1.4 Interpretación</w:t>
      </w:r>
    </w:p>
    <w:p>
      <w:pPr>
        <w:spacing w:after="160" w:line="300"/>
      </w:pPr>
      <w:r>
        <w:t xml:space="preserve">El 87.82% de los pacientes atendidos presentó al menos una complicación médica. Es un valor muy alto: casi 9 de cada 10 pacientes tienen algún evento clínico adverso registrado durante su atención. Esto evidencia que el problema no es puntual ni aislado, sino generalizado, y respalda la necesidad de que el hospital invierta en un programa de prevención de complicaciones.</w:t>
      </w:r>
    </w:p>
    <w:p>
      <w:pPr>
        <w:pBdr>
          <w:left w:val="single" w:color="B5342A" w:sz="12" w:space="8"/>
        </w:pBdr>
        <w:spacing w:after="200" w:before="100"/>
        <w:ind w:left="360"/>
      </w:pPr>
      <w:r>
        <w:rPr>
          <w:i/>
          <w:iCs/>
          <w:color w:val="595959"/>
        </w:rPr>
        <w:t xml:space="preserve">Mejora tentativa (propuesta, no es un resultado observado): si un programa de prevención lograra reducir la prevalencia de complicaciones del 87.82% actual a una meta de 75%, eso representaría una reducción de aproximadamente 1,282 pacientes con complicaciones. Este valor es una meta razonable a mediano plazo, no un resultado ya alcanzado.</w:t>
      </w:r>
    </w:p>
    <w:p>
      <w:r>
        <w:br w:type="page"/>
      </w:r>
    </w:p>
    <w:p>
      <w:pPr>
        <w:pStyle w:val="Heading1"/>
        <w:spacing w:after="200" w:before="400"/>
      </w:pPr>
      <w:r>
        <w:t xml:space="preserve">2. Entendimiento de los Datos (EDA)</w:t>
      </w:r>
    </w:p>
    <w:p>
      <w:pPr>
        <w:pStyle w:val="Heading2"/>
        <w:spacing w:after="150" w:before="300"/>
      </w:pPr>
      <w:r>
        <w:t xml:space="preserve">2.1 ¿Qué datos tengo?</w:t>
      </w:r>
    </w:p>
    <w:p>
      <w:pPr>
        <w:spacing w:after="160" w:line="300"/>
      </w:pPr>
      <w:r>
        <w:t xml:space="preserve">Fuente: base_de_datos_medicina_complicaciones_modificada.xlsx, base de datos médica interna del hospital, con un registro por visita/paciente.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shd w:fill="EFEFEF" w:val="clear"/>
            <w:tcMar>
              <w:top w:type="dxa" w:w="80"/>
              <w:left w:type="dxa" w:w="100"/>
              <w:bottom w:type="dxa" w:w="80"/>
              <w:right w:type="dxa" w:w="100"/>
            </w:tcMar>
          </w:tcPr>
          <w:p>
            <w:pPr>
              <w:jc w:val="left"/>
            </w:pPr>
            <w:r>
              <w:rPr>
                <w:b/>
                <w:bCs/>
              </w:rPr>
              <w:t xml:space="preserve">Característica</w:t>
            </w:r>
          </w:p>
        </w:tc>
        <w:tc>
          <w:tcPr>
            <w:tcW w:type="dxa" w:w="5638"/>
            <w:shd w:fill="EFEFEF" w:val="clear"/>
            <w:tcMar>
              <w:top w:type="dxa" w:w="80"/>
              <w:left w:type="dxa" w:w="100"/>
              <w:bottom w:type="dxa" w:w="80"/>
              <w:right w:type="dxa" w:w="100"/>
            </w:tcMar>
          </w:tcPr>
          <w:p>
            <w:pPr>
              <w:jc w:val="left"/>
            </w:pPr>
            <w:r>
              <w:rPr>
                <w:b/>
                <w:bCs/>
              </w:rPr>
              <w:t xml:space="preserve">Valor</w:t>
            </w:r>
          </w:p>
        </w:tc>
      </w:tr>
      <w:tr>
        <w:tc>
          <w:tcPr>
            <w:tcW w:type="dxa" w:w="4000"/>
            <w:tcMar>
              <w:top w:type="dxa" w:w="80"/>
              <w:left w:type="dxa" w:w="100"/>
              <w:bottom w:type="dxa" w:w="80"/>
              <w:right w:type="dxa" w:w="100"/>
            </w:tcMar>
          </w:tcPr>
          <w:p>
            <w:pPr>
              <w:jc w:val="left"/>
            </w:pPr>
            <w:r>
              <w:rPr>
                <w:b w:val="false"/>
                <w:bCs w:val="false"/>
              </w:rPr>
              <w:t xml:space="preserve">Número de registros</w:t>
            </w:r>
          </w:p>
        </w:tc>
        <w:tc>
          <w:tcPr>
            <w:tcW w:type="dxa" w:w="5638"/>
            <w:tcMar>
              <w:top w:type="dxa" w:w="80"/>
              <w:left w:type="dxa" w:w="100"/>
              <w:bottom w:type="dxa" w:w="80"/>
              <w:right w:type="dxa" w:w="100"/>
            </w:tcMar>
          </w:tcPr>
          <w:p>
            <w:pPr>
              <w:jc w:val="left"/>
            </w:pPr>
            <w:r>
              <w:rPr>
                <w:b w:val="false"/>
                <w:bCs w:val="false"/>
              </w:rPr>
              <w:t xml:space="preserve">10,000</w:t>
            </w:r>
          </w:p>
        </w:tc>
      </w:tr>
      <w:tr>
        <w:tc>
          <w:tcPr>
            <w:tcW w:type="dxa" w:w="4000"/>
            <w:tcMar>
              <w:top w:type="dxa" w:w="80"/>
              <w:left w:type="dxa" w:w="100"/>
              <w:bottom w:type="dxa" w:w="80"/>
              <w:right w:type="dxa" w:w="100"/>
            </w:tcMar>
          </w:tcPr>
          <w:p>
            <w:pPr>
              <w:jc w:val="left"/>
            </w:pPr>
            <w:r>
              <w:rPr>
                <w:b w:val="false"/>
                <w:bCs w:val="false"/>
              </w:rPr>
              <w:t xml:space="preserve">Número de variables</w:t>
            </w:r>
          </w:p>
        </w:tc>
        <w:tc>
          <w:tcPr>
            <w:tcW w:type="dxa" w:w="5638"/>
            <w:tcMar>
              <w:top w:type="dxa" w:w="80"/>
              <w:left w:type="dxa" w:w="100"/>
              <w:bottom w:type="dxa" w:w="80"/>
              <w:right w:type="dxa" w:w="100"/>
            </w:tcMar>
          </w:tcPr>
          <w:p>
            <w:pPr>
              <w:jc w:val="left"/>
            </w:pPr>
            <w:r>
              <w:rPr>
                <w:b w:val="false"/>
                <w:bCs w:val="false"/>
              </w:rPr>
              <w:t xml:space="preserve">41</w:t>
            </w:r>
          </w:p>
        </w:tc>
      </w:tr>
      <w:tr>
        <w:tc>
          <w:tcPr>
            <w:tcW w:type="dxa" w:w="4000"/>
            <w:tcMar>
              <w:top w:type="dxa" w:w="80"/>
              <w:left w:type="dxa" w:w="100"/>
              <w:bottom w:type="dxa" w:w="80"/>
              <w:right w:type="dxa" w:w="100"/>
            </w:tcMar>
          </w:tcPr>
          <w:p>
            <w:pPr>
              <w:jc w:val="left"/>
            </w:pPr>
            <w:r>
              <w:rPr>
                <w:b w:val="false"/>
                <w:bCs w:val="false"/>
              </w:rPr>
              <w:t xml:space="preserve">Variables numéricas</w:t>
            </w:r>
          </w:p>
        </w:tc>
        <w:tc>
          <w:tcPr>
            <w:tcW w:type="dxa" w:w="5638"/>
            <w:tcMar>
              <w:top w:type="dxa" w:w="80"/>
              <w:left w:type="dxa" w:w="100"/>
              <w:bottom w:type="dxa" w:w="80"/>
              <w:right w:type="dxa" w:w="100"/>
            </w:tcMar>
          </w:tcPr>
          <w:p>
            <w:pPr>
              <w:jc w:val="left"/>
            </w:pPr>
            <w:r>
              <w:rPr>
                <w:b w:val="false"/>
                <w:bCs w:val="false"/>
              </w:rPr>
              <w:t xml:space="preserve">14 (edad, peso, IMC, días de hospitalización, glucemia, etc.)</w:t>
            </w:r>
          </w:p>
        </w:tc>
      </w:tr>
      <w:tr>
        <w:tc>
          <w:tcPr>
            <w:tcW w:type="dxa" w:w="4000"/>
            <w:tcMar>
              <w:top w:type="dxa" w:w="80"/>
              <w:left w:type="dxa" w:w="100"/>
              <w:bottom w:type="dxa" w:w="80"/>
              <w:right w:type="dxa" w:w="100"/>
            </w:tcMar>
          </w:tcPr>
          <w:p>
            <w:pPr>
              <w:jc w:val="left"/>
            </w:pPr>
            <w:r>
              <w:rPr>
                <w:b w:val="false"/>
                <w:bCs w:val="false"/>
              </w:rPr>
              <w:t xml:space="preserve">Variables categóricas / texto</w:t>
            </w:r>
          </w:p>
        </w:tc>
        <w:tc>
          <w:tcPr>
            <w:tcW w:type="dxa" w:w="5638"/>
            <w:tcMar>
              <w:top w:type="dxa" w:w="80"/>
              <w:left w:type="dxa" w:w="100"/>
              <w:bottom w:type="dxa" w:w="80"/>
              <w:right w:type="dxa" w:w="100"/>
            </w:tcMar>
          </w:tcPr>
          <w:p>
            <w:pPr>
              <w:jc w:val="left"/>
            </w:pPr>
            <w:r>
              <w:rPr>
                <w:b w:val="false"/>
                <w:bCs w:val="false"/>
              </w:rPr>
              <w:t xml:space="preserve">27 (sexo, complicación, estado del paciente, departamento, etc.)</w:t>
            </w:r>
          </w:p>
        </w:tc>
      </w:tr>
    </w:tbl>
    <w:p>
      <w:pPr>
        <w:spacing w:after="160" w:line="300"/>
      </w:pPr>
      <w:r>
        <w:t xml:space="preserve">Las variables centrales de este análisis son COMPLICACIONES (tipo de complicación presentada, o "Ninguna") y DIAS_HOSPITALIZACION (días de internación; 0 = no fue internado).</w:t>
      </w:r>
    </w:p>
    <w:p>
      <w:pPr>
        <w:pStyle w:val="Heading2"/>
        <w:spacing w:after="150" w:before="300"/>
      </w:pPr>
      <w:r>
        <w:t xml:space="preserve">2.2 ¿Hay datos faltantes?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638"/>
      </w:tblGrid>
      <w:tr>
        <w:trPr>
          <w:tblHeader/>
        </w:trPr>
        <w:tc>
          <w:tcPr>
            <w:tcW w:type="dxa" w:w="4000"/>
            <w:shd w:fill="EFEFEF" w:val="clear"/>
            <w:tcMar>
              <w:top w:type="dxa" w:w="80"/>
              <w:left w:type="dxa" w:w="100"/>
              <w:bottom w:type="dxa" w:w="80"/>
              <w:right w:type="dxa" w:w="100"/>
            </w:tcMar>
          </w:tcPr>
          <w:p>
            <w:pPr>
              <w:jc w:val="left"/>
            </w:pPr>
            <w:r>
              <w:rPr>
                <w:b/>
                <w:bCs/>
              </w:rPr>
              <w:t xml:space="preserve">Variable</w:t>
            </w:r>
          </w:p>
        </w:tc>
        <w:tc>
          <w:tcPr>
            <w:tcW w:type="dxa" w:w="3000"/>
            <w:shd w:fill="EFEFEF" w:val="clear"/>
            <w:tcMar>
              <w:top w:type="dxa" w:w="80"/>
              <w:left w:type="dxa" w:w="100"/>
              <w:bottom w:type="dxa" w:w="80"/>
              <w:right w:type="dxa" w:w="100"/>
            </w:tcMar>
          </w:tcPr>
          <w:p>
            <w:pPr>
              <w:jc w:val="left"/>
            </w:pPr>
            <w:r>
              <w:rPr>
                <w:b/>
                <w:bCs/>
              </w:rPr>
              <w:t xml:space="preserve">Faltantes</w:t>
            </w:r>
          </w:p>
        </w:tc>
        <w:tc>
          <w:tcPr>
            <w:tcW w:type="dxa" w:w="2638"/>
            <w:shd w:fill="EFEFEF" w:val="clear"/>
            <w:tcMar>
              <w:top w:type="dxa" w:w="80"/>
              <w:left w:type="dxa" w:w="100"/>
              <w:bottom w:type="dxa" w:w="80"/>
              <w:right w:type="dxa" w:w="100"/>
            </w:tcMar>
          </w:tcPr>
          <w:p>
            <w:pPr>
              <w:jc w:val="left"/>
            </w:pPr>
            <w:r>
              <w:rPr>
                <w:b/>
                <w:bCs/>
              </w:rPr>
              <w:t xml:space="preserve">% del total</w:t>
            </w:r>
          </w:p>
        </w:tc>
      </w:tr>
      <w:tr>
        <w:tc>
          <w:tcPr>
            <w:tcW w:type="dxa" w:w="4000"/>
            <w:tcMar>
              <w:top w:type="dxa" w:w="80"/>
              <w:left w:type="dxa" w:w="100"/>
              <w:bottom w:type="dxa" w:w="80"/>
              <w:right w:type="dxa" w:w="100"/>
            </w:tcMar>
          </w:tcPr>
          <w:p>
            <w:pPr>
              <w:jc w:val="left"/>
            </w:pPr>
            <w:r>
              <w:rPr>
                <w:b w:val="false"/>
                <w:bCs w:val="false"/>
              </w:rPr>
              <w:t xml:space="preserve">IMC</w:t>
            </w:r>
          </w:p>
        </w:tc>
        <w:tc>
          <w:tcPr>
            <w:tcW w:type="dxa" w:w="3000"/>
            <w:tcMar>
              <w:top w:type="dxa" w:w="80"/>
              <w:left w:type="dxa" w:w="100"/>
              <w:bottom w:type="dxa" w:w="80"/>
              <w:right w:type="dxa" w:w="100"/>
            </w:tcMar>
          </w:tcPr>
          <w:p>
            <w:pPr>
              <w:jc w:val="left"/>
            </w:pPr>
            <w:r>
              <w:rPr>
                <w:b w:val="false"/>
                <w:bCs w:val="false"/>
              </w:rPr>
              <w:t xml:space="preserve">82</w:t>
            </w:r>
          </w:p>
        </w:tc>
        <w:tc>
          <w:tcPr>
            <w:tcW w:type="dxa" w:w="2638"/>
            <w:tcMar>
              <w:top w:type="dxa" w:w="80"/>
              <w:left w:type="dxa" w:w="100"/>
              <w:bottom w:type="dxa" w:w="80"/>
              <w:right w:type="dxa" w:w="100"/>
            </w:tcMar>
          </w:tcPr>
          <w:p>
            <w:pPr>
              <w:jc w:val="left"/>
            </w:pPr>
            <w:r>
              <w:rPr>
                <w:b w:val="false"/>
                <w:bCs w:val="false"/>
              </w:rPr>
              <w:t xml:space="preserve">0.82 %</w:t>
            </w:r>
          </w:p>
        </w:tc>
      </w:tr>
    </w:tbl>
    <w:p>
      <w:pPr>
        <w:spacing w:after="160" w:line="300"/>
      </w:pPr>
      <w:r>
        <w:t xml:space="preserve">Existen datos faltantes únicamente en la variable IMC (82 registros, 0.82% del total). Al ser un porcentaje muy bajo y no ser una variable usada en la métrica principal ni en las relaciones centrales del análisis, no se aplicó ningún tratamiento (ni imputación ni eliminación de filas).</w:t>
      </w:r>
    </w:p>
    <w:p>
      <w:pPr>
        <w:pStyle w:val="Heading2"/>
        <w:spacing w:after="150" w:before="300"/>
      </w:pPr>
      <w:r>
        <w:t xml:space="preserve">2.3 ¿Existen valores atípicos?</w:t>
      </w:r>
    </w:p>
    <w:p>
      <w:pPr>
        <w:spacing w:after="100" w:before="150"/>
        <w:jc w:val="center"/>
      </w:pPr>
      <w:r>
        <w:drawing>
          <wp:inline distT="0" distB="0" distL="0" distR="0">
            <wp:extent cx="5334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381125"/>
                    </a:xfrm>
                    <a:prstGeom prst="rect">
                      <a:avLst/>
                    </a:prstGeom>
                  </pic:spPr>
                </pic:pic>
              </a:graphicData>
            </a:graphic>
          </wp:inline>
        </w:drawing>
      </w:r>
    </w:p>
    <w:p>
      <w:pPr>
        <w:spacing w:after="220"/>
        <w:jc w:val="center"/>
      </w:pPr>
      <w:r>
        <w:rPr>
          <w:i/>
          <w:iCs/>
          <w:color w:val="595959"/>
          <w:sz w:val="20"/>
          <w:szCs w:val="20"/>
        </w:rPr>
        <w:t xml:space="preserve">Figura 2. Diagramas de caja de EDAD, DIAS_HOSPITALIZACION e IMC.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shd w:fill="EFEFEF" w:val="clear"/>
            <w:tcMar>
              <w:top w:type="dxa" w:w="80"/>
              <w:left w:type="dxa" w:w="100"/>
              <w:bottom w:type="dxa" w:w="80"/>
              <w:right w:type="dxa" w:w="100"/>
            </w:tcMar>
          </w:tcPr>
          <w:p>
            <w:pPr>
              <w:jc w:val="left"/>
            </w:pPr>
            <w:r>
              <w:rPr>
                <w:b/>
                <w:bCs/>
              </w:rPr>
              <w:t xml:space="preserve">Variable</w:t>
            </w:r>
          </w:p>
        </w:tc>
        <w:tc>
          <w:tcPr>
            <w:tcW w:type="dxa" w:w="3200"/>
            <w:shd w:fill="EFEFEF" w:val="clear"/>
            <w:tcMar>
              <w:top w:type="dxa" w:w="80"/>
              <w:left w:type="dxa" w:w="100"/>
              <w:bottom w:type="dxa" w:w="80"/>
              <w:right w:type="dxa" w:w="100"/>
            </w:tcMar>
          </w:tcPr>
          <w:p>
            <w:pPr>
              <w:jc w:val="left"/>
            </w:pPr>
            <w:r>
              <w:rPr>
                <w:b/>
                <w:bCs/>
              </w:rPr>
              <w:t xml:space="preserve">Valores atípicos (método IQR)</w:t>
            </w:r>
          </w:p>
        </w:tc>
        <w:tc>
          <w:tcPr>
            <w:tcW w:type="dxa" w:w="3238"/>
            <w:shd w:fill="EFEFEF" w:val="clear"/>
            <w:tcMar>
              <w:top w:type="dxa" w:w="80"/>
              <w:left w:type="dxa" w:w="100"/>
              <w:bottom w:type="dxa" w:w="80"/>
              <w:right w:type="dxa" w:w="100"/>
            </w:tcMar>
          </w:tcPr>
          <w:p>
            <w:pPr>
              <w:jc w:val="left"/>
            </w:pPr>
            <w:r>
              <w:rPr>
                <w:b/>
                <w:bCs/>
              </w:rPr>
              <w:t xml:space="preserve">Límites normales</w:t>
            </w:r>
          </w:p>
        </w:tc>
      </w:tr>
      <w:tr>
        <w:tc>
          <w:tcPr>
            <w:tcW w:type="dxa" w:w="3200"/>
            <w:tcMar>
              <w:top w:type="dxa" w:w="80"/>
              <w:left w:type="dxa" w:w="100"/>
              <w:bottom w:type="dxa" w:w="80"/>
              <w:right w:type="dxa" w:w="100"/>
            </w:tcMar>
          </w:tcPr>
          <w:p>
            <w:pPr>
              <w:jc w:val="left"/>
            </w:pPr>
            <w:r>
              <w:rPr>
                <w:b w:val="false"/>
                <w:bCs w:val="false"/>
              </w:rPr>
              <w:t xml:space="preserve">EDAD</w:t>
            </w:r>
          </w:p>
        </w:tc>
        <w:tc>
          <w:tcPr>
            <w:tcW w:type="dxa" w:w="3200"/>
            <w:tcMar>
              <w:top w:type="dxa" w:w="80"/>
              <w:left w:type="dxa" w:w="100"/>
              <w:bottom w:type="dxa" w:w="80"/>
              <w:right w:type="dxa" w:w="100"/>
            </w:tcMar>
          </w:tcPr>
          <w:p>
            <w:pPr>
              <w:jc w:val="left"/>
            </w:pPr>
            <w:r>
              <w:rPr>
                <w:b w:val="false"/>
                <w:bCs w:val="false"/>
              </w:rPr>
              <w:t xml:space="preserve">0</w:t>
            </w:r>
          </w:p>
        </w:tc>
        <w:tc>
          <w:tcPr>
            <w:tcW w:type="dxa" w:w="3238"/>
            <w:tcMar>
              <w:top w:type="dxa" w:w="80"/>
              <w:left w:type="dxa" w:w="100"/>
              <w:bottom w:type="dxa" w:w="80"/>
              <w:right w:type="dxa" w:w="100"/>
            </w:tcMar>
          </w:tcPr>
          <w:p>
            <w:pPr>
              <w:jc w:val="left"/>
            </w:pPr>
            <w:r>
              <w:rPr>
                <w:b w:val="false"/>
                <w:bCs w:val="false"/>
              </w:rPr>
              <w:t xml:space="preserve">[-49.0, 143.0]</w:t>
            </w:r>
          </w:p>
        </w:tc>
      </w:tr>
      <w:tr>
        <w:tc>
          <w:tcPr>
            <w:tcW w:type="dxa" w:w="3200"/>
            <w:tcMar>
              <w:top w:type="dxa" w:w="80"/>
              <w:left w:type="dxa" w:w="100"/>
              <w:bottom w:type="dxa" w:w="80"/>
              <w:right w:type="dxa" w:w="100"/>
            </w:tcMar>
          </w:tcPr>
          <w:p>
            <w:pPr>
              <w:jc w:val="left"/>
            </w:pPr>
            <w:r>
              <w:rPr>
                <w:b w:val="false"/>
                <w:bCs w:val="false"/>
              </w:rPr>
              <w:t xml:space="preserve">DIAS_HOSPITALIZACION</w:t>
            </w:r>
          </w:p>
        </w:tc>
        <w:tc>
          <w:tcPr>
            <w:tcW w:type="dxa" w:w="3200"/>
            <w:tcMar>
              <w:top w:type="dxa" w:w="80"/>
              <w:left w:type="dxa" w:w="100"/>
              <w:bottom w:type="dxa" w:w="80"/>
              <w:right w:type="dxa" w:w="100"/>
            </w:tcMar>
          </w:tcPr>
          <w:p>
            <w:pPr>
              <w:jc w:val="left"/>
            </w:pPr>
            <w:r>
              <w:rPr>
                <w:b w:val="false"/>
                <w:bCs w:val="false"/>
              </w:rPr>
              <w:t xml:space="preserve">1,151</w:t>
            </w:r>
          </w:p>
        </w:tc>
        <w:tc>
          <w:tcPr>
            <w:tcW w:type="dxa" w:w="3238"/>
            <w:tcMar>
              <w:top w:type="dxa" w:w="80"/>
              <w:left w:type="dxa" w:w="100"/>
              <w:bottom w:type="dxa" w:w="80"/>
              <w:right w:type="dxa" w:w="100"/>
            </w:tcMar>
          </w:tcPr>
          <w:p>
            <w:pPr>
              <w:jc w:val="left"/>
            </w:pPr>
            <w:r>
              <w:rPr>
                <w:b w:val="false"/>
                <w:bCs w:val="false"/>
              </w:rPr>
              <w:t xml:space="preserve">[0.0, 0.0]</w:t>
            </w:r>
          </w:p>
        </w:tc>
      </w:tr>
      <w:tr>
        <w:tc>
          <w:tcPr>
            <w:tcW w:type="dxa" w:w="3200"/>
            <w:tcMar>
              <w:top w:type="dxa" w:w="80"/>
              <w:left w:type="dxa" w:w="100"/>
              <w:bottom w:type="dxa" w:w="80"/>
              <w:right w:type="dxa" w:w="100"/>
            </w:tcMar>
          </w:tcPr>
          <w:p>
            <w:pPr>
              <w:jc w:val="left"/>
            </w:pPr>
            <w:r>
              <w:rPr>
                <w:b w:val="false"/>
                <w:bCs w:val="false"/>
              </w:rPr>
              <w:t xml:space="preserve">IMC</w:t>
            </w:r>
          </w:p>
        </w:tc>
        <w:tc>
          <w:tcPr>
            <w:tcW w:type="dxa" w:w="3200"/>
            <w:tcMar>
              <w:top w:type="dxa" w:w="80"/>
              <w:left w:type="dxa" w:w="100"/>
              <w:bottom w:type="dxa" w:w="80"/>
              <w:right w:type="dxa" w:w="100"/>
            </w:tcMar>
          </w:tcPr>
          <w:p>
            <w:pPr>
              <w:jc w:val="left"/>
            </w:pPr>
            <w:r>
              <w:rPr>
                <w:b w:val="false"/>
                <w:bCs w:val="false"/>
              </w:rPr>
              <w:t xml:space="preserve">492</w:t>
            </w:r>
          </w:p>
        </w:tc>
        <w:tc>
          <w:tcPr>
            <w:tcW w:type="dxa" w:w="3238"/>
            <w:tcMar>
              <w:top w:type="dxa" w:w="80"/>
              <w:left w:type="dxa" w:w="100"/>
              <w:bottom w:type="dxa" w:w="80"/>
              <w:right w:type="dxa" w:w="100"/>
            </w:tcMar>
          </w:tcPr>
          <w:p>
            <w:pPr>
              <w:jc w:val="left"/>
            </w:pPr>
            <w:r>
              <w:rPr>
                <w:b w:val="false"/>
                <w:bCs w:val="false"/>
              </w:rPr>
              <w:t xml:space="preserve">[-24.2, 114.9]</w:t>
            </w:r>
          </w:p>
        </w:tc>
      </w:tr>
    </w:tbl>
    <w:p>
      <w:pPr>
        <w:spacing w:after="160" w:line="300"/>
      </w:pPr>
      <w:r>
        <w:t xml:space="preserve">Se detectan valores atípicos en DIAS_HOSPITALIZACION e IMC. En el caso de DIAS_HOSPITALIZACION, estos valores no son errores: corresponden a pacientes que requirieron hospitalizaciones reales (hasta 30 días), por lo que se consideran casos válidos que ameritan revisión clínica, no datos a corregir. EDAD no presenta atípicos, ya que su rango (0-95 años) es consistente con una población hospitalaria general.</w:t>
      </w:r>
    </w:p>
    <w:p>
      <w:pPr>
        <w:pStyle w:val="Heading2"/>
        <w:spacing w:after="150" w:before="300"/>
      </w:pPr>
      <w:r>
        <w:t xml:space="preserve">2.4 ¿Cómo se distribuyen los datos?</w:t>
      </w:r>
    </w:p>
    <w:p>
      <w:pPr>
        <w:spacing w:after="100" w:before="150"/>
        <w:jc w:val="center"/>
      </w:pPr>
      <w:r>
        <w:drawing>
          <wp:inline distT="0" distB="0" distL="0" distR="0">
            <wp:extent cx="5334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00225"/>
                    </a:xfrm>
                    <a:prstGeom prst="rect">
                      <a:avLst/>
                    </a:prstGeom>
                  </pic:spPr>
                </pic:pic>
              </a:graphicData>
            </a:graphic>
          </wp:inline>
        </w:drawing>
      </w:r>
    </w:p>
    <w:p>
      <w:pPr>
        <w:spacing w:after="220"/>
        <w:jc w:val="center"/>
      </w:pPr>
      <w:r>
        <w:rPr>
          <w:i/>
          <w:iCs/>
          <w:color w:val="595959"/>
          <w:sz w:val="20"/>
          <w:szCs w:val="20"/>
        </w:rPr>
        <w:t xml:space="preserve">Figura 3. Distribución de EDAD y de DIAS_HOSPITALIZACION.</w:t>
      </w:r>
    </w:p>
    <w:p>
      <w:pPr>
        <w:spacing w:after="160" w:line="300"/>
      </w:pPr>
      <w:r>
        <w:t xml:space="preserve">EDAD muestra una distribución relativamente uniforme entre 0 y 95 años, sin concentración marcada en ningún rango. DIAS_HOSPITALIZACION está fuertemente concentrada en 0 (cerca del 88% de los registros, pacientes no internados); el resto se distribuye de forma dispersa entre 1 y 30 días.</w:t>
      </w:r>
    </w:p>
    <w:p>
      <w:pPr>
        <w:pStyle w:val="Heading2"/>
        <w:spacing w:after="150" w:before="300"/>
      </w:pPr>
      <w:r>
        <w:t xml:space="preserve">2.5 ¿Qué relaciones existen entre variables?</w:t>
      </w:r>
    </w:p>
    <w:p>
      <w:pPr>
        <w:spacing w:after="160" w:line="300"/>
      </w:pPr>
      <w:r>
        <w:t xml:space="preserve">Ya se sabe que el 87.82% de los pacientes tiene alguna complicación. Para entender por qué le importa ese número al hospital, se relaciona COMPLICACIONES (agrupada en "con complicación" / "sin complicación") con INTERNADO (si el paciente fue hospitalizado).</w:t>
      </w:r>
    </w:p>
    <w:p>
      <w:pPr>
        <w:spacing w:after="100" w:before="150"/>
        <w:jc w:val="center"/>
      </w:pPr>
      <w:r>
        <w:drawing>
          <wp:inline distT="0" distB="0" distL="0" distR="0">
            <wp:extent cx="31432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495550"/>
                    </a:xfrm>
                    <a:prstGeom prst="rect">
                      <a:avLst/>
                    </a:prstGeom>
                  </pic:spPr>
                </pic:pic>
              </a:graphicData>
            </a:graphic>
          </wp:inline>
        </w:drawing>
      </w:r>
    </w:p>
    <w:p>
      <w:pPr>
        <w:spacing w:after="220"/>
        <w:jc w:val="center"/>
      </w:pPr>
      <w:r>
        <w:rPr>
          <w:i/>
          <w:iCs/>
          <w:color w:val="595959"/>
          <w:sz w:val="20"/>
          <w:szCs w:val="20"/>
        </w:rPr>
        <w:t xml:space="preserve">Figura 4. Tasa de internación: con complicación vs. sin complicación.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shd w:fill="EFEFEF" w:val="clear"/>
            <w:tcMar>
              <w:top w:type="dxa" w:w="80"/>
              <w:left w:type="dxa" w:w="100"/>
              <w:bottom w:type="dxa" w:w="80"/>
              <w:right w:type="dxa" w:w="100"/>
            </w:tcMar>
          </w:tcPr>
          <w:p>
            <w:pPr>
              <w:jc w:val="left"/>
            </w:pPr>
            <w:r>
              <w:rPr>
                <w:b/>
                <w:bCs/>
              </w:rPr>
              <w:t xml:space="preserve">Grupo</w:t>
            </w:r>
          </w:p>
        </w:tc>
        <w:tc>
          <w:tcPr>
            <w:tcW w:type="dxa" w:w="4838"/>
            <w:shd w:fill="EFEFEF" w:val="clear"/>
            <w:tcMar>
              <w:top w:type="dxa" w:w="80"/>
              <w:left w:type="dxa" w:w="100"/>
              <w:bottom w:type="dxa" w:w="80"/>
              <w:right w:type="dxa" w:w="100"/>
            </w:tcMar>
          </w:tcPr>
          <w:p>
            <w:pPr>
              <w:jc w:val="left"/>
            </w:pPr>
            <w:r>
              <w:rPr>
                <w:b/>
                <w:bCs/>
              </w:rPr>
              <w:t xml:space="preserve">Tasa de internación</w:t>
            </w:r>
          </w:p>
        </w:tc>
      </w:tr>
      <w:tr>
        <w:tc>
          <w:tcPr>
            <w:tcW w:type="dxa" w:w="4800"/>
            <w:tcMar>
              <w:top w:type="dxa" w:w="80"/>
              <w:left w:type="dxa" w:w="100"/>
              <w:bottom w:type="dxa" w:w="80"/>
              <w:right w:type="dxa" w:w="100"/>
            </w:tcMar>
          </w:tcPr>
          <w:p>
            <w:pPr>
              <w:jc w:val="left"/>
            </w:pPr>
            <w:r>
              <w:rPr>
                <w:b w:val="false"/>
                <w:bCs w:val="false"/>
              </w:rPr>
              <w:t xml:space="preserve">Con complicación</w:t>
            </w:r>
          </w:p>
        </w:tc>
        <w:tc>
          <w:tcPr>
            <w:tcW w:type="dxa" w:w="4838"/>
            <w:tcMar>
              <w:top w:type="dxa" w:w="80"/>
              <w:left w:type="dxa" w:w="100"/>
              <w:bottom w:type="dxa" w:w="80"/>
              <w:right w:type="dxa" w:w="100"/>
            </w:tcMar>
          </w:tcPr>
          <w:p>
            <w:pPr>
              <w:jc w:val="left"/>
            </w:pPr>
            <w:r>
              <w:rPr>
                <w:b w:val="false"/>
                <w:bCs w:val="false"/>
              </w:rPr>
              <w:t xml:space="preserve">11.49 %</w:t>
            </w:r>
          </w:p>
        </w:tc>
      </w:tr>
      <w:tr>
        <w:tc>
          <w:tcPr>
            <w:tcW w:type="dxa" w:w="4800"/>
            <w:tcMar>
              <w:top w:type="dxa" w:w="80"/>
              <w:left w:type="dxa" w:w="100"/>
              <w:bottom w:type="dxa" w:w="80"/>
              <w:right w:type="dxa" w:w="100"/>
            </w:tcMar>
          </w:tcPr>
          <w:p>
            <w:pPr>
              <w:jc w:val="left"/>
            </w:pPr>
            <w:r>
              <w:rPr>
                <w:b w:val="false"/>
                <w:bCs w:val="false"/>
              </w:rPr>
              <w:t xml:space="preserve">Sin complicación</w:t>
            </w:r>
          </w:p>
        </w:tc>
        <w:tc>
          <w:tcPr>
            <w:tcW w:type="dxa" w:w="4838"/>
            <w:tcMar>
              <w:top w:type="dxa" w:w="80"/>
              <w:left w:type="dxa" w:w="100"/>
              <w:bottom w:type="dxa" w:w="80"/>
              <w:right w:type="dxa" w:w="100"/>
            </w:tcMar>
          </w:tcPr>
          <w:p>
            <w:pPr>
              <w:jc w:val="left"/>
            </w:pPr>
            <w:r>
              <w:rPr>
                <w:b w:val="false"/>
                <w:bCs w:val="false"/>
              </w:rPr>
              <w:t xml:space="preserve">11.66 %</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shd w:fill="EFEFEF" w:val="clear"/>
            <w:tcMar>
              <w:top w:type="dxa" w:w="80"/>
              <w:left w:type="dxa" w:w="100"/>
              <w:bottom w:type="dxa" w:w="80"/>
              <w:right w:type="dxa" w:w="100"/>
            </w:tcMar>
          </w:tcPr>
          <w:p>
            <w:pPr>
              <w:jc w:val="left"/>
            </w:pPr>
            <w:r>
              <w:rPr>
                <w:b/>
                <w:bCs/>
              </w:rPr>
              <w:t xml:space="preserve">Complicación</w:t>
            </w:r>
          </w:p>
        </w:tc>
        <w:tc>
          <w:tcPr>
            <w:tcW w:type="dxa" w:w="4838"/>
            <w:shd w:fill="EFEFEF" w:val="clear"/>
            <w:tcMar>
              <w:top w:type="dxa" w:w="80"/>
              <w:left w:type="dxa" w:w="100"/>
              <w:bottom w:type="dxa" w:w="80"/>
              <w:right w:type="dxa" w:w="100"/>
            </w:tcMar>
          </w:tcPr>
          <w:p>
            <w:pPr>
              <w:jc w:val="left"/>
            </w:pPr>
            <w:r>
              <w:rPr>
                <w:b/>
                <w:bCs/>
              </w:rPr>
              <w:t xml:space="preserve">Tasa de internación</w:t>
            </w:r>
          </w:p>
        </w:tc>
      </w:tr>
      <w:tr>
        <w:tc>
          <w:tcPr>
            <w:tcW w:type="dxa" w:w="4800"/>
            <w:tcMar>
              <w:top w:type="dxa" w:w="80"/>
              <w:left w:type="dxa" w:w="100"/>
              <w:bottom w:type="dxa" w:w="80"/>
              <w:right w:type="dxa" w:w="100"/>
            </w:tcMar>
          </w:tcPr>
          <w:p>
            <w:pPr>
              <w:jc w:val="left"/>
            </w:pPr>
            <w:r>
              <w:rPr>
                <w:b w:val="false"/>
                <w:bCs w:val="false"/>
              </w:rPr>
              <w:t xml:space="preserve">Sepsis</w:t>
            </w:r>
          </w:p>
        </w:tc>
        <w:tc>
          <w:tcPr>
            <w:tcW w:type="dxa" w:w="4838"/>
            <w:tcMar>
              <w:top w:type="dxa" w:w="80"/>
              <w:left w:type="dxa" w:w="100"/>
              <w:bottom w:type="dxa" w:w="80"/>
              <w:right w:type="dxa" w:w="100"/>
            </w:tcMar>
          </w:tcPr>
          <w:p>
            <w:pPr>
              <w:jc w:val="left"/>
            </w:pPr>
            <w:r>
              <w:rPr>
                <w:b w:val="false"/>
                <w:bCs w:val="false"/>
              </w:rPr>
              <w:t xml:space="preserve">12.85 %</w:t>
            </w:r>
          </w:p>
        </w:tc>
      </w:tr>
      <w:tr>
        <w:tc>
          <w:tcPr>
            <w:tcW w:type="dxa" w:w="4800"/>
            <w:tcMar>
              <w:top w:type="dxa" w:w="80"/>
              <w:left w:type="dxa" w:w="100"/>
              <w:bottom w:type="dxa" w:w="80"/>
              <w:right w:type="dxa" w:w="100"/>
            </w:tcMar>
          </w:tcPr>
          <w:p>
            <w:pPr>
              <w:jc w:val="left"/>
            </w:pPr>
            <w:r>
              <w:rPr>
                <w:b w:val="false"/>
                <w:bCs w:val="false"/>
              </w:rPr>
              <w:t xml:space="preserve">Hemorragia</w:t>
            </w:r>
          </w:p>
        </w:tc>
        <w:tc>
          <w:tcPr>
            <w:tcW w:type="dxa" w:w="4838"/>
            <w:tcMar>
              <w:top w:type="dxa" w:w="80"/>
              <w:left w:type="dxa" w:w="100"/>
              <w:bottom w:type="dxa" w:w="80"/>
              <w:right w:type="dxa" w:w="100"/>
            </w:tcMar>
          </w:tcPr>
          <w:p>
            <w:pPr>
              <w:jc w:val="left"/>
            </w:pPr>
            <w:r>
              <w:rPr>
                <w:b w:val="false"/>
                <w:bCs w:val="false"/>
              </w:rPr>
              <w:t xml:space="preserve">12.31 %</w:t>
            </w:r>
          </w:p>
        </w:tc>
      </w:tr>
      <w:tr>
        <w:tc>
          <w:tcPr>
            <w:tcW w:type="dxa" w:w="4800"/>
            <w:tcMar>
              <w:top w:type="dxa" w:w="80"/>
              <w:left w:type="dxa" w:w="100"/>
              <w:bottom w:type="dxa" w:w="80"/>
              <w:right w:type="dxa" w:w="100"/>
            </w:tcMar>
          </w:tcPr>
          <w:p>
            <w:pPr>
              <w:jc w:val="left"/>
            </w:pPr>
            <w:r>
              <w:rPr>
                <w:b w:val="false"/>
                <w:bCs w:val="false"/>
              </w:rPr>
              <w:t xml:space="preserve">Embolia</w:t>
            </w:r>
          </w:p>
        </w:tc>
        <w:tc>
          <w:tcPr>
            <w:tcW w:type="dxa" w:w="4838"/>
            <w:tcMar>
              <w:top w:type="dxa" w:w="80"/>
              <w:left w:type="dxa" w:w="100"/>
              <w:bottom w:type="dxa" w:w="80"/>
              <w:right w:type="dxa" w:w="100"/>
            </w:tcMar>
          </w:tcPr>
          <w:p>
            <w:pPr>
              <w:jc w:val="left"/>
            </w:pPr>
            <w:r>
              <w:rPr>
                <w:b w:val="false"/>
                <w:bCs w:val="false"/>
              </w:rPr>
              <w:t xml:space="preserve">12.13 %</w:t>
            </w:r>
          </w:p>
        </w:tc>
      </w:tr>
      <w:tr>
        <w:tc>
          <w:tcPr>
            <w:tcW w:type="dxa" w:w="4800"/>
            <w:tcMar>
              <w:top w:type="dxa" w:w="80"/>
              <w:left w:type="dxa" w:w="100"/>
              <w:bottom w:type="dxa" w:w="80"/>
              <w:right w:type="dxa" w:w="100"/>
            </w:tcMar>
          </w:tcPr>
          <w:p>
            <w:pPr>
              <w:jc w:val="left"/>
            </w:pPr>
            <w:r>
              <w:rPr>
                <w:b w:val="false"/>
                <w:bCs w:val="false"/>
              </w:rPr>
              <w:t xml:space="preserve">Reacción Adversa</w:t>
            </w:r>
          </w:p>
        </w:tc>
        <w:tc>
          <w:tcPr>
            <w:tcW w:type="dxa" w:w="4838"/>
            <w:tcMar>
              <w:top w:type="dxa" w:w="80"/>
              <w:left w:type="dxa" w:w="100"/>
              <w:bottom w:type="dxa" w:w="80"/>
              <w:right w:type="dxa" w:w="100"/>
            </w:tcMar>
          </w:tcPr>
          <w:p>
            <w:pPr>
              <w:jc w:val="left"/>
            </w:pPr>
            <w:r>
              <w:rPr>
                <w:b w:val="false"/>
                <w:bCs w:val="false"/>
              </w:rPr>
              <w:t xml:space="preserve">10.89 %</w:t>
            </w:r>
          </w:p>
        </w:tc>
      </w:tr>
      <w:tr>
        <w:tc>
          <w:tcPr>
            <w:tcW w:type="dxa" w:w="4800"/>
            <w:tcMar>
              <w:top w:type="dxa" w:w="80"/>
              <w:left w:type="dxa" w:w="100"/>
              <w:bottom w:type="dxa" w:w="80"/>
              <w:right w:type="dxa" w:w="100"/>
            </w:tcMar>
          </w:tcPr>
          <w:p>
            <w:pPr>
              <w:jc w:val="left"/>
            </w:pPr>
            <w:r>
              <w:rPr>
                <w:b w:val="false"/>
                <w:bCs w:val="false"/>
              </w:rPr>
              <w:t xml:space="preserve">Fallo Multiorgánico</w:t>
            </w:r>
          </w:p>
        </w:tc>
        <w:tc>
          <w:tcPr>
            <w:tcW w:type="dxa" w:w="4838"/>
            <w:tcMar>
              <w:top w:type="dxa" w:w="80"/>
              <w:left w:type="dxa" w:w="100"/>
              <w:bottom w:type="dxa" w:w="80"/>
              <w:right w:type="dxa" w:w="100"/>
            </w:tcMar>
          </w:tcPr>
          <w:p>
            <w:pPr>
              <w:jc w:val="left"/>
            </w:pPr>
            <w:r>
              <w:rPr>
                <w:b w:val="false"/>
                <w:bCs w:val="false"/>
              </w:rPr>
              <w:t xml:space="preserve">10.45 %</w:t>
            </w:r>
          </w:p>
        </w:tc>
      </w:tr>
      <w:tr>
        <w:tc>
          <w:tcPr>
            <w:tcW w:type="dxa" w:w="4800"/>
            <w:tcMar>
              <w:top w:type="dxa" w:w="80"/>
              <w:left w:type="dxa" w:w="100"/>
              <w:bottom w:type="dxa" w:w="80"/>
              <w:right w:type="dxa" w:w="100"/>
            </w:tcMar>
          </w:tcPr>
          <w:p>
            <w:pPr>
              <w:jc w:val="left"/>
            </w:pPr>
            <w:r>
              <w:rPr>
                <w:b w:val="false"/>
                <w:bCs w:val="false"/>
              </w:rPr>
              <w:t xml:space="preserve">Infección Nosocomial</w:t>
            </w:r>
          </w:p>
        </w:tc>
        <w:tc>
          <w:tcPr>
            <w:tcW w:type="dxa" w:w="4838"/>
            <w:tcMar>
              <w:top w:type="dxa" w:w="80"/>
              <w:left w:type="dxa" w:w="100"/>
              <w:bottom w:type="dxa" w:w="80"/>
              <w:right w:type="dxa" w:w="100"/>
            </w:tcMar>
          </w:tcPr>
          <w:p>
            <w:pPr>
              <w:jc w:val="left"/>
            </w:pPr>
            <w:r>
              <w:rPr>
                <w:b w:val="false"/>
                <w:bCs w:val="false"/>
              </w:rPr>
              <w:t xml:space="preserve">10.45 %</w:t>
            </w:r>
          </w:p>
        </w:tc>
      </w:tr>
    </w:tbl>
    <w:p>
      <w:pPr>
        <w:spacing w:after="160" w:line="300"/>
      </w:pPr>
      <w:r>
        <w:t xml:space="preserve">La tasa de internación es prácticamente igual entre pacientes con complicación (11.49%) y sin complicación (11.66%) — la diferencia es mínima, y el grupo sin complicación es incluso levemente más alto. Esto indica que, en este conjunto de datos, tener una complicación registrada no está asociado, por sí solo, a una mayor probabilidad de internación general.</w:t>
      </w:r>
    </w:p>
    <w:p>
      <w:pPr>
        <w:spacing w:after="160" w:line="300"/>
      </w:pPr>
      <w:r>
        <w:t xml:space="preserve">Sin embargo, al mirar el detalle por tipo de complicación sí aparece más variación: Sepsis (12.85%), Hemorragia (12.31%) y Embolia (12.13%) tienen las tasas más altas, mientras que Fallo Multiorgánico e Infección Nosocomial (10.45% ambas) tienen las más bajas. Es decir, el tipo específico de complicación importa más que el simple hecho de tener o no una complicación.</w:t>
      </w:r>
    </w:p>
    <w:p>
      <w:pPr>
        <w:pBdr>
          <w:left w:val="single" w:color="B5342A" w:sz="12" w:space="8"/>
        </w:pBdr>
        <w:spacing w:after="200" w:before="100"/>
        <w:ind w:left="360"/>
      </w:pPr>
      <w:r>
        <w:rPr>
          <w:i/>
          <w:iCs/>
          <w:color w:val="595959"/>
        </w:rPr>
        <w:t xml:space="preserve">Limitación: esta relación no controla por otras variables (como edad o enfermedad de base) que también podrían influir en la necesidad de internación.</w:t>
      </w:r>
    </w:p>
    <w:p>
      <w:pPr>
        <w:pStyle w:val="Heading2"/>
        <w:spacing w:after="150" w:before="300"/>
      </w:pPr>
      <w:r>
        <w:t xml:space="preserve">2.6 Hallazgo interesante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shd w:fill="EFEFEF" w:val="clear"/>
            <w:tcMar>
              <w:top w:type="dxa" w:w="80"/>
              <w:left w:type="dxa" w:w="100"/>
              <w:bottom w:type="dxa" w:w="80"/>
              <w:right w:type="dxa" w:w="100"/>
            </w:tcMar>
          </w:tcPr>
          <w:p>
            <w:pPr>
              <w:jc w:val="left"/>
            </w:pPr>
            <w:r>
              <w:rPr>
                <w:b/>
                <w:bCs/>
              </w:rPr>
              <w:t xml:space="preserve">Complicación</w:t>
            </w:r>
          </w:p>
        </w:tc>
        <w:tc>
          <w:tcPr>
            <w:tcW w:type="dxa" w:w="4838"/>
            <w:shd w:fill="EFEFEF" w:val="clear"/>
            <w:tcMar>
              <w:top w:type="dxa" w:w="80"/>
              <w:left w:type="dxa" w:w="100"/>
              <w:bottom w:type="dxa" w:w="80"/>
              <w:right w:type="dxa" w:w="100"/>
            </w:tcMar>
          </w:tcPr>
          <w:p>
            <w:pPr>
              <w:jc w:val="left"/>
            </w:pPr>
            <w:r>
              <w:rPr>
                <w:b/>
                <w:bCs/>
              </w:rPr>
              <w:t xml:space="preserve">% Fallecidos</w:t>
            </w:r>
          </w:p>
        </w:tc>
      </w:tr>
      <w:tr>
        <w:tc>
          <w:tcPr>
            <w:tcW w:type="dxa" w:w="4800"/>
            <w:tcMar>
              <w:top w:type="dxa" w:w="80"/>
              <w:left w:type="dxa" w:w="100"/>
              <w:bottom w:type="dxa" w:w="80"/>
              <w:right w:type="dxa" w:w="100"/>
            </w:tcMar>
          </w:tcPr>
          <w:p>
            <w:pPr>
              <w:jc w:val="left"/>
            </w:pPr>
            <w:r>
              <w:rPr>
                <w:b w:val="false"/>
                <w:bCs w:val="false"/>
              </w:rPr>
              <w:t xml:space="preserve">Ninguna</w:t>
            </w:r>
          </w:p>
        </w:tc>
        <w:tc>
          <w:tcPr>
            <w:tcW w:type="dxa" w:w="4838"/>
            <w:tcMar>
              <w:top w:type="dxa" w:w="80"/>
              <w:left w:type="dxa" w:w="100"/>
              <w:bottom w:type="dxa" w:w="80"/>
              <w:right w:type="dxa" w:w="100"/>
            </w:tcMar>
          </w:tcPr>
          <w:p>
            <w:pPr>
              <w:jc w:val="left"/>
            </w:pPr>
            <w:r>
              <w:rPr>
                <w:b w:val="false"/>
                <w:bCs w:val="false"/>
              </w:rPr>
              <w:t xml:space="preserve">2.30 %</w:t>
            </w:r>
          </w:p>
        </w:tc>
      </w:tr>
      <w:tr>
        <w:tc>
          <w:tcPr>
            <w:tcW w:type="dxa" w:w="4800"/>
            <w:tcMar>
              <w:top w:type="dxa" w:w="80"/>
              <w:left w:type="dxa" w:w="100"/>
              <w:bottom w:type="dxa" w:w="80"/>
              <w:right w:type="dxa" w:w="100"/>
            </w:tcMar>
          </w:tcPr>
          <w:p>
            <w:pPr>
              <w:jc w:val="left"/>
            </w:pPr>
            <w:r>
              <w:rPr>
                <w:b w:val="false"/>
                <w:bCs w:val="false"/>
              </w:rPr>
              <w:t xml:space="preserve">Fallo Multiorgánico</w:t>
            </w:r>
          </w:p>
        </w:tc>
        <w:tc>
          <w:tcPr>
            <w:tcW w:type="dxa" w:w="4838"/>
            <w:tcMar>
              <w:top w:type="dxa" w:w="80"/>
              <w:left w:type="dxa" w:w="100"/>
              <w:bottom w:type="dxa" w:w="80"/>
              <w:right w:type="dxa" w:w="100"/>
            </w:tcMar>
          </w:tcPr>
          <w:p>
            <w:pPr>
              <w:jc w:val="left"/>
            </w:pPr>
            <w:r>
              <w:rPr>
                <w:b w:val="false"/>
                <w:bCs w:val="false"/>
              </w:rPr>
              <w:t xml:space="preserve">2.27 %</w:t>
            </w:r>
          </w:p>
        </w:tc>
      </w:tr>
      <w:tr>
        <w:tc>
          <w:tcPr>
            <w:tcW w:type="dxa" w:w="4800"/>
            <w:tcMar>
              <w:top w:type="dxa" w:w="80"/>
              <w:left w:type="dxa" w:w="100"/>
              <w:bottom w:type="dxa" w:w="80"/>
              <w:right w:type="dxa" w:w="100"/>
            </w:tcMar>
          </w:tcPr>
          <w:p>
            <w:pPr>
              <w:jc w:val="left"/>
            </w:pPr>
            <w:r>
              <w:rPr>
                <w:b w:val="false"/>
                <w:bCs w:val="false"/>
              </w:rPr>
              <w:t xml:space="preserve">Sepsis</w:t>
            </w:r>
          </w:p>
        </w:tc>
        <w:tc>
          <w:tcPr>
            <w:tcW w:type="dxa" w:w="4838"/>
            <w:tcMar>
              <w:top w:type="dxa" w:w="80"/>
              <w:left w:type="dxa" w:w="100"/>
              <w:bottom w:type="dxa" w:w="80"/>
              <w:right w:type="dxa" w:w="100"/>
            </w:tcMar>
          </w:tcPr>
          <w:p>
            <w:pPr>
              <w:jc w:val="left"/>
            </w:pPr>
            <w:r>
              <w:rPr>
                <w:b w:val="false"/>
                <w:bCs w:val="false"/>
              </w:rPr>
              <w:t xml:space="preserve">2.21 %</w:t>
            </w:r>
          </w:p>
        </w:tc>
      </w:tr>
      <w:tr>
        <w:tc>
          <w:tcPr>
            <w:tcW w:type="dxa" w:w="4800"/>
            <w:tcMar>
              <w:top w:type="dxa" w:w="80"/>
              <w:left w:type="dxa" w:w="100"/>
              <w:bottom w:type="dxa" w:w="80"/>
              <w:right w:type="dxa" w:w="100"/>
            </w:tcMar>
          </w:tcPr>
          <w:p>
            <w:pPr>
              <w:jc w:val="left"/>
            </w:pPr>
            <w:r>
              <w:rPr>
                <w:b w:val="false"/>
                <w:bCs w:val="false"/>
              </w:rPr>
              <w:t xml:space="preserve">Infección Nosocomial</w:t>
            </w:r>
          </w:p>
        </w:tc>
        <w:tc>
          <w:tcPr>
            <w:tcW w:type="dxa" w:w="4838"/>
            <w:tcMar>
              <w:top w:type="dxa" w:w="80"/>
              <w:left w:type="dxa" w:w="100"/>
              <w:bottom w:type="dxa" w:w="80"/>
              <w:right w:type="dxa" w:w="100"/>
            </w:tcMar>
          </w:tcPr>
          <w:p>
            <w:pPr>
              <w:jc w:val="left"/>
            </w:pPr>
            <w:r>
              <w:rPr>
                <w:b w:val="false"/>
                <w:bCs w:val="false"/>
              </w:rPr>
              <w:t xml:space="preserve">2.09 %</w:t>
            </w:r>
          </w:p>
        </w:tc>
      </w:tr>
      <w:tr>
        <w:tc>
          <w:tcPr>
            <w:tcW w:type="dxa" w:w="4800"/>
            <w:tcMar>
              <w:top w:type="dxa" w:w="80"/>
              <w:left w:type="dxa" w:w="100"/>
              <w:bottom w:type="dxa" w:w="80"/>
              <w:right w:type="dxa" w:w="100"/>
            </w:tcMar>
          </w:tcPr>
          <w:p>
            <w:pPr>
              <w:jc w:val="left"/>
            </w:pPr>
            <w:r>
              <w:rPr>
                <w:b w:val="false"/>
                <w:bCs w:val="false"/>
              </w:rPr>
              <w:t xml:space="preserve">Embolia</w:t>
            </w:r>
          </w:p>
        </w:tc>
        <w:tc>
          <w:tcPr>
            <w:tcW w:type="dxa" w:w="4838"/>
            <w:tcMar>
              <w:top w:type="dxa" w:w="80"/>
              <w:left w:type="dxa" w:w="100"/>
              <w:bottom w:type="dxa" w:w="80"/>
              <w:right w:type="dxa" w:w="100"/>
            </w:tcMar>
          </w:tcPr>
          <w:p>
            <w:pPr>
              <w:jc w:val="left"/>
            </w:pPr>
            <w:r>
              <w:rPr>
                <w:b w:val="false"/>
                <w:bCs w:val="false"/>
              </w:rPr>
              <w:t xml:space="preserve">1.86 %</w:t>
            </w:r>
          </w:p>
        </w:tc>
      </w:tr>
      <w:tr>
        <w:tc>
          <w:tcPr>
            <w:tcW w:type="dxa" w:w="4800"/>
            <w:tcMar>
              <w:top w:type="dxa" w:w="80"/>
              <w:left w:type="dxa" w:w="100"/>
              <w:bottom w:type="dxa" w:w="80"/>
              <w:right w:type="dxa" w:w="100"/>
            </w:tcMar>
          </w:tcPr>
          <w:p>
            <w:pPr>
              <w:jc w:val="left"/>
            </w:pPr>
            <w:r>
              <w:rPr>
                <w:b w:val="false"/>
                <w:bCs w:val="false"/>
              </w:rPr>
              <w:t xml:space="preserve">Hemorragia</w:t>
            </w:r>
          </w:p>
        </w:tc>
        <w:tc>
          <w:tcPr>
            <w:tcW w:type="dxa" w:w="4838"/>
            <w:tcMar>
              <w:top w:type="dxa" w:w="80"/>
              <w:left w:type="dxa" w:w="100"/>
              <w:bottom w:type="dxa" w:w="80"/>
              <w:right w:type="dxa" w:w="100"/>
            </w:tcMar>
          </w:tcPr>
          <w:p>
            <w:pPr>
              <w:jc w:val="left"/>
            </w:pPr>
            <w:r>
              <w:rPr>
                <w:b w:val="false"/>
                <w:bCs w:val="false"/>
              </w:rPr>
              <w:t xml:space="preserve">1.82 %</w:t>
            </w:r>
          </w:p>
        </w:tc>
      </w:tr>
      <w:tr>
        <w:tc>
          <w:tcPr>
            <w:tcW w:type="dxa" w:w="4800"/>
            <w:tcMar>
              <w:top w:type="dxa" w:w="80"/>
              <w:left w:type="dxa" w:w="100"/>
              <w:bottom w:type="dxa" w:w="80"/>
              <w:right w:type="dxa" w:w="100"/>
            </w:tcMar>
          </w:tcPr>
          <w:p>
            <w:pPr>
              <w:jc w:val="left"/>
            </w:pPr>
            <w:r>
              <w:rPr>
                <w:b w:val="false"/>
                <w:bCs w:val="false"/>
              </w:rPr>
              <w:t xml:space="preserve">Reacción Adversa</w:t>
            </w:r>
          </w:p>
        </w:tc>
        <w:tc>
          <w:tcPr>
            <w:tcW w:type="dxa" w:w="4838"/>
            <w:tcMar>
              <w:top w:type="dxa" w:w="80"/>
              <w:left w:type="dxa" w:w="100"/>
              <w:bottom w:type="dxa" w:w="80"/>
              <w:right w:type="dxa" w:w="100"/>
            </w:tcMar>
          </w:tcPr>
          <w:p>
            <w:pPr>
              <w:jc w:val="left"/>
            </w:pPr>
            <w:r>
              <w:rPr>
                <w:b w:val="false"/>
                <w:bCs w:val="false"/>
              </w:rPr>
              <w:t xml:space="preserve">1.60 %</w:t>
            </w:r>
          </w:p>
        </w:tc>
      </w:tr>
    </w:tbl>
    <w:p>
      <w:pPr>
        <w:spacing w:after="160" w:line="300"/>
      </w:pPr>
      <w:r>
        <w:rPr>
          <w:b/>
          <w:bCs/>
        </w:rPr>
        <w:t xml:space="preserve">Hallazgo: </w:t>
      </w:r>
      <w:r>
        <w:t xml:space="preserve">contra lo que se esperaría, los pacientes registrados sin ninguna complicación ("Ninguna") presentan la mayor proporción de fallecidos (2.30%), por encima incluso de Sepsis (2.21%) o Fallo Multiorgánico (2.27%).</w:t>
      </w:r>
    </w:p>
    <w:p>
      <w:pPr>
        <w:spacing w:after="160" w:line="300"/>
      </w:pPr>
      <w:r>
        <w:t xml:space="preserve">Esto podría indicar que existen fallecimientos por causas no capturadas en la variable COMPLICACIONES (por ejemplo, relacionadas con la enfermedad de base o con la edad avanzada del paciente), o bien un posible problema de calidad en el registro de complicaciones. Para el negocio, este hallazgo sugiere que no basta con monitorear solo la variable complicaciones para anticipar el riesgo de un paciente: se debería cruzar con enfermedad de base y edad en un análisis posterior.</w:t>
      </w:r>
    </w:p>
    <w:p>
      <w:r>
        <w:br w:type="page"/>
      </w:r>
    </w:p>
    <w:p>
      <w:pPr>
        <w:pStyle w:val="Heading1"/>
        <w:spacing w:after="200" w:before="400"/>
      </w:pPr>
      <w:r>
        <w:t xml:space="preserve">3. Conclusiones</w:t>
      </w:r>
    </w:p>
    <w:p>
      <w:pPr>
        <w:pStyle w:val="ListParagraph"/>
        <w:numPr>
          <w:ilvl w:val="0"/>
          <w:numId w:val="1"/>
        </w:numPr>
        <w:spacing w:after="80"/>
      </w:pPr>
      <w:r>
        <w:t xml:space="preserve">La métrica principal (prevalencia de complicaciones) muestra que el 87.82% de los pacientes atendidos presenta al menos una complicación médica, evidenciando un problema generalizado que justifica priorizar recursos hacia su prevención.</w:t>
      </w:r>
    </w:p>
    <w:p>
      <w:pPr>
        <w:pStyle w:val="ListParagraph"/>
        <w:numPr>
          <w:ilvl w:val="0"/>
          <w:numId w:val="1"/>
        </w:numPr>
        <w:spacing w:after="80"/>
      </w:pPr>
      <w:r>
        <w:t xml:space="preserve">La tasa de internación general es casi idéntica entre pacientes con y sin complicación (11.49% vs 11.66%); sin embargo, el tipo específico de complicación sí importa: Sepsis, Hemorragia y Embolia presentan las tasas de internación más altas.</w:t>
      </w:r>
    </w:p>
    <w:p>
      <w:pPr>
        <w:pStyle w:val="ListParagraph"/>
        <w:numPr>
          <w:ilvl w:val="0"/>
          <w:numId w:val="1"/>
        </w:numPr>
        <w:spacing w:after="80"/>
      </w:pPr>
      <w:r>
        <w:t xml:space="preserve">La calidad de los datos es alta: solo el 0.82% de los registros tiene valores faltantes (en IMC), por lo que no fue necesario aplicar tratamientos de imputación.</w:t>
      </w:r>
    </w:p>
    <w:p>
      <w:pPr>
        <w:pStyle w:val="ListParagraph"/>
        <w:numPr>
          <w:ilvl w:val="0"/>
          <w:numId w:val="1"/>
        </w:numPr>
        <w:spacing w:after="80"/>
      </w:pPr>
      <w:r>
        <w:t xml:space="preserve">Los valores atípicos en DIAS_HOSPITALIZACION corresponden a casos clínicos reales de internaciones prolongadas y no a errores de carga.</w:t>
      </w:r>
    </w:p>
    <w:p>
      <w:pPr>
        <w:pStyle w:val="ListParagraph"/>
        <w:numPr>
          <w:ilvl w:val="0"/>
          <w:numId w:val="1"/>
        </w:numPr>
        <w:spacing w:after="80"/>
      </w:pPr>
      <w:r>
        <w:t xml:space="preserve">El hallazgo más relevante — la mayor tasa de fallecidos entre pacientes sin complicaciones registradas — señala una posible brecha en cómo se captura el riesgo clínico, y abre una línea de análisis futura cruzando ENFERMEDADES y EDAD.</w:t>
      </w:r>
    </w:p>
    <w:p>
      <w:pPr>
        <w:pStyle w:val="ListParagraph"/>
        <w:numPr>
          <w:ilvl w:val="0"/>
          <w:numId w:val="1"/>
        </w:numPr>
        <w:spacing w:after="80"/>
      </w:pPr>
      <w:r>
        <w:t xml:space="preserve">Como propuesta de mejora (meta futura, no resultado actual), se plantea reducir la prevalencia de complicaciones del 87.82% a una meta de 75% mediante un programa de prevención, lo que evitaría aproximadamente 1,282 casos de complicaciones.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88a7446eae483cf25dfd1f955613b34c3f0199.png"/><Relationship Id="rId8" Type="http://schemas.openxmlformats.org/officeDocument/2006/relationships/image" Target="media/11eb92c0402a9308b7a740672d6681ada28043cb.png"/><Relationship Id="rId9" Type="http://schemas.openxmlformats.org/officeDocument/2006/relationships/image" Target="media/6671b688295f72f4832a08e006fa12bc6cd4da91.png"/><Relationship Id="rId10" Type="http://schemas.openxmlformats.org/officeDocument/2006/relationships/image" Target="media/97288fba234a68b9a2fb27e17b142a0affb6c62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2026-09-11T04:13:13.525Z</dcterms:created>
  <dcterms:modified xsi:type="dcterms:W3CDTF">2026-09-11T04:13:13.534Z</dcterms:modified>
</cp:coreProperties>
</file>

<file path=docProps/custom.xml><?xml version="1.0" encoding="utf-8"?>
<Properties xmlns="http://schemas.openxmlformats.org/officeDocument/2006/custom-properties" xmlns:vt="http://schemas.openxmlformats.org/officeDocument/2006/docPropsVTypes"/>
</file>