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MIRCAT v0.1 — Informe de Microtramos</w:t>
      </w:r>
    </w:p>
    <w:p>
      <w:r>
        <w:t>Este informe resume métricas básicas por microtramos: volatilidad local, burst, liquidez y propagación.</w:t>
      </w:r>
    </w:p>
    <w:p>
      <w:pPr>
        <w:pStyle w:val="Heading1"/>
      </w:pPr>
      <w:r>
        <w:t>1. Resumen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Métrica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Precio inicial</w:t>
            </w:r>
          </w:p>
        </w:tc>
        <w:tc>
          <w:tcPr>
            <w:tcW w:type="dxa" w:w="4320"/>
          </w:tcPr>
          <w:p>
            <w:r>
              <w:t>100.2</w:t>
            </w:r>
          </w:p>
        </w:tc>
      </w:tr>
      <w:tr>
        <w:tc>
          <w:tcPr>
            <w:tcW w:type="dxa" w:w="4320"/>
          </w:tcPr>
          <w:p>
            <w:r>
              <w:t>Precio final</w:t>
            </w:r>
          </w:p>
        </w:tc>
        <w:tc>
          <w:tcPr>
            <w:tcW w:type="dxa" w:w="4320"/>
          </w:tcPr>
          <w:p>
            <w:r>
              <w:t>95.91</w:t>
            </w:r>
          </w:p>
        </w:tc>
      </w:tr>
      <w:tr>
        <w:tc>
          <w:tcPr>
            <w:tcW w:type="dxa" w:w="4320"/>
          </w:tcPr>
          <w:p>
            <w:r>
              <w:t>Ventana</w:t>
            </w:r>
          </w:p>
        </w:tc>
        <w:tc>
          <w:tcPr>
            <w:tcW w:type="dxa" w:w="4320"/>
          </w:tcPr>
          <w:p>
            <w:r>
              <w:t>30</w:t>
            </w:r>
          </w:p>
        </w:tc>
      </w:tr>
      <w:tr>
        <w:tc>
          <w:tcPr>
            <w:tcW w:type="dxa" w:w="4320"/>
          </w:tcPr>
          <w:p>
            <w:r>
              <w:t>Paso</w:t>
            </w:r>
          </w:p>
        </w:tc>
        <w:tc>
          <w:tcPr>
            <w:tcW w:type="dxa" w:w="4320"/>
          </w:tcPr>
          <w:p>
            <w:r>
              <w:t>15</w:t>
            </w:r>
          </w:p>
        </w:tc>
      </w:tr>
      <w:tr>
        <w:tc>
          <w:tcPr>
            <w:tcW w:type="dxa" w:w="4320"/>
          </w:tcPr>
          <w:p>
            <w:r>
              <w:t>Umbral burst</w:t>
            </w:r>
          </w:p>
        </w:tc>
        <w:tc>
          <w:tcPr>
            <w:tcW w:type="dxa" w:w="4320"/>
          </w:tcPr>
          <w:p>
            <w:r>
              <w:t>1.5</w:t>
            </w:r>
          </w:p>
        </w:tc>
      </w:tr>
      <w:tr>
        <w:tc>
          <w:tcPr>
            <w:tcW w:type="dxa" w:w="4320"/>
          </w:tcPr>
          <w:p>
            <w:r>
              <w:t>Umbral liq</w:t>
            </w:r>
          </w:p>
        </w:tc>
        <w:tc>
          <w:tcPr>
            <w:tcW w:type="dxa" w:w="4320"/>
          </w:tcPr>
          <w:p>
            <w:r>
              <w:t>0.01</w:t>
            </w:r>
          </w:p>
        </w:tc>
      </w:tr>
      <w:tr>
        <w:tc>
          <w:tcPr>
            <w:tcW w:type="dxa" w:w="4320"/>
          </w:tcPr>
          <w:p>
            <w:r>
              <w:t>Umbral prop</w:t>
            </w:r>
          </w:p>
        </w:tc>
        <w:tc>
          <w:tcPr>
            <w:tcW w:type="dxa" w:w="4320"/>
          </w:tcPr>
          <w:p>
            <w:r>
              <w:t>0.2</w:t>
            </w:r>
          </w:p>
        </w:tc>
      </w:tr>
      <w:tr>
        <w:tc>
          <w:tcPr>
            <w:tcW w:type="dxa" w:w="4320"/>
          </w:tcPr>
          <w:p>
            <w:r>
              <w:t>Wavelets</w:t>
            </w:r>
          </w:p>
        </w:tc>
        <w:tc>
          <w:tcPr>
            <w:tcW w:type="dxa" w:w="4320"/>
          </w:tcPr>
          <w:p>
            <w:r>
              <w:t>on</w:t>
            </w:r>
          </w:p>
        </w:tc>
      </w:tr>
      <w:tr>
        <w:tc>
          <w:tcPr>
            <w:tcW w:type="dxa" w:w="4320"/>
          </w:tcPr>
          <w:p>
            <w:r>
              <w:t>Liquidez_Roll</w:t>
            </w:r>
          </w:p>
        </w:tc>
        <w:tc>
          <w:tcPr>
            <w:tcW w:type="dxa" w:w="4320"/>
          </w:tcPr>
          <w:p>
            <w:r>
              <w:t>on</w:t>
            </w:r>
          </w:p>
        </w:tc>
      </w:tr>
      <w:tr>
        <w:tc>
          <w:tcPr>
            <w:tcW w:type="dxa" w:w="4320"/>
          </w:tcPr>
          <w:p>
            <w:r>
              <w:t>Parkinson</w:t>
            </w:r>
          </w:p>
        </w:tc>
        <w:tc>
          <w:tcPr>
            <w:tcW w:type="dxa" w:w="4320"/>
          </w:tcPr>
          <w:p>
            <w:r>
              <w:t>on</w:t>
            </w:r>
          </w:p>
        </w:tc>
      </w:tr>
      <w:tr>
        <w:tc>
          <w:tcPr>
            <w:tcW w:type="dxa" w:w="4320"/>
          </w:tcPr>
          <w:p>
            <w:r>
              <w:t>Amihud</w:t>
            </w:r>
          </w:p>
        </w:tc>
        <w:tc>
          <w:tcPr>
            <w:tcW w:type="dxa" w:w="4320"/>
          </w:tcPr>
          <w:p>
            <w:r>
              <w:t>on</w:t>
            </w:r>
          </w:p>
        </w:tc>
      </w:tr>
    </w:tbl>
    <w:p>
      <w:pPr>
        <w:pStyle w:val="Heading1"/>
      </w:pPr>
      <w:r>
        <w:t>2. Figuras</w:t>
      </w:r>
    </w:p>
    <w:p>
      <w:r>
        <w:t>Figura 1. Serie de precios</w:t>
      </w:r>
    </w:p>
    <w:p>
      <w:r>
        <w:drawing>
          <wp:inline xmlns:a="http://schemas.openxmlformats.org/drawingml/2006/main" xmlns:pic="http://schemas.openxmlformats.org/drawingml/2006/picture">
            <wp:extent cx="5029200" cy="29941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1_Prec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4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2. Volatilidad local</w:t>
      </w:r>
    </w:p>
    <w:p>
      <w:r>
        <w:drawing>
          <wp:inline xmlns:a="http://schemas.openxmlformats.org/drawingml/2006/main" xmlns:pic="http://schemas.openxmlformats.org/drawingml/2006/picture">
            <wp:extent cx="5029200" cy="299514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2_VolLoc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5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3. Índice de burst</w:t>
      </w:r>
    </w:p>
    <w:p>
      <w:r>
        <w:drawing>
          <wp:inline xmlns:a="http://schemas.openxmlformats.org/drawingml/2006/main" xmlns:pic="http://schemas.openxmlformats.org/drawingml/2006/picture">
            <wp:extent cx="5029200" cy="299413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3_Bur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4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4. Proxy de liquidez</w:t>
      </w:r>
    </w:p>
    <w:p>
      <w:r>
        <w:drawing>
          <wp:inline xmlns:a="http://schemas.openxmlformats.org/drawingml/2006/main" xmlns:pic="http://schemas.openxmlformats.org/drawingml/2006/picture">
            <wp:extent cx="5029200" cy="299514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4_Liquide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5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5. Correlación rolling ret vs lag1</w:t>
      </w:r>
    </w:p>
    <w:p>
      <w:r>
        <w:drawing>
          <wp:inline xmlns:a="http://schemas.openxmlformats.org/drawingml/2006/main" xmlns:pic="http://schemas.openxmlformats.org/drawingml/2006/picture">
            <wp:extent cx="5029200" cy="299514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5_PropCor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514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