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6236"/>
            <w:shd w:fill="1F497D" w:color="auto" w:val="clear"/>
          </w:tcPr>
          <w:p>
            <w:r>
              <w:rPr>
                <w:rFonts w:ascii="Calibri" w:hAnsi="Calibri"/>
                <w:b/>
                <w:color w:val="FFFFFF"/>
                <w:sz w:val="40"/>
              </w:rPr>
              <w:t>System Architecture Document</w:t>
            </w:r>
          </w:p>
          <w:p>
            <w:r>
              <w:rPr>
                <w:rFonts w:ascii="Calibri" w:hAnsi="Calibri"/>
                <w:color w:val="BDD7EE"/>
                <w:sz w:val="22"/>
              </w:rPr>
              <w:t>AI-Based Paddy Leaf Disease Detection</w:t>
              <w:br/>
              <w:t>and Crop Yield Prediction for Precision Agriculture</w:t>
            </w:r>
          </w:p>
        </w:tc>
        <w:tc>
          <w:tcPr>
            <w:tcW w:type="dxa" w:w="3685"/>
            <w:shd w:fill="2E75B6" w:color="auto" w:val="clear"/>
          </w:tcPr>
          <w:p/>
          <w:p>
            <w:r>
              <w:rPr>
                <w:rFonts w:ascii="Calibri" w:hAnsi="Calibri"/>
                <w:b/>
                <w:color w:val="BDD7EE"/>
                <w:sz w:val="20"/>
              </w:rPr>
              <w:t xml:space="preserve">Standard: </w:t>
            </w:r>
            <w:r>
              <w:rPr>
                <w:rFonts w:ascii="Calibri" w:hAnsi="Calibri"/>
                <w:color w:val="FFFFFF"/>
                <w:sz w:val="20"/>
              </w:rPr>
              <w:t>IEEE 1016-2009</w:t>
            </w:r>
          </w:p>
          <w:p>
            <w:r>
              <w:rPr>
                <w:rFonts w:ascii="Calibri" w:hAnsi="Calibri"/>
                <w:b/>
                <w:color w:val="BDD7EE"/>
                <w:sz w:val="20"/>
              </w:rPr>
              <w:t xml:space="preserve">Version: </w:t>
            </w:r>
            <w:r>
              <w:rPr>
                <w:rFonts w:ascii="Calibri" w:hAnsi="Calibri"/>
                <w:color w:val="FFFFFF"/>
                <w:sz w:val="20"/>
              </w:rPr>
              <w:t>1.0</w:t>
            </w:r>
          </w:p>
          <w:p>
            <w:r>
              <w:rPr>
                <w:rFonts w:ascii="Calibri" w:hAnsi="Calibri"/>
                <w:b/>
                <w:color w:val="BDD7EE"/>
                <w:sz w:val="20"/>
              </w:rPr>
              <w:t xml:space="preserve">Date: </w:t>
            </w:r>
            <w:r>
              <w:rPr>
                <w:rFonts w:ascii="Calibri" w:hAnsi="Calibri"/>
                <w:color w:val="FFFFFF"/>
                <w:sz w:val="20"/>
              </w:rPr>
              <w:t>March 2026</w:t>
            </w:r>
          </w:p>
          <w:p>
            <w:r>
              <w:rPr>
                <w:rFonts w:ascii="Calibri" w:hAnsi="Calibri"/>
                <w:b/>
                <w:color w:val="BDD7EE"/>
                <w:sz w:val="20"/>
              </w:rPr>
              <w:t xml:space="preserve">Status: </w:t>
            </w:r>
            <w:r>
              <w:rPr>
                <w:rFonts w:ascii="Calibri" w:hAnsi="Calibri"/>
                <w:color w:val="FFFFFF"/>
                <w:sz w:val="20"/>
              </w:rPr>
              <w:t>Final Draft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97D"/>
        </w:rPr>
        <w:t>Abstract</w:t>
      </w:r>
    </w:p>
    <w:p>
      <w:pPr>
        <w:ind w:left="0"/>
      </w:pPr>
      <w:r>
        <w:rPr>
          <w:rFonts w:ascii="Calibri" w:hAnsi="Calibri"/>
          <w:sz w:val="22"/>
        </w:rPr>
        <w:t>This document presents the complete system architecture for an AI-driven precision agriculture platform integrating two independent AI modules: (1) EfficientNet-B0 CNN-based paddy leaf disease detection (4 classes, 3355 images, 15 epochs), and (2) Random Forest regression-based crop yield prediction (R²=0.9438, RMSE=174.97 kg/ha, 20 Indian states, 1968–2017). Both modules are unified in a Flask web application. All architecture diagrams are embedded as generated visual figures. Document follows IEEE 1016-2009.</w:t>
      </w:r>
    </w:p>
    <w:p>
      <w:pPr>
        <w:pBdr>
          <w:bottom w:val="single" w:sz="6" w:space="1" w:color="1F497D"/>
        </w:pBdr>
      </w:pPr>
    </w:p>
    <w:p>
      <w:pPr>
        <w:pStyle w:val="Heading1"/>
      </w:pPr>
      <w:r>
        <w:rPr>
          <w:rFonts w:ascii="Calibri" w:hAnsi="Calibri"/>
          <w:color w:val="1F497D"/>
        </w:rPr>
        <w:t>1. System Overview</w:t>
      </w:r>
    </w:p>
    <w:p>
      <w:pPr>
        <w:pStyle w:val="Heading2"/>
      </w:pPr>
      <w:r>
        <w:rPr>
          <w:rFonts w:ascii="Calibri" w:hAnsi="Calibri"/>
          <w:color w:val="4472C4"/>
        </w:rPr>
        <w:t>1.1 Purpose</w:t>
      </w:r>
    </w:p>
    <w:p>
      <w:pPr>
        <w:ind w:left="0"/>
      </w:pPr>
      <w:r>
        <w:rPr>
          <w:rFonts w:ascii="Calibri" w:hAnsi="Calibri"/>
          <w:sz w:val="22"/>
        </w:rPr>
        <w:t>This document provides the authoritative architectural description for a final-year major project demonstrating applied deep learning and machine learning in precision agriculture.</w:t>
      </w:r>
    </w:p>
    <w:p>
      <w:pPr>
        <w:pStyle w:val="Heading2"/>
      </w:pPr>
      <w:r>
        <w:rPr>
          <w:rFonts w:ascii="Calibri" w:hAnsi="Calibri"/>
          <w:color w:val="4472C4"/>
        </w:rPr>
        <w:t>1.2 System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Goal</w:t>
            </w:r>
          </w:p>
        </w:tc>
        <w:tc>
          <w:tcPr>
            <w:tcW w:type="dxa" w:w="7087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Accessibility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Minimal-barrier web interface — no technical expertise required from farmers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Disease Detection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EfficientNet-B0 CNN with ImageNet transfer learning, 4 disease classes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Yield Prediction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R²=0.9438 | RMSE=174.97 kg/ha | MAPE=5.35%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Integration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Both modules in one Flask web application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SDG Alignment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SDG 2 — Zero Hunger | SDG 15 — Life on Land</w:t>
            </w:r>
          </w:p>
        </w:tc>
      </w:tr>
    </w:tbl>
    <w:p>
      <w:pPr>
        <w:pStyle w:val="Heading2"/>
      </w:pPr>
      <w:r>
        <w:rPr>
          <w:rFonts w:ascii="Calibri" w:hAnsi="Calibri"/>
          <w:color w:val="4472C4"/>
        </w:rPr>
        <w:t>1.3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CNN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Convolutional Neural Network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EfficientNet-B0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Efficient CNN by Tan &amp; Le (2019) — compound scaled for accuracy and efficiency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RF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Random Forest Regressor (ensemble of decision trees)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Transfer Learning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Reusing ImageNet pre-trained weights for paddy disease classification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Lag Feature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Time-shifted variable, e.g. Yield_t1 = prior-year yield for the same state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Flask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Python micro web-framework for HTTP routing and template rendering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Joblib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Python library for serialising trained ML models (.pkl files)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MAPE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Mean Absolute Percentage Error — practical yield prediction accuracy metric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2. System Architecture</w:t>
      </w:r>
    </w:p>
    <w:p>
      <w:pPr>
        <w:pStyle w:val="Heading2"/>
      </w:pPr>
      <w:r>
        <w:rPr>
          <w:rFonts w:ascii="Calibri" w:hAnsi="Calibri"/>
          <w:color w:val="4472C4"/>
        </w:rPr>
        <w:t>2.1 Architectural Style</w:t>
      </w:r>
    </w:p>
    <w:p>
      <w:pPr>
        <w:ind w:left="0"/>
      </w:pPr>
      <w:r>
        <w:rPr>
          <w:rFonts w:ascii="Calibri" w:hAnsi="Calibri"/>
          <w:sz w:val="22"/>
        </w:rPr>
        <w:t>Monolithic Web Application Architecture with an embedded ML inference layer. All components — routing, disease CNN, yield RF, image handling — run in a single Flask process.</w:t>
      </w:r>
    </w:p>
    <w:p>
      <w:pPr>
        <w:pStyle w:val="Heading2"/>
      </w:pPr>
      <w:r>
        <w:rPr>
          <w:rFonts w:ascii="Calibri" w:hAnsi="Calibri"/>
          <w:color w:val="4472C4"/>
        </w:rPr>
        <w:t>2.2 Architectural Layers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551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6803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Presentation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sz w:val="20"/>
              </w:rPr>
              <w:t>HTML/CSS/Bootstrap templates via Jinja2</w:t>
            </w:r>
          </w:p>
        </w:tc>
      </w:tr>
      <w:tr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Routing</w:t>
            </w:r>
          </w:p>
        </w:tc>
        <w:tc>
          <w:tcPr>
            <w:tcW w:type="dxa" w:w="680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Flask @app.route handlers direct requests to controllers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Inference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sz w:val="20"/>
              </w:rPr>
              <w:t>TensorFlow/Keras (disease) + Scikit-learn RF (yield) in-process</w:t>
            </w:r>
          </w:p>
        </w:tc>
      </w:tr>
      <w:tr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File I/O</w:t>
            </w:r>
          </w:p>
        </w:tc>
        <w:tc>
          <w:tcPr>
            <w:tcW w:type="dxa" w:w="680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Pillow processes images; secure_filename prevents path traversal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Utility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sz w:val="20"/>
              </w:rPr>
              <w:t>Default injection, lag computation, unit conversion (kg/ha → t/ha)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20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1 — System Architecture Diagram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Shows the full system: external actors, Flask pages, ML inference layer, utility layer, and storage.</w:t>
      </w:r>
    </w:p>
    <w:p/>
    <w:p>
      <w:pPr>
        <w:pStyle w:val="Heading1"/>
      </w:pPr>
      <w:r>
        <w:rPr>
          <w:rFonts w:ascii="Calibri" w:hAnsi="Calibri"/>
          <w:color w:val="1F497D"/>
        </w:rPr>
        <w:t>3. High-Level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7087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Components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Client Tier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Web browser — sends HTTP GET/POST to Flask server on localhost:5000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Application Tier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Flask router, Disease Controller, Yield Controller, Image Preprocessor, Feature Engineer, in-memory EfficientNet-B0 and Random Forest models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Storage Tier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Filesystem: uploads/ (leaf images), models/ (.h5, .pkl), static/ (CSS/JS)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4. Module Architecture</w:t>
      </w:r>
    </w:p>
    <w:p>
      <w:pPr>
        <w:pStyle w:val="Heading2"/>
      </w:pPr>
      <w:r>
        <w:rPr>
          <w:rFonts w:ascii="Calibri" w:hAnsi="Calibri"/>
          <w:color w:val="4472C4"/>
        </w:rPr>
        <w:t>4.1 Module 1 — Paddy Leaf Disease Detection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402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5953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EfficientNet-B0 (Transfer Learning, ImageNet weights)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Framework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TensorFlow 2.x / Keras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Input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224 × 224 × 3 RGB — preprocessed with efficientnet.preprocess_input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0=Healthy | 1=Brown Spot | 2=Leaf Blast | 3=Hispa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Dataset Total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3,355 images (Kaggle)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Train / Val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2,684 (80%) / 671 (20%)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Epochs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15 | Optimizer: Adam | Loss: Categorical Cross-Entropy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Top Layers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GlobalAvgPool2D → Dense(128,ReLU)+Dropout(0.3) → Dense(4,Softmax)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Artefact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disease_model.h5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733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mponent_dise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3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2 — Component Diagram: Disease Detection Pipeline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Step-by-step flow from image upload through preprocessing to CNN classification and result display.</w:t>
      </w:r>
    </w:p>
    <w:p/>
    <w:p>
      <w:pPr>
        <w:pStyle w:val="Heading2"/>
      </w:pPr>
      <w:r>
        <w:rPr>
          <w:rFonts w:ascii="Calibri" w:hAnsi="Calibri"/>
          <w:color w:val="4472C4"/>
        </w:rPr>
        <w:t>4.2 Module 2 — Crop Yield Prediction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402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5953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Random Forest Regressor (Scikit-learn | Joblib .pkl)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Training Data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995 samples | 20 Indian states | 1968–2017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Train/Test Split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Chronological: Train 1968–2012 | Test 2013–2017 (no data leakage)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User Inputs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8: State, N, P, K, Temperature, Humidity, Rainfall, pH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Auto-filled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8: Year=2017, Wind=3.5, Solar=18, lag features derived from user inputs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Total Features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16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R²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0.9438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RMSE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174.97 kg/ha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MAE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128.38 kg/ha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MAPE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5.35%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Artefact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yield_model.pkl + preprocessor.pkl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97D"/>
        </w:rPr>
        <w:t>Feature Mapping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11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551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3685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State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User input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Punjab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N_req_kg_per_ha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User input (N)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90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P_req_kg_per_ha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User input (P)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42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K_req_kg_per_ha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User input (K)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43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Temperature_C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User input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25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Humidity_%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User input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80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Rainfall_mm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User input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200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pH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User input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6.5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Year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Auto-filled default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2017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Wind_Speed_m_s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Auto-filled default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3.5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Solar_Radiation_MJ_m2_day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Auto-filled default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18.0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Yield_t1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Lag estimate (prior year)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computed from model region avg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Yield_t2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Lag estimate (2 years prior)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computed from model region avg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Rainfall_t1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Rainfall × 0.95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190.0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Rainfall_t2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Rainfall × 0.90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/>
                <w:sz w:val="20"/>
              </w:rPr>
              <w:t>180.0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Temp_t1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Temperature − 0.3</w:t>
            </w:r>
          </w:p>
        </w:tc>
        <w:tc>
          <w:tcPr>
            <w:tcW w:type="dxa" w:w="368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24.7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5. Data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772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fd_level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3 — DFD Level 0 (Context Diagram)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Shows the system as a single process: Farmer/Analyst inputs → AI Prediction System → outputs.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20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4 — DFD Level 1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Expands into 6 internal processes and 3 data stores showing all data flows.</w:t>
      </w:r>
    </w:p>
    <w:p/>
    <w:p>
      <w:pPr>
        <w:pStyle w:val="Heading2"/>
      </w:pPr>
      <w:r>
        <w:rPr>
          <w:rFonts w:ascii="Calibri" w:hAnsi="Calibri"/>
          <w:color w:val="4472C4"/>
        </w:rPr>
        <w:t>5.1 Disease Detection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402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5953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Source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Kaggle — Paddy Leaf Disease Dataset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Total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3,355 images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Train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2,684 (80%)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Validation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671 (20%)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Healthy | Brown Spot | Leaf Blast | Hispa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Input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JPEG/PNG → resized to 224×224 pixels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4472C4"/>
        </w:rPr>
        <w:t>5.2 Crop Yield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402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5953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Source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India state-level historical agricultural dataset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Coverage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20 Indian states | 1968–2017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Raw Records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~14,978 district-level rows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Aggregated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995 samples (state-year, area-weighted)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Features</w:t>
            </w:r>
          </w:p>
        </w:tc>
        <w:tc>
          <w:tcPr>
            <w:tcW w:type="dxa" w:w="5953"/>
          </w:tcPr>
          <w:p>
            <w:r/>
            <w:r>
              <w:rPr>
                <w:rFonts w:ascii="Calibri" w:hAnsi="Calibri"/>
                <w:sz w:val="20"/>
              </w:rPr>
              <w:t>16 (including 6 lag-engineered variables)</w:t>
            </w:r>
          </w:p>
        </w:tc>
      </w:tr>
      <w:tr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Target</w:t>
            </w:r>
          </w:p>
        </w:tc>
        <w:tc>
          <w:tcPr>
            <w:tcW w:type="dxa" w:w="5953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Yield_kg_per_ha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6. Machine Learning Pipeline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604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l_pipeline_dis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6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6 — Disease Detection ML Pipeline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Full pipeline: raw images → augmentation → EfficientNet-B0 training (15 epochs) → saved model.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65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l_pipeline_yiel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5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7 — Crop Yield ML Pipeline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Full pipeline: raw district data → aggregation → lag engineering → RF training → evaluation → serialisation.</w:t>
      </w:r>
    </w:p>
    <w:p/>
    <w:p>
      <w:pPr>
        <w:pStyle w:val="Heading1"/>
      </w:pPr>
      <w:r>
        <w:rPr>
          <w:rFonts w:ascii="Calibri" w:hAnsi="Calibri"/>
          <w:color w:val="1F497D"/>
        </w:rPr>
        <w:t>7. Application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20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sequence_dise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5a — Sequence Diagram: Disease Prediction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Time-ordered message flow: user uploads image → preprocessing → CNN inference → disease label displayed.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20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sequence_yie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5b — Sequence Diagram: Crop Yield Prediction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Time-ordered flow: user enters 8 params → feature engineering → RF inference → unit conversion → yield displayed.</w:t>
      </w:r>
    </w:p>
    <w:p/>
    <w:p>
      <w:pPr>
        <w:pStyle w:val="Heading2"/>
      </w:pPr>
      <w:r>
        <w:rPr>
          <w:rFonts w:ascii="Calibri" w:hAnsi="Calibri"/>
          <w:color w:val="4472C4"/>
        </w:rPr>
        <w:t>7.1 Class Structure (Backend)</w:t>
      </w:r>
    </w:p>
    <w:p>
      <w:pPr>
        <w:ind w:left="0"/>
      </w:pPr>
      <w:r>
        <w:rPr>
          <w:rFonts w:ascii="Calibri" w:hAnsi="Calibri"/>
          <w:sz w:val="22"/>
        </w:rPr>
        <w:t>The Flask application is organised into controller classes: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Class</w:t>
            </w:r>
          </w:p>
        </w:tc>
        <w:tc>
          <w:tcPr>
            <w:tcW w:type="dxa" w:w="7087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Key Responsibilities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FlaskApp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Loads both models at startup; runs the web server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DiseaseController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Handles /disease routes; calls ImagePreprocessor and EfficientNet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YieldController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Handles /yield routes; calls FeatureEngineer and RF model; converts units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ImagePreprocessor</w:t>
            </w:r>
          </w:p>
        </w:tc>
        <w:tc>
          <w:tcPr>
            <w:tcW w:type="dxa" w:w="7087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Loads image with Pillow, resizes to 224×224, applies efficientnet preprocessing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FeatureEngineer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sz w:val="20"/>
              </w:rPr>
              <w:t>Encodes state, injects defaults, computes lags, applies StandardScaler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8. Deployment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20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plo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9 — Deployment Diagram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Client browser → Flask process (router + controllers + in-memory models) → local filesystem.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11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6236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Runtime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sz w:val="20"/>
              </w:rPr>
              <w:t>Python 3.10+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Web Server</w:t>
            </w:r>
          </w:p>
        </w:tc>
        <w:tc>
          <w:tcPr>
            <w:tcW w:type="dxa" w:w="6236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Flask/Werkzeug dev server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Host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sz w:val="20"/>
              </w:rPr>
              <w:t>localhost:5000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Debug</w:t>
            </w:r>
          </w:p>
        </w:tc>
        <w:tc>
          <w:tcPr>
            <w:tcW w:type="dxa" w:w="6236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True (development) | False (production)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Model loading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sz w:val="20"/>
              </w:rPr>
              <w:t>At application startup — loaded once, held in process memory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Max upload</w:t>
            </w:r>
          </w:p>
        </w:tc>
        <w:tc>
          <w:tcPr>
            <w:tcW w:type="dxa" w:w="6236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16 MB (Flask MAX_CONTENT_LENGTH)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sz w:val="20"/>
              </w:rPr>
              <w:t>OS (Training)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sz w:val="20"/>
              </w:rPr>
              <w:t>macOS (MacBook Pro)</w:t>
            </w:r>
          </w:p>
        </w:tc>
      </w:tr>
      <w:tr>
        <w:tc>
          <w:tcPr>
            <w:tcW w:type="dxa" w:w="311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OS (Deployment)</w:t>
            </w:r>
          </w:p>
        </w:tc>
        <w:tc>
          <w:tcPr>
            <w:tcW w:type="dxa" w:w="6236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Windows 10/11 (local demo)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9. Database Design</w:t>
      </w:r>
    </w:p>
    <w:p>
      <w:pPr>
        <w:ind w:left="0"/>
      </w:pPr>
      <w:r>
        <w:rPr>
          <w:rFonts w:ascii="Calibri" w:hAnsi="Calibri"/>
          <w:sz w:val="22"/>
        </w:rPr>
        <w:t>Current implementation uses filesystem storage. The relational schema below is defined for production readiness.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8120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r_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8 — Entity-Relationship (ER) Diagram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Entities: PredictionRequest, DiseasePrediction, YieldPrediction, UploadedImage with cardinality relationships.</w:t>
      </w:r>
    </w:p>
    <w:p/>
    <w:p>
      <w:pPr>
        <w:pStyle w:val="Heading2"/>
      </w:pPr>
      <w:r>
        <w:rPr>
          <w:rFonts w:ascii="Calibri" w:hAnsi="Calibri"/>
          <w:color w:val="4472C4"/>
        </w:rPr>
        <w:t>Schema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1701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Primary Key</w:t>
            </w:r>
          </w:p>
        </w:tc>
        <w:tc>
          <w:tcPr>
            <w:tcW w:type="dxa" w:w="1984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Foreign Keys</w:t>
            </w:r>
          </w:p>
        </w:tc>
        <w:tc>
          <w:tcPr>
            <w:tcW w:type="dxa" w:w="3402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Key Columns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prediction_requests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request_id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session_id, module_type, timestamp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disease_predictions</w:t>
            </w:r>
          </w:p>
        </w:tc>
        <w:tc>
          <w:tcPr>
            <w:tcW w:type="dxa" w:w="170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disease_pred_id</w:t>
            </w:r>
          </w:p>
        </w:tc>
        <w:tc>
          <w:tcPr>
            <w:tcW w:type="dxa" w:w="1984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request_id</w:t>
            </w:r>
          </w:p>
        </w:tc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image_filename, predicted_class, confidence_score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yield_predictions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sz w:val="20"/>
              </w:rPr>
              <w:t>yield_pred_id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sz w:val="20"/>
              </w:rPr>
              <w:t>request_id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sz w:val="20"/>
              </w:rPr>
              <w:t>state, N/P/K, rainfall, predicted_yield_kg_ha, t_ha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uploaded_images</w:t>
            </w:r>
          </w:p>
        </w:tc>
        <w:tc>
          <w:tcPr>
            <w:tcW w:type="dxa" w:w="170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image_id</w:t>
            </w:r>
          </w:p>
        </w:tc>
        <w:tc>
          <w:tcPr>
            <w:tcW w:type="dxa" w:w="1984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request_id</w:t>
            </w:r>
          </w:p>
        </w:tc>
        <w:tc>
          <w:tcPr>
            <w:tcW w:type="dxa" w:w="3402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original_filename, stored_filename, file_size_bytes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10. API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62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pi_intera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6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05050"/>
          <w:sz w:val="18"/>
        </w:rPr>
        <w:t>Figure 10 — API Interaction Diagram</w:t>
      </w:r>
    </w:p>
    <w:p>
      <w:pPr>
        <w:ind w:left="170"/>
      </w:pPr>
      <w:r>
        <w:rPr>
          <w:rFonts w:ascii="Calibri" w:hAnsi="Calibri"/>
          <w:i/>
          <w:color w:val="3C3C3C"/>
          <w:sz w:val="20"/>
        </w:rPr>
        <w:t>All HTTP endpoints with request formats and response formats.</w:t>
      </w:r>
    </w:p>
    <w:p/>
    <w:p>
      <w:pPr>
        <w:pStyle w:val="Heading2"/>
      </w:pPr>
      <w:r>
        <w:rPr>
          <w:rFonts w:ascii="Calibri" w:hAnsi="Calibri"/>
          <w:color w:val="4472C4"/>
        </w:rPr>
        <w:t>POST /predict-disease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835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520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Method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POST | Content-Type: multipart/form-data</w:t>
            </w:r>
          </w:p>
        </w:tc>
      </w:tr>
      <w:tr>
        <w:tc>
          <w:tcPr>
            <w:tcW w:type="dxa" w:w="28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Body</w:t>
            </w:r>
          </w:p>
        </w:tc>
        <w:tc>
          <w:tcPr>
            <w:tcW w:type="dxa" w:w="6520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image: file (JPEG/PNG, max 16MB)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Success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HTTP 200 — rendered HTML with disease label + confidence</w:t>
            </w:r>
          </w:p>
        </w:tc>
      </w:tr>
      <w:tr>
        <w:tc>
          <w:tcPr>
            <w:tcW w:type="dxa" w:w="28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Error</w:t>
            </w:r>
          </w:p>
        </w:tc>
        <w:tc>
          <w:tcPr>
            <w:tcW w:type="dxa" w:w="6520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HTTP 400 — {"error": "No image provided or unsupported format"}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97D"/>
        </w:rPr>
        <w:t>Example Response</w:t>
      </w:r>
    </w:p>
    <w:p>
      <w:pPr>
        <w:ind w:left="340"/>
        <w:shd w:fill="F2F2F2" w:val="clear"/>
      </w:pPr>
      <w:r>
        <w:rPr>
          <w:rFonts w:ascii="Courier New" w:hAnsi="Courier New"/>
          <w:sz w:val="17"/>
        </w:rPr>
        <w:t>{</w:t>
        <w:br/>
        <w:t xml:space="preserve">  "disease": "Brown Spot",</w:t>
        <w:br/>
        <w:t xml:space="preserve">  "confidence": 0.9412,</w:t>
        <w:br/>
        <w:t xml:space="preserve">  "all_probabilities": {"Healthy": 0.0231, "Brown Spot": 0.9412,</w:t>
        <w:br/>
        <w:t xml:space="preserve">                        "Leaf Blast": 0.0247, "Hispa": 0.0110}</w:t>
        <w:br/>
        <w:t>}</w:t>
      </w:r>
    </w:p>
    <w:p/>
    <w:p>
      <w:pPr>
        <w:pStyle w:val="Heading2"/>
      </w:pPr>
      <w:r>
        <w:rPr>
          <w:rFonts w:ascii="Calibri" w:hAnsi="Calibri"/>
          <w:color w:val="4472C4"/>
        </w:rPr>
        <w:t>POST /predict-yield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835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520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Method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POST | Content-Type: application/x-www-form-urlencoded</w:t>
            </w:r>
          </w:p>
        </w:tc>
      </w:tr>
      <w:tr>
        <w:tc>
          <w:tcPr>
            <w:tcW w:type="dxa" w:w="28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Body fields</w:t>
            </w:r>
          </w:p>
        </w:tc>
        <w:tc>
          <w:tcPr>
            <w:tcW w:type="dxa" w:w="6520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state, N, P, K, temperature, humidity, rainfall, pH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Success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HTTP 200 — rendered HTML with predicted yield kg/ha and t/ha</w:t>
            </w:r>
          </w:p>
        </w:tc>
      </w:tr>
      <w:tr>
        <w:tc>
          <w:tcPr>
            <w:tcW w:type="dxa" w:w="28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Error</w:t>
            </w:r>
          </w:p>
        </w:tc>
        <w:tc>
          <w:tcPr>
            <w:tcW w:type="dxa" w:w="6520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HTTP 400 — {"error": "Missing required field: state"}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F497D"/>
        </w:rPr>
        <w:t>Example Request</w:t>
      </w:r>
    </w:p>
    <w:p>
      <w:pPr>
        <w:ind w:left="340"/>
        <w:shd w:fill="F2F2F2" w:val="clear"/>
      </w:pPr>
      <w:r>
        <w:rPr>
          <w:rFonts w:ascii="Courier New" w:hAnsi="Courier New"/>
          <w:sz w:val="17"/>
        </w:rPr>
        <w:t>state=Punjab&amp;N=90&amp;P=42&amp;K=43&amp;temperature=25&amp;humidity=80&amp;rainfall=200&amp;pH=6.5</w:t>
      </w:r>
    </w:p>
    <w:p>
      <w:pPr>
        <w:pStyle w:val="Heading3"/>
      </w:pPr>
      <w:r>
        <w:rPr>
          <w:rFonts w:ascii="Calibri" w:hAnsi="Calibri"/>
          <w:color w:val="1F497D"/>
        </w:rPr>
        <w:t>Example Response</w:t>
      </w:r>
    </w:p>
    <w:p>
      <w:pPr>
        <w:ind w:left="340"/>
        <w:shd w:fill="F2F2F2" w:val="clear"/>
      </w:pPr>
      <w:r>
        <w:rPr>
          <w:rFonts w:ascii="Courier New" w:hAnsi="Courier New"/>
          <w:sz w:val="17"/>
        </w:rPr>
        <w:t>{</w:t>
        <w:br/>
        <w:t xml:space="preserve">  "state": "Punjab",</w:t>
        <w:br/>
        <w:t xml:space="preserve">  "predicted_yield_kg_ha": 3987.43,</w:t>
        <w:br/>
        <w:t xml:space="preserve">  "predicted_yield_t_ha": 3.99,</w:t>
        <w:br/>
        <w:t xml:space="preserve">  "auto_filled": {"year": 2017, "wind_speed": 3.5, "solar_radiation": 18.0}</w:t>
        <w:br/>
        <w:t>}</w:t>
      </w:r>
    </w:p>
    <w:p/>
    <w:p>
      <w:pPr>
        <w:pStyle w:val="Heading1"/>
      </w:pPr>
      <w:r>
        <w:rPr>
          <w:rFonts w:ascii="Calibri" w:hAnsi="Calibri"/>
          <w:color w:val="1F497D"/>
        </w:rPr>
        <w:t>11. Security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835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6520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Malicious file uploads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Validate MIME type with Pillow; restrict to .jpg/.jpeg/.png; use secure_filename()</w:t>
            </w:r>
          </w:p>
        </w:tc>
      </w:tr>
      <w:tr>
        <w:tc>
          <w:tcPr>
            <w:tcW w:type="dxa" w:w="28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Upload DoS</w:t>
            </w:r>
          </w:p>
        </w:tc>
        <w:tc>
          <w:tcPr>
            <w:tcW w:type="dxa" w:w="6520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Set MAX_CONTENT_LENGTH = 16MB in Flask config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Path traversal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Use uuid4() for stored filenames — never use raw user-supplied names</w:t>
            </w:r>
          </w:p>
        </w:tc>
      </w:tr>
      <w:tr>
        <w:tc>
          <w:tcPr>
            <w:tcW w:type="dxa" w:w="28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Invalid inputs</w:t>
            </w:r>
          </w:p>
        </w:tc>
        <w:tc>
          <w:tcPr>
            <w:tcW w:type="dxa" w:w="6520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Validate all form fields for type and range; HTTP 400 on failure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Model tampering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Version-control model files; SHA-256 checksum at startup</w:t>
            </w:r>
          </w:p>
        </w:tc>
      </w:tr>
      <w:tr>
        <w:tc>
          <w:tcPr>
            <w:tcW w:type="dxa" w:w="28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Debug mode exposure</w:t>
            </w:r>
          </w:p>
        </w:tc>
        <w:tc>
          <w:tcPr>
            <w:tcW w:type="dxa" w:w="6520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Disable debug=True before any demo or production deployment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sz w:val="20"/>
              </w:rPr>
              <w:t>CSRF</w:t>
            </w:r>
          </w:p>
        </w:tc>
        <w:tc>
          <w:tcPr>
            <w:tcW w:type="dxa" w:w="6520"/>
          </w:tcPr>
          <w:p>
            <w:r/>
            <w:r>
              <w:rPr>
                <w:rFonts w:ascii="Calibri" w:hAnsi="Calibri"/>
                <w:sz w:val="20"/>
              </w:rPr>
              <w:t>Add Flask-WTF CSRF token to all POST forms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12. Scalability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268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2551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Current</w:t>
            </w:r>
          </w:p>
        </w:tc>
        <w:tc>
          <w:tcPr>
            <w:tcW w:type="dxa" w:w="4535"/>
            <w:shd w:fill="1F497D" w:color="auto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Recommended Upgrade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Concurrent users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Single-threaded dev server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sz w:val="20"/>
              </w:rPr>
              <w:t>Gunicorn (multi-worker) + Nginx reverse proxy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Model loading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Once per process</w:t>
            </w:r>
          </w:p>
        </w:tc>
        <w:tc>
          <w:tcPr>
            <w:tcW w:type="dxa" w:w="45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TF Serving / Triton for shared model server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Image storage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Local uploads/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sz w:val="20"/>
              </w:rPr>
              <w:t>AWS S3 or Google Cloud Storage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Filesystem only</w:t>
            </w:r>
          </w:p>
        </w:tc>
        <w:tc>
          <w:tcPr>
            <w:tcW w:type="dxa" w:w="45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PostgreSQL + SQLAlchemy ORM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sz w:val="20"/>
              </w:rPr>
              <w:t>Containerisation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sz w:val="20"/>
              </w:rPr>
              <w:t>None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sz w:val="20"/>
              </w:rPr>
              <w:t>Docker + docker-compose</w:t>
            </w:r>
          </w:p>
        </w:tc>
      </w:tr>
      <w:tr>
        <w:tc>
          <w:tcPr>
            <w:tcW w:type="dxa" w:w="2268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CI/CD</w:t>
            </w:r>
          </w:p>
        </w:tc>
        <w:tc>
          <w:tcPr>
            <w:tcW w:type="dxa" w:w="2551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Manual</w:t>
            </w:r>
          </w:p>
        </w:tc>
        <w:tc>
          <w:tcPr>
            <w:tcW w:type="dxa" w:w="4535"/>
            <w:shd w:fill="DCE6F1" w:color="auto" w:val="clear"/>
          </w:tcPr>
          <w:p>
            <w:r/>
            <w:r>
              <w:rPr>
                <w:rFonts w:ascii="Calibri" w:hAnsi="Calibri"/>
                <w:sz w:val="20"/>
              </w:rPr>
              <w:t>GitHub Actions automated pipeline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13. Future Architecture Improvements</w:t>
      </w:r>
    </w:p>
    <w:p>
      <w:pPr>
        <w:pStyle w:val="Heading2"/>
      </w:pPr>
      <w:r>
        <w:rPr>
          <w:rFonts w:ascii="Calibri" w:hAnsi="Calibri"/>
          <w:color w:val="4472C4"/>
        </w:rPr>
        <w:t>Short-Term</w:t>
      </w:r>
    </w:p>
    <w:p>
      <w:pPr>
        <w:pStyle w:val="ListBullet"/>
      </w:pPr>
      <w:r>
        <w:rPr>
          <w:rFonts w:ascii="Calibri" w:hAnsi="Calibri"/>
          <w:sz w:val="22"/>
        </w:rPr>
        <w:t>SQLite/PostgreSQL database for prediction history and analytics dashboard.</w:t>
      </w:r>
    </w:p>
    <w:p>
      <w:pPr>
        <w:pStyle w:val="ListBullet"/>
      </w:pPr>
      <w:r>
        <w:rPr>
          <w:rFonts w:ascii="Calibri" w:hAnsi="Calibri"/>
          <w:sz w:val="22"/>
        </w:rPr>
        <w:t>Mobile-responsive Bootstrap UI for smartphone-using field farmers.</w:t>
      </w:r>
    </w:p>
    <w:p>
      <w:pPr>
        <w:pStyle w:val="ListBullet"/>
      </w:pPr>
      <w:r>
        <w:rPr>
          <w:rFonts w:ascii="Calibri" w:hAnsi="Calibri"/>
          <w:sz w:val="22"/>
        </w:rPr>
        <w:t>Confidence threshold warnings (&lt;50% flagged with a caution banner).</w:t>
      </w:r>
    </w:p>
    <w:p>
      <w:pPr>
        <w:pStyle w:val="ListBullet"/>
      </w:pPr>
      <w:r>
        <w:rPr>
          <w:rFonts w:ascii="Calibri" w:hAnsi="Calibri"/>
          <w:sz w:val="22"/>
        </w:rPr>
        <w:t>User session tracking for anonymous prediction association.</w:t>
      </w:r>
    </w:p>
    <w:p>
      <w:pPr>
        <w:pStyle w:val="Heading2"/>
      </w:pPr>
      <w:r>
        <w:rPr>
          <w:rFonts w:ascii="Calibri" w:hAnsi="Calibri"/>
          <w:color w:val="4472C4"/>
        </w:rPr>
        <w:t>Medium-Term</w:t>
      </w:r>
    </w:p>
    <w:p>
      <w:pPr>
        <w:pStyle w:val="ListBullet"/>
      </w:pPr>
      <w:r>
        <w:rPr>
          <w:rFonts w:ascii="Calibri" w:hAnsi="Calibri"/>
          <w:sz w:val="22"/>
        </w:rPr>
        <w:t>REST JSON API endpoints enabling mobile app integration.</w:t>
      </w:r>
    </w:p>
    <w:p>
      <w:pPr>
        <w:pStyle w:val="ListBullet"/>
      </w:pPr>
      <w:r>
        <w:rPr>
          <w:rFonts w:ascii="Calibri" w:hAnsi="Calibri"/>
          <w:sz w:val="22"/>
        </w:rPr>
        <w:t>MLflow model versioning and automated retraining pipeline.</w:t>
      </w:r>
    </w:p>
    <w:p>
      <w:pPr>
        <w:pStyle w:val="ListBullet"/>
      </w:pPr>
      <w:r>
        <w:rPr>
          <w:rFonts w:ascii="Calibri" w:hAnsi="Calibri"/>
          <w:sz w:val="22"/>
        </w:rPr>
        <w:t>Extend CNN to detect Sheath Blight, Bacterial Leaf Blight.</w:t>
      </w:r>
    </w:p>
    <w:p>
      <w:pPr>
        <w:pStyle w:val="ListBullet"/>
      </w:pPr>
      <w:r>
        <w:rPr>
          <w:rFonts w:ascii="Calibri" w:hAnsi="Calibri"/>
          <w:sz w:val="22"/>
        </w:rPr>
        <w:t>Extend RF yield model to wheat, maize, soybean.</w:t>
      </w:r>
    </w:p>
    <w:p>
      <w:pPr>
        <w:pStyle w:val="Heading2"/>
      </w:pPr>
      <w:r>
        <w:rPr>
          <w:rFonts w:ascii="Calibri" w:hAnsi="Calibri"/>
          <w:color w:val="4472C4"/>
        </w:rPr>
        <w:t>Long-Term</w:t>
      </w:r>
    </w:p>
    <w:p>
      <w:pPr>
        <w:pStyle w:val="ListBullet"/>
      </w:pPr>
      <w:r>
        <w:rPr>
          <w:rFonts w:ascii="Calibri" w:hAnsi="Calibri"/>
          <w:sz w:val="22"/>
        </w:rPr>
        <w:t>TensorFlow Lite quantisation for offline inference on Android smartphones.</w:t>
      </w:r>
    </w:p>
    <w:p>
      <w:pPr>
        <w:pStyle w:val="ListBullet"/>
      </w:pPr>
      <w:r>
        <w:rPr>
          <w:rFonts w:ascii="Calibri" w:hAnsi="Calibri"/>
          <w:sz w:val="22"/>
        </w:rPr>
        <w:t>NDVI satellite imagery as an auto-populated yield prediction feature.</w:t>
      </w:r>
    </w:p>
    <w:p>
      <w:pPr>
        <w:pStyle w:val="ListBullet"/>
      </w:pPr>
      <w:r>
        <w:rPr>
          <w:rFonts w:ascii="Calibri" w:hAnsi="Calibri"/>
          <w:sz w:val="22"/>
        </w:rPr>
        <w:t>Federated learning for privacy-preserving training across farmer cooperatives.</w:t>
      </w:r>
    </w:p>
    <w:p>
      <w:pPr>
        <w:pStyle w:val="ListBullet"/>
      </w:pPr>
      <w:r>
        <w:rPr>
          <w:rFonts w:ascii="Calibri" w:hAnsi="Calibri"/>
          <w:sz w:val="22"/>
        </w:rPr>
        <w:t>Microservices extraction of Disease and Yield modules for independent scaling.</w:t>
      </w:r>
    </w:p>
    <w:p/>
    <w:p>
      <w:pPr>
        <w:pBdr>
          <w:bottom w:val="single" w:sz="6" w:space="1" w:color="1F497D"/>
        </w:pBdr>
      </w:pPr>
    </w:p>
    <w:p>
      <w:pPr>
        <w:pStyle w:val="Heading1"/>
      </w:pPr>
      <w:r>
        <w:rPr>
          <w:rFonts w:ascii="Calibri" w:hAnsi="Calibri"/>
          <w:color w:val="1F497D"/>
        </w:rPr>
        <w:t>References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[1]: </w:t>
      </w:r>
      <w:r>
        <w:rPr>
          <w:rFonts w:ascii="Calibri" w:hAnsi="Calibri"/>
          <w:sz w:val="22"/>
        </w:rPr>
        <w:t>Tan, M., &amp; Le, Q. V. (2019). EfficientNet: Rethinking Model Scaling for CNNs. ICML.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[2]: </w:t>
      </w:r>
      <w:r>
        <w:rPr>
          <w:rFonts w:ascii="Calibri" w:hAnsi="Calibri"/>
          <w:sz w:val="22"/>
        </w:rPr>
        <w:t>Breiman, L. (2001). Random Forests. Machine Learning, 45(1), 5–32.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[3]: </w:t>
      </w:r>
      <w:r>
        <w:rPr>
          <w:rFonts w:ascii="Calibri" w:hAnsi="Calibri"/>
          <w:sz w:val="22"/>
        </w:rPr>
        <w:t>Flask Documentation (2024). https://flask.palletsprojects.com/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[4]: </w:t>
      </w:r>
      <w:r>
        <w:rPr>
          <w:rFonts w:ascii="Calibri" w:hAnsi="Calibri"/>
          <w:sz w:val="22"/>
        </w:rPr>
        <w:t>TensorFlow Documentation (2024). https://www.tensorflow.org/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[5]: </w:t>
      </w:r>
      <w:r>
        <w:rPr>
          <w:rFonts w:ascii="Calibri" w:hAnsi="Calibri"/>
          <w:sz w:val="22"/>
        </w:rPr>
        <w:t>Scikit-learn Documentation (2024). https://scikit-learn.org/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[6]: </w:t>
      </w:r>
      <w:r>
        <w:rPr>
          <w:rFonts w:ascii="Calibri" w:hAnsi="Calibri"/>
          <w:sz w:val="22"/>
        </w:rPr>
        <w:t>IEEE Standard 1016-2009. IEEE Standard for Software Design Descriptions.</w:t>
      </w:r>
    </w:p>
    <w:p/>
    <w:p>
      <w:pPr>
        <w:jc w:val="center"/>
      </w:pPr>
      <w:r>
        <w:rPr>
          <w:rFonts w:ascii="Calibri" w:hAnsi="Calibri"/>
          <w:i/>
          <w:color w:val="808080"/>
          <w:sz w:val="18"/>
        </w:rPr>
        <w:t>End of System Architecture Document — Version 1.0 | IEEE 1016-2009 | March 2026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