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 COPIL est dans 90 minutes</w:t>
      </w:r>
    </w:p>
    <w:p>
      <w:r>
        <w:rPr>
          <w:b w:val="0"/>
        </w:rPr>
        <w:t>L’ouverture de la maison de santé des Tilleuls est annoncée dans vingt jours ouvrés. La collectivité communique déjà, les professionnels préparent leur arrivée et le tableau de bord ne signale aucune difficulté majeure.</w:t>
      </w:r>
    </w:p>
    <w:p>
      <w:r>
        <w:rPr>
          <w:b w:val="0"/>
        </w:rPr>
        <w:t>La coordinatrice du projet vient de quitter ses fonctions. Vous reprenez son dossier quelques heures avant le comité de pilotage. Le sponsor vous demande une recommandation sur laquelle il puisse s’appuyer pour décider.</w:t>
      </w:r>
    </w:p>
    <w:p>
      <w:pPr>
        <w:pStyle w:val="Heading2"/>
      </w:pPr>
      <w:r>
        <w:t>Votre mandat</w:t>
      </w:r>
    </w:p>
    <w:p>
      <w:r>
        <w:rPr>
          <w:b w:val="0"/>
        </w:rPr>
      </w:r>
      <w:r>
        <w:rPr>
          <w:b/>
        </w:rPr>
        <w:t>Reconstituez la situation du projet et défendez une trajectoire réalisable.</w:t>
      </w:r>
      <w:r>
        <w:rPr>
          <w:b w:val="0"/>
        </w:rPr>
        <w:t xml:space="preserve"> Le comité doit comprendre ce qu’il peut décider aujourd’hui, les conséquences de ce choix et les conditions qui restent à réunir.</w:t>
      </w:r>
    </w:p>
    <w:p>
      <w:r>
        <w:rPr>
          <w:b w:val="0"/>
        </w:rPr>
        <w:t xml:space="preserve">Votre recommandation doit traiter trois sujets : </w:t>
      </w:r>
      <w:r>
        <w:rPr>
          <w:b/>
        </w:rPr>
        <w:t>le calendrier d’accueil, le financement et les conditions du démarrage</w:t>
      </w:r>
      <w:r>
        <w:rPr>
          <w:b w:val="0"/>
        </w:rPr>
        <w:t>. Vous pouvez recommander de maintenir une cible, de reporter, de modifier le périmètre ou de soumettre une option à des conditions. À vous de choisir et de justifier.</w:t>
      </w:r>
    </w:p>
    <w:p>
      <w:pPr>
        <w:pStyle w:val="Heading2"/>
      </w:pPr>
      <w:r>
        <w:t>Votre marge de manœuvre</w:t>
      </w:r>
    </w:p>
    <w:p>
      <w:r>
        <w:rPr>
          <w:b w:val="0"/>
        </w:rPr>
        <w:t>Vous organisez librement le travail de votre binôme ou trinôme. Choisissez votre stratégie d’analyse, les tâches confiées à l’IA, les questions à poser et les vérifications à mener. Aucun prompt, ordre de lecture, découpage des rôles ou nombre d’agents n’est imposé.</w:t>
      </w:r>
    </w:p>
    <w:p>
      <w:r>
        <w:rPr>
          <w:b w:val="0"/>
        </w:rPr>
        <w:t>Vous choisissez également le format de restitution : note, tableau commenté, quelques diapositives ou combinaison de supports. Un schéma peut vous aider à expliquer les dépendances ; utilisez-le si vous le jugez utile. Les modèles fournis sont des aides facultatives.</w:t>
      </w:r>
    </w:p>
    <w:p>
      <w:pPr>
        <w:pStyle w:val="Heading2"/>
      </w:pPr>
      <w:r>
        <w:t>Ce dont vous disposez</w:t>
      </w:r>
    </w:p>
    <w:p>
      <w:r>
        <w:rPr>
          <w:b w:val="0"/>
        </w:rPr>
        <w:t>Un dossier de sept pièces, un outil d’IA et un formateur que vous pouvez interroger comme commanditaire ou interlocuteur du projet. De nouvelles informations arriveront pendant la mission. Tous les documents métier nécessaires sont fournis ; aucun accès à M365 ou à un MCP n’est requis.</w:t>
      </w:r>
    </w:p>
    <w:p>
      <w:r>
        <w:rPr>
          <w:b w:val="0"/>
        </w:rPr>
        <w:t>Les personnages, les montants et les règles sont fictifs. Les conventions de calcul figurent dans la pièce A. Aucune expertise médicale ou réglementaire n’est attendue. Vous préparez les arbitrages ; vous ne les prenez pas à la place des responsables du projet.</w:t>
      </w:r>
    </w:p>
    <w:p>
      <w:pPr>
        <w:pStyle w:val="Heading2"/>
      </w:pPr>
      <w:r>
        <w:t>Votre présentation au comité</w:t>
      </w:r>
    </w:p>
    <w:p>
      <w:r>
        <w:rPr>
          <w:b w:val="0"/>
        </w:rPr>
        <w:t>Vous remettrez votre dossier à la minute 80. Chaque équipe disposera ensuite de deux minutes pour présenter sa recommandation et de deux minutes pour répondre aux questions. Préparez un support qui permette de retrouver rapidement vos raisons et vos preuves.</w:t>
      </w:r>
    </w:p>
    <w:p>
      <w:r>
        <w:br w:type="page"/>
      </w:r>
    </w:p>
    <w:p>
      <w:pPr>
        <w:pStyle w:val="Heading1"/>
      </w:pPr>
      <w:r>
        <w:t>Les engagements de la mission</w:t>
      </w:r>
    </w:p>
    <w:p>
      <w:pPr>
        <w:pStyle w:val="Heading2"/>
      </w:pPr>
      <w:r>
        <w:t>Un résultat que le comité peut utiliser</w:t>
      </w:r>
    </w:p>
    <w:p>
      <w:r>
        <w:rPr>
          <w:b w:val="0"/>
        </w:rPr>
        <w:t>À la remise, votre dossier doit permettre de retrouver la situation vérifiée, les options examinées, leurs dates et leurs coûts, votre recommandation et les décisions à demander. Rendez visibles les dépendances qui déterminent la date de démarrage, les responsabilités et les conditions restant à confirmer.</w:t>
      </w:r>
    </w:p>
    <w:p>
      <w:r>
        <w:rPr>
          <w:b w:val="0"/>
        </w:rPr>
        <w:t>Citez les pièces et leurs identifiants, par exemple C03 ou F02. Les réponses du formateur reçoivent un identifiant Q. Signalez ce qui est proposé, supposé ou encore inconnu. Une information manquante peut conduire à une recommandation conditionnelle ; elle ne vous autorise pas à inventer un accord.</w:t>
      </w:r>
    </w:p>
    <w:p>
      <w:pPr>
        <w:pStyle w:val="Heading2"/>
      </w:pPr>
      <w:r>
        <w:t>Trois preuves de maîtrise de votre agent</w:t>
      </w:r>
    </w:p>
    <w:p>
      <w:pPr>
        <w:ind w:left="187"/>
      </w:pPr>
      <w:r>
        <w:rPr>
          <w:b w:val="0"/>
        </w:rPr>
        <w:t xml:space="preserve">• </w:t>
      </w:r>
      <w:r>
        <w:rPr>
          <w:b/>
        </w:rPr>
        <w:t>Une méthode réutilisée.</w:t>
      </w:r>
      <w:r>
        <w:rPr>
          <w:b w:val="0"/>
        </w:rPr>
        <w:t xml:space="preserve"> Créez ou adaptez une procédure de revue de projet et faites-la appliquer au moins deux fois. Elle peut prendre la forme d’un skill ou d’un document d’instructions. Conservez la méthode et deux traces de son application.</w:t>
      </w:r>
    </w:p>
    <w:p>
      <w:pPr>
        <w:ind w:left="187"/>
      </w:pPr>
      <w:r>
        <w:rPr>
          <w:b w:val="0"/>
        </w:rPr>
        <w:t xml:space="preserve">• </w:t>
      </w:r>
      <w:r>
        <w:rPr>
          <w:b/>
        </w:rPr>
        <w:t>Une reprise de contexte.</w:t>
      </w:r>
      <w:r>
        <w:rPr>
          <w:b w:val="0"/>
        </w:rPr>
        <w:t xml:space="preserve"> Au moment que vous choisissez, poursuivez le travail dans une nouvelle conversation à partir d’une passation et des pièces utiles. Ne transférez pas le transcript complet. Gardez une trace de ce que la nouvelle conversation a compris et des corrections éventuellement nécessaires.</w:t>
      </w:r>
    </w:p>
    <w:p>
      <w:pPr>
        <w:ind w:left="187"/>
      </w:pPr>
      <w:r>
        <w:rPr>
          <w:b w:val="0"/>
        </w:rPr>
        <w:t xml:space="preserve">• </w:t>
      </w:r>
      <w:r>
        <w:rPr>
          <w:b/>
        </w:rPr>
        <w:t>Un contrôle réel.</w:t>
      </w:r>
      <w:r>
        <w:rPr>
          <w:b w:val="0"/>
        </w:rPr>
        <w:t xml:space="preserve"> Montrez au moins une vérification précise d’un résultat de l’agent, puis la correction ou la confirmation qui en découle. Le contrôle peut être réalisé par vous, avec l’agent ou avec un outil ; vous devez pouvoir en expliquer la preuve.</w:t>
      </w:r>
    </w:p>
    <w:p>
      <w:r>
        <w:rPr>
          <w:b w:val="0"/>
        </w:rPr>
        <w:t>Ces traces peuvent tenir dans une courte annexe, des extraits de conversation ou des fichiers séparés. Aucun carnet à remplir ni nombre de livrables n’est imposé. Choisissez ce qui rend votre travail vérifiable.</w:t>
      </w:r>
    </w:p>
    <w:p>
      <w:pPr>
        <w:pStyle w:val="Heading2"/>
      </w:pPr>
      <w:r>
        <w:t>Les échéances communes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8784"/>
      </w:tblGrid>
      <w:tr>
        <w:trPr>
          <w:cantSplit/>
          <w:tblHeader/>
        </w:trPr>
        <w:tc>
          <w:tcPr>
            <w:tcW w:type="dxa" w:w="1440"/>
            <w:vAlign w:val="center"/>
            <w:tcMar>
              <w:top w:w="85" w:type="dxa"/>
              <w:left w:w="85" w:type="dxa"/>
              <w:bottom w:w="85" w:type="dxa"/>
              <w:right w:w="85" w:type="dxa"/>
            </w:tcMar>
            <w:shd w:fill="DAE5EF"/>
          </w:tcPr>
          <w:p>
            <w:pPr>
              <w:spacing w:after="20" w:before="20" w:line="247" w:lineRule="auto"/>
            </w:pPr>
            <w:r>
              <w:rPr>
                <w:b/>
                <w:sz w:val="20"/>
              </w:rPr>
              <w:t>Minute</w:t>
            </w:r>
          </w:p>
        </w:tc>
        <w:tc>
          <w:tcPr>
            <w:tcW w:type="dxa" w:w="8784"/>
            <w:vAlign w:val="center"/>
            <w:tcMar>
              <w:top w:w="85" w:type="dxa"/>
              <w:left w:w="85" w:type="dxa"/>
              <w:bottom w:w="85" w:type="dxa"/>
              <w:right w:w="85" w:type="dxa"/>
            </w:tcMar>
            <w:shd w:fill="DAE5EF"/>
          </w:tcPr>
          <w:p>
            <w:pPr>
              <w:spacing w:after="20" w:before="20" w:line="247" w:lineRule="auto"/>
            </w:pPr>
            <w:r>
              <w:rPr>
                <w:b/>
                <w:sz w:val="20"/>
              </w:rPr>
              <w:t>Échéance</w:t>
            </w:r>
          </w:p>
        </w:tc>
      </w:tr>
      <w:tr>
        <w:trPr>
          <w:cantSplit/>
        </w:trPr>
        <w:tc>
          <w:tcPr>
            <w:tcW w:type="dxa" w:w="1440"/>
            <w:vAlign w:val="center"/>
            <w:tcMar>
              <w:top w:w="85" w:type="dxa"/>
              <w:left w:w="85" w:type="dxa"/>
              <w:bottom w:w="85" w:type="dxa"/>
              <w:right w:w="85" w:type="dxa"/>
            </w:tcMar>
            <w:shd w:fill="FFFFFF"/>
          </w:tcPr>
          <w:p>
            <w:pPr>
              <w:spacing w:after="20" w:before="20" w:line="247" w:lineRule="auto"/>
            </w:pPr>
            <w:r>
              <w:rPr>
                <w:b w:val="0"/>
                <w:sz w:val="20"/>
              </w:rPr>
              <w:t>0</w:t>
            </w:r>
          </w:p>
        </w:tc>
        <w:tc>
          <w:tcPr>
            <w:tcW w:type="dxa" w:w="8784"/>
            <w:vAlign w:val="center"/>
            <w:tcMar>
              <w:top w:w="85" w:type="dxa"/>
              <w:left w:w="85" w:type="dxa"/>
              <w:bottom w:w="85" w:type="dxa"/>
              <w:right w:w="85" w:type="dxa"/>
            </w:tcMar>
            <w:shd w:fill="FFFFFF"/>
          </w:tcPr>
          <w:p>
            <w:pPr>
              <w:spacing w:after="20" w:before="20" w:line="247" w:lineRule="auto"/>
            </w:pPr>
            <w:r>
              <w:rPr>
                <w:b w:val="0"/>
                <w:sz w:val="20"/>
              </w:rPr>
              <w:t>Début de la mission et accès au dossier initial.</w:t>
            </w:r>
          </w:p>
        </w:tc>
      </w:tr>
      <w:tr>
        <w:trPr>
          <w:cantSplit/>
        </w:trPr>
        <w:tc>
          <w:tcPr>
            <w:tcW w:type="dxa" w:w="1440"/>
            <w:vAlign w:val="center"/>
            <w:tcMar>
              <w:top w:w="85" w:type="dxa"/>
              <w:left w:w="85" w:type="dxa"/>
              <w:bottom w:w="85" w:type="dxa"/>
              <w:right w:w="85" w:type="dxa"/>
            </w:tcMar>
            <w:shd w:fill="F3F6F8"/>
          </w:tcPr>
          <w:p>
            <w:pPr>
              <w:spacing w:after="20" w:before="20" w:line="247" w:lineRule="auto"/>
            </w:pPr>
            <w:r>
              <w:rPr>
                <w:b w:val="0"/>
                <w:sz w:val="20"/>
              </w:rPr>
              <w:t>35</w:t>
            </w:r>
          </w:p>
        </w:tc>
        <w:tc>
          <w:tcPr>
            <w:tcW w:type="dxa" w:w="8784"/>
            <w:vAlign w:val="center"/>
            <w:tcMar>
              <w:top w:w="85" w:type="dxa"/>
              <w:left w:w="85" w:type="dxa"/>
              <w:bottom w:w="85" w:type="dxa"/>
              <w:right w:w="85" w:type="dxa"/>
            </w:tcMar>
            <w:shd w:fill="F3F6F8"/>
          </w:tcPr>
          <w:p>
            <w:pPr>
              <w:spacing w:after="20" w:before="20" w:line="247" w:lineRule="auto"/>
            </w:pPr>
            <w:r>
              <w:rPr>
                <w:b w:val="0"/>
                <w:sz w:val="20"/>
              </w:rPr>
              <w:t>Première information nouvelle.</w:t>
            </w:r>
          </w:p>
        </w:tc>
      </w:tr>
      <w:tr>
        <w:trPr>
          <w:cantSplit/>
        </w:trPr>
        <w:tc>
          <w:tcPr>
            <w:tcW w:type="dxa" w:w="1440"/>
            <w:vAlign w:val="center"/>
            <w:tcMar>
              <w:top w:w="85" w:type="dxa"/>
              <w:left w:w="85" w:type="dxa"/>
              <w:bottom w:w="85" w:type="dxa"/>
              <w:right w:w="85" w:type="dxa"/>
            </w:tcMar>
            <w:shd w:fill="FFFFFF"/>
          </w:tcPr>
          <w:p>
            <w:pPr>
              <w:spacing w:after="20" w:before="20" w:line="247" w:lineRule="auto"/>
            </w:pPr>
            <w:r>
              <w:rPr>
                <w:b w:val="0"/>
                <w:sz w:val="20"/>
              </w:rPr>
              <w:t>60</w:t>
            </w:r>
          </w:p>
        </w:tc>
        <w:tc>
          <w:tcPr>
            <w:tcW w:type="dxa" w:w="8784"/>
            <w:vAlign w:val="center"/>
            <w:tcMar>
              <w:top w:w="85" w:type="dxa"/>
              <w:left w:w="85" w:type="dxa"/>
              <w:bottom w:w="85" w:type="dxa"/>
              <w:right w:w="85" w:type="dxa"/>
            </w:tcMar>
            <w:shd w:fill="FFFFFF"/>
          </w:tcPr>
          <w:p>
            <w:pPr>
              <w:spacing w:after="20" w:before="20" w:line="247" w:lineRule="auto"/>
            </w:pPr>
            <w:r>
              <w:rPr>
                <w:b w:val="0"/>
                <w:sz w:val="20"/>
              </w:rPr>
              <w:t>Seconde information nouvelle.</w:t>
            </w:r>
          </w:p>
        </w:tc>
      </w:tr>
      <w:tr>
        <w:trPr>
          <w:cantSplit/>
        </w:trPr>
        <w:tc>
          <w:tcPr>
            <w:tcW w:type="dxa" w:w="1440"/>
            <w:vAlign w:val="center"/>
            <w:tcMar>
              <w:top w:w="85" w:type="dxa"/>
              <w:left w:w="85" w:type="dxa"/>
              <w:bottom w:w="85" w:type="dxa"/>
              <w:right w:w="85" w:type="dxa"/>
            </w:tcMar>
            <w:shd w:fill="F3F6F8"/>
          </w:tcPr>
          <w:p>
            <w:pPr>
              <w:spacing w:after="20" w:before="20" w:line="247" w:lineRule="auto"/>
            </w:pPr>
            <w:r>
              <w:rPr>
                <w:b w:val="0"/>
                <w:sz w:val="20"/>
              </w:rPr>
              <w:t>80</w:t>
            </w:r>
          </w:p>
        </w:tc>
        <w:tc>
          <w:tcPr>
            <w:tcW w:type="dxa" w:w="8784"/>
            <w:vAlign w:val="center"/>
            <w:tcMar>
              <w:top w:w="85" w:type="dxa"/>
              <w:left w:w="85" w:type="dxa"/>
              <w:bottom w:w="85" w:type="dxa"/>
              <w:right w:w="85" w:type="dxa"/>
            </w:tcMar>
            <w:shd w:fill="F3F6F8"/>
          </w:tcPr>
          <w:p>
            <w:pPr>
              <w:spacing w:after="20" w:before="20" w:line="247" w:lineRule="auto"/>
            </w:pPr>
            <w:r>
              <w:rPr>
                <w:b w:val="0"/>
                <w:sz w:val="20"/>
              </w:rPr>
              <w:t>Remise du dossier ; fin des modifications.</w:t>
            </w:r>
          </w:p>
        </w:tc>
      </w:tr>
      <w:tr>
        <w:trPr>
          <w:cantSplit/>
        </w:trPr>
        <w:tc>
          <w:tcPr>
            <w:tcW w:type="dxa" w:w="1440"/>
            <w:vAlign w:val="center"/>
            <w:tcMar>
              <w:top w:w="85" w:type="dxa"/>
              <w:left w:w="85" w:type="dxa"/>
              <w:bottom w:w="85" w:type="dxa"/>
              <w:right w:w="85" w:type="dxa"/>
            </w:tcMar>
            <w:shd w:fill="FFFFFF"/>
          </w:tcPr>
          <w:p>
            <w:pPr>
              <w:spacing w:after="20" w:before="20" w:line="247" w:lineRule="auto"/>
            </w:pPr>
            <w:r>
              <w:rPr>
                <w:b w:val="0"/>
                <w:sz w:val="20"/>
              </w:rPr>
              <w:t>80 à 88</w:t>
            </w:r>
          </w:p>
        </w:tc>
        <w:tc>
          <w:tcPr>
            <w:tcW w:type="dxa" w:w="8784"/>
            <w:vAlign w:val="center"/>
            <w:tcMar>
              <w:top w:w="85" w:type="dxa"/>
              <w:left w:w="85" w:type="dxa"/>
              <w:bottom w:w="85" w:type="dxa"/>
              <w:right w:w="85" w:type="dxa"/>
            </w:tcMar>
            <w:shd w:fill="FFFFFF"/>
          </w:tcPr>
          <w:p>
            <w:pPr>
              <w:spacing w:after="20" w:before="20" w:line="247" w:lineRule="auto"/>
            </w:pPr>
            <w:r>
              <w:rPr>
                <w:b w:val="0"/>
                <w:sz w:val="20"/>
              </w:rPr>
              <w:t>COPIL croisé : 2 minutes de présentation et 2 minutes de questions par équipe.</w:t>
            </w:r>
          </w:p>
        </w:tc>
      </w:tr>
      <w:tr>
        <w:trPr>
          <w:cantSplit/>
        </w:trPr>
        <w:tc>
          <w:tcPr>
            <w:tcW w:type="dxa" w:w="1440"/>
            <w:vAlign w:val="center"/>
            <w:tcMar>
              <w:top w:w="85" w:type="dxa"/>
              <w:left w:w="85" w:type="dxa"/>
              <w:bottom w:w="85" w:type="dxa"/>
              <w:right w:w="85" w:type="dxa"/>
            </w:tcMar>
            <w:shd w:fill="F3F6F8"/>
          </w:tcPr>
          <w:p>
            <w:pPr>
              <w:spacing w:after="20" w:before="20" w:line="247" w:lineRule="auto"/>
            </w:pPr>
            <w:r>
              <w:rPr>
                <w:b w:val="0"/>
                <w:sz w:val="20"/>
              </w:rPr>
              <w:t>88 à 90</w:t>
            </w:r>
          </w:p>
        </w:tc>
        <w:tc>
          <w:tcPr>
            <w:tcW w:type="dxa" w:w="8784"/>
            <w:vAlign w:val="center"/>
            <w:tcMar>
              <w:top w:w="85" w:type="dxa"/>
              <w:left w:w="85" w:type="dxa"/>
              <w:bottom w:w="85" w:type="dxa"/>
              <w:right w:w="85" w:type="dxa"/>
            </w:tcMar>
            <w:shd w:fill="F3F6F8"/>
          </w:tcPr>
          <w:p>
            <w:pPr>
              <w:spacing w:after="20" w:before="20" w:line="247" w:lineRule="auto"/>
            </w:pPr>
            <w:r>
              <w:rPr>
                <w:b w:val="0"/>
                <w:sz w:val="20"/>
              </w:rPr>
              <w:t>Retour individuel : une erreur évitée et une pratique à retenir.</w:t>
            </w:r>
          </w:p>
        </w:tc>
      </w:tr>
    </w:tbl>
    <w:p>
      <w:pPr>
        <w:spacing w:after="0"/>
      </w:pPr>
    </w:p>
    <w:p>
      <w:r>
        <w:rPr>
          <w:b w:val="0"/>
          <w:sz w:val="18"/>
        </w:rPr>
        <w:t>Entre ces rendez-vous, vous gérez votre temps. Les questions au formateur, les demandes de clarification et les validations utiles ne sont pas pénalisées.</w:t>
      </w:r>
    </w:p>
    <w:p>
      <w:r>
        <w:br w:type="page"/>
      </w:r>
    </w:p>
    <w:p>
      <w:pPr>
        <w:pStyle w:val="Heading1"/>
      </w:pPr>
      <w:r>
        <w:t>Comment votre travail sera évalué</w:t>
      </w:r>
    </w:p>
    <w:p>
      <w:r>
        <w:rPr>
          <w:b w:val="0"/>
        </w:rPr>
        <w:t>Le formateur évalue le dossier remis et vos preuves de travail. Une recommandation différente de celle d’une autre équipe peut obtenir la même note si elle est cohérente, justifiée et réalisable sous les conditions annoncées.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864"/>
        <w:gridCol w:w="6480"/>
      </w:tblGrid>
      <w:tr>
        <w:trPr>
          <w:cantSplit/>
          <w:tblHeader/>
        </w:trPr>
        <w:tc>
          <w:tcPr>
            <w:tcW w:type="dxa" w:w="2880"/>
            <w:vAlign w:val="center"/>
            <w:tcMar>
              <w:top w:w="85" w:type="dxa"/>
              <w:left w:w="85" w:type="dxa"/>
              <w:bottom w:w="85" w:type="dxa"/>
              <w:right w:w="85" w:type="dxa"/>
            </w:tcMar>
            <w:shd w:fill="DAE5EF"/>
          </w:tcPr>
          <w:p>
            <w:pPr>
              <w:spacing w:after="20" w:before="20" w:line="247" w:lineRule="auto"/>
            </w:pPr>
            <w:r>
              <w:rPr>
                <w:b/>
                <w:sz w:val="20"/>
              </w:rPr>
              <w:t>Critère</w:t>
            </w:r>
          </w:p>
        </w:tc>
        <w:tc>
          <w:tcPr>
            <w:tcW w:type="dxa" w:w="864"/>
            <w:vAlign w:val="center"/>
            <w:tcMar>
              <w:top w:w="85" w:type="dxa"/>
              <w:left w:w="85" w:type="dxa"/>
              <w:bottom w:w="85" w:type="dxa"/>
              <w:right w:w="85" w:type="dxa"/>
            </w:tcMar>
            <w:shd w:fill="DAE5EF"/>
          </w:tcPr>
          <w:p>
            <w:pPr>
              <w:spacing w:after="20" w:before="20" w:line="247" w:lineRule="auto"/>
              <w:jc w:val="center"/>
            </w:pPr>
            <w:r>
              <w:rPr>
                <w:b/>
                <w:sz w:val="20"/>
              </w:rPr>
              <w:t>Points</w:t>
            </w:r>
          </w:p>
        </w:tc>
        <w:tc>
          <w:tcPr>
            <w:tcW w:type="dxa" w:w="6480"/>
            <w:vAlign w:val="center"/>
            <w:tcMar>
              <w:top w:w="85" w:type="dxa"/>
              <w:left w:w="85" w:type="dxa"/>
              <w:bottom w:w="85" w:type="dxa"/>
              <w:right w:w="85" w:type="dxa"/>
            </w:tcMar>
            <w:shd w:fill="DAE5EF"/>
          </w:tcPr>
          <w:p>
            <w:pPr>
              <w:spacing w:after="20" w:before="20" w:line="247" w:lineRule="auto"/>
            </w:pPr>
            <w:r>
              <w:rPr>
                <w:b/>
                <w:sz w:val="20"/>
              </w:rPr>
              <w:t>Ce que le jury regarde</w:t>
            </w:r>
          </w:p>
        </w:tc>
      </w:tr>
      <w:tr>
        <w:trPr>
          <w:cantSplit/>
        </w:trPr>
        <w:tc>
          <w:tcPr>
            <w:tcW w:type="dxa" w:w="2880"/>
            <w:vAlign w:val="center"/>
            <w:tcMar>
              <w:top w:w="85" w:type="dxa"/>
              <w:left w:w="85" w:type="dxa"/>
              <w:bottom w:w="85" w:type="dxa"/>
              <w:right w:w="85" w:type="dxa"/>
            </w:tcMar>
            <w:shd w:fill="FFFFFF"/>
          </w:tcPr>
          <w:p>
            <w:pPr>
              <w:spacing w:after="20" w:before="20" w:line="247" w:lineRule="auto"/>
            </w:pPr>
            <w:r>
              <w:rPr>
                <w:b w:val="0"/>
                <w:sz w:val="20"/>
              </w:rPr>
              <w:t>Fiabilité du diagnostic</w:t>
            </w:r>
          </w:p>
        </w:tc>
        <w:tc>
          <w:tcPr>
            <w:tcW w:type="dxa" w:w="864"/>
            <w:vAlign w:val="center"/>
            <w:tcMar>
              <w:top w:w="85" w:type="dxa"/>
              <w:left w:w="85" w:type="dxa"/>
              <w:bottom w:w="85" w:type="dxa"/>
              <w:right w:w="85" w:type="dxa"/>
            </w:tcMar>
            <w:shd w:fill="FFFFFF"/>
          </w:tcPr>
          <w:p>
            <w:pPr>
              <w:spacing w:after="20" w:before="20" w:line="247" w:lineRule="auto"/>
              <w:jc w:val="center"/>
            </w:pPr>
            <w:r>
              <w:rPr>
                <w:b w:val="0"/>
                <w:sz w:val="20"/>
              </w:rPr>
              <w:t>25</w:t>
            </w:r>
          </w:p>
        </w:tc>
        <w:tc>
          <w:tcPr>
            <w:tcW w:type="dxa" w:w="6480"/>
            <w:vAlign w:val="center"/>
            <w:tcMar>
              <w:top w:w="85" w:type="dxa"/>
              <w:left w:w="85" w:type="dxa"/>
              <w:bottom w:w="85" w:type="dxa"/>
              <w:right w:w="85" w:type="dxa"/>
            </w:tcMar>
            <w:shd w:fill="FFFFFF"/>
          </w:tcPr>
          <w:p>
            <w:pPr>
              <w:spacing w:after="20" w:before="20" w:line="247" w:lineRule="auto"/>
            </w:pPr>
            <w:r>
              <w:rPr>
                <w:b w:val="0"/>
                <w:sz w:val="20"/>
              </w:rPr>
              <w:t>Dates, coûts, marges et prise en compte des contraintes du dossier actualisé.</w:t>
            </w:r>
          </w:p>
        </w:tc>
      </w:tr>
      <w:tr>
        <w:trPr>
          <w:cantSplit/>
        </w:trPr>
        <w:tc>
          <w:tcPr>
            <w:tcW w:type="dxa" w:w="2880"/>
            <w:vAlign w:val="center"/>
            <w:tcMar>
              <w:top w:w="85" w:type="dxa"/>
              <w:left w:w="85" w:type="dxa"/>
              <w:bottom w:w="85" w:type="dxa"/>
              <w:right w:w="85" w:type="dxa"/>
            </w:tcMar>
            <w:shd w:fill="F3F6F8"/>
          </w:tcPr>
          <w:p>
            <w:pPr>
              <w:spacing w:after="20" w:before="20" w:line="247" w:lineRule="auto"/>
            </w:pPr>
            <w:r>
              <w:rPr>
                <w:b w:val="0"/>
                <w:sz w:val="20"/>
              </w:rPr>
              <w:t>Qualité des arbitrages</w:t>
            </w:r>
          </w:p>
        </w:tc>
        <w:tc>
          <w:tcPr>
            <w:tcW w:type="dxa" w:w="864"/>
            <w:vAlign w:val="center"/>
            <w:tcMar>
              <w:top w:w="85" w:type="dxa"/>
              <w:left w:w="85" w:type="dxa"/>
              <w:bottom w:w="85" w:type="dxa"/>
              <w:right w:w="85" w:type="dxa"/>
            </w:tcMar>
            <w:shd w:fill="F3F6F8"/>
          </w:tcPr>
          <w:p>
            <w:pPr>
              <w:spacing w:after="20" w:before="20" w:line="247" w:lineRule="auto"/>
              <w:jc w:val="center"/>
            </w:pPr>
            <w:r>
              <w:rPr>
                <w:b w:val="0"/>
                <w:sz w:val="20"/>
              </w:rPr>
              <w:t>25</w:t>
            </w:r>
          </w:p>
        </w:tc>
        <w:tc>
          <w:tcPr>
            <w:tcW w:type="dxa" w:w="6480"/>
            <w:vAlign w:val="center"/>
            <w:tcMar>
              <w:top w:w="85" w:type="dxa"/>
              <w:left w:w="85" w:type="dxa"/>
              <w:bottom w:w="85" w:type="dxa"/>
              <w:right w:w="85" w:type="dxa"/>
            </w:tcMar>
            <w:shd w:fill="F3F6F8"/>
          </w:tcPr>
          <w:p>
            <w:pPr>
              <w:spacing w:after="20" w:before="20" w:line="247" w:lineRule="auto"/>
            </w:pPr>
            <w:r>
              <w:rPr>
                <w:b w:val="0"/>
                <w:sz w:val="20"/>
              </w:rPr>
              <w:t>Choix défendu, alternatives pertinentes, décisions explicites, conséquences et responsabilités.</w:t>
            </w:r>
          </w:p>
        </w:tc>
      </w:tr>
      <w:tr>
        <w:trPr>
          <w:cantSplit/>
        </w:trPr>
        <w:tc>
          <w:tcPr>
            <w:tcW w:type="dxa" w:w="2880"/>
            <w:vAlign w:val="center"/>
            <w:tcMar>
              <w:top w:w="85" w:type="dxa"/>
              <w:left w:w="85" w:type="dxa"/>
              <w:bottom w:w="85" w:type="dxa"/>
              <w:right w:w="85" w:type="dxa"/>
            </w:tcMar>
            <w:shd w:fill="FFFFFF"/>
          </w:tcPr>
          <w:p>
            <w:pPr>
              <w:spacing w:after="20" w:before="20" w:line="247" w:lineRule="auto"/>
            </w:pPr>
            <w:r>
              <w:rPr>
                <w:b w:val="0"/>
                <w:sz w:val="20"/>
              </w:rPr>
              <w:t>Preuves et incertitudes</w:t>
            </w:r>
          </w:p>
        </w:tc>
        <w:tc>
          <w:tcPr>
            <w:tcW w:type="dxa" w:w="864"/>
            <w:vAlign w:val="center"/>
            <w:tcMar>
              <w:top w:w="85" w:type="dxa"/>
              <w:left w:w="85" w:type="dxa"/>
              <w:bottom w:w="85" w:type="dxa"/>
              <w:right w:w="85" w:type="dxa"/>
            </w:tcMar>
            <w:shd w:fill="FFFFFF"/>
          </w:tcPr>
          <w:p>
            <w:pPr>
              <w:spacing w:after="20" w:before="20" w:line="247" w:lineRule="auto"/>
              <w:jc w:val="center"/>
            </w:pPr>
            <w:r>
              <w:rPr>
                <w:b w:val="0"/>
                <w:sz w:val="20"/>
              </w:rPr>
              <w:t>20</w:t>
            </w:r>
          </w:p>
        </w:tc>
        <w:tc>
          <w:tcPr>
            <w:tcW w:type="dxa" w:w="6480"/>
            <w:vAlign w:val="center"/>
            <w:tcMar>
              <w:top w:w="85" w:type="dxa"/>
              <w:left w:w="85" w:type="dxa"/>
              <w:bottom w:w="85" w:type="dxa"/>
              <w:right w:w="85" w:type="dxa"/>
            </w:tcMar>
            <w:shd w:fill="FFFFFF"/>
          </w:tcPr>
          <w:p>
            <w:pPr>
              <w:spacing w:after="20" w:before="20" w:line="247" w:lineRule="auto"/>
            </w:pPr>
            <w:r>
              <w:rPr>
                <w:b w:val="0"/>
                <w:sz w:val="20"/>
              </w:rPr>
              <w:t>Sources retrouvables, contradictions établies et traitement des questions encore ouvertes.</w:t>
            </w:r>
          </w:p>
        </w:tc>
      </w:tr>
      <w:tr>
        <w:trPr>
          <w:cantSplit/>
        </w:trPr>
        <w:tc>
          <w:tcPr>
            <w:tcW w:type="dxa" w:w="2880"/>
            <w:vAlign w:val="center"/>
            <w:tcMar>
              <w:top w:w="85" w:type="dxa"/>
              <w:left w:w="85" w:type="dxa"/>
              <w:bottom w:w="85" w:type="dxa"/>
              <w:right w:w="85" w:type="dxa"/>
            </w:tcMar>
            <w:shd w:fill="F3F6F8"/>
          </w:tcPr>
          <w:p>
            <w:pPr>
              <w:spacing w:after="20" w:before="20" w:line="247" w:lineRule="auto"/>
            </w:pPr>
            <w:r>
              <w:rPr>
                <w:b w:val="0"/>
                <w:sz w:val="20"/>
              </w:rPr>
              <w:t>Maîtrise du travail avec l’IA</w:t>
            </w:r>
          </w:p>
        </w:tc>
        <w:tc>
          <w:tcPr>
            <w:tcW w:type="dxa" w:w="864"/>
            <w:vAlign w:val="center"/>
            <w:tcMar>
              <w:top w:w="85" w:type="dxa"/>
              <w:left w:w="85" w:type="dxa"/>
              <w:bottom w:w="85" w:type="dxa"/>
              <w:right w:w="85" w:type="dxa"/>
            </w:tcMar>
            <w:shd w:fill="F3F6F8"/>
          </w:tcPr>
          <w:p>
            <w:pPr>
              <w:spacing w:after="20" w:before="20" w:line="247" w:lineRule="auto"/>
              <w:jc w:val="center"/>
            </w:pPr>
            <w:r>
              <w:rPr>
                <w:b w:val="0"/>
                <w:sz w:val="20"/>
              </w:rPr>
              <w:t>20</w:t>
            </w:r>
          </w:p>
        </w:tc>
        <w:tc>
          <w:tcPr>
            <w:tcW w:type="dxa" w:w="6480"/>
            <w:vAlign w:val="center"/>
            <w:tcMar>
              <w:top w:w="85" w:type="dxa"/>
              <w:left w:w="85" w:type="dxa"/>
              <w:bottom w:w="85" w:type="dxa"/>
              <w:right w:w="85" w:type="dxa"/>
            </w:tcMar>
            <w:shd w:fill="F3F6F8"/>
          </w:tcPr>
          <w:p>
            <w:pPr>
              <w:spacing w:after="20" w:before="20" w:line="247" w:lineRule="auto"/>
            </w:pPr>
            <w:r>
              <w:rPr>
                <w:b w:val="0"/>
                <w:sz w:val="20"/>
              </w:rPr>
              <w:t>Méthode réutilisée, vérification précise et passation réellement testée.</w:t>
            </w:r>
          </w:p>
        </w:tc>
      </w:tr>
      <w:tr>
        <w:trPr>
          <w:cantSplit/>
        </w:trPr>
        <w:tc>
          <w:tcPr>
            <w:tcW w:type="dxa" w:w="2880"/>
            <w:vAlign w:val="center"/>
            <w:tcMar>
              <w:top w:w="85" w:type="dxa"/>
              <w:left w:w="85" w:type="dxa"/>
              <w:bottom w:w="85" w:type="dxa"/>
              <w:right w:w="85" w:type="dxa"/>
            </w:tcMar>
            <w:shd w:fill="FFFFFF"/>
          </w:tcPr>
          <w:p>
            <w:pPr>
              <w:spacing w:after="20" w:before="20" w:line="247" w:lineRule="auto"/>
            </w:pPr>
            <w:r>
              <w:rPr>
                <w:b w:val="0"/>
                <w:sz w:val="20"/>
              </w:rPr>
              <w:t>Clarté de la restitution</w:t>
            </w:r>
          </w:p>
        </w:tc>
        <w:tc>
          <w:tcPr>
            <w:tcW w:type="dxa" w:w="864"/>
            <w:vAlign w:val="center"/>
            <w:tcMar>
              <w:top w:w="85" w:type="dxa"/>
              <w:left w:w="85" w:type="dxa"/>
              <w:bottom w:w="85" w:type="dxa"/>
              <w:right w:w="85" w:type="dxa"/>
            </w:tcMar>
            <w:shd w:fill="FFFFFF"/>
          </w:tcPr>
          <w:p>
            <w:pPr>
              <w:spacing w:after="20" w:before="20" w:line="247" w:lineRule="auto"/>
              <w:jc w:val="center"/>
            </w:pPr>
            <w:r>
              <w:rPr>
                <w:b w:val="0"/>
                <w:sz w:val="20"/>
              </w:rPr>
              <w:t>10</w:t>
            </w:r>
          </w:p>
        </w:tc>
        <w:tc>
          <w:tcPr>
            <w:tcW w:type="dxa" w:w="6480"/>
            <w:vAlign w:val="center"/>
            <w:tcMar>
              <w:top w:w="85" w:type="dxa"/>
              <w:left w:w="85" w:type="dxa"/>
              <w:bottom w:w="85" w:type="dxa"/>
              <w:right w:w="85" w:type="dxa"/>
            </w:tcMar>
            <w:shd w:fill="FFFFFF"/>
          </w:tcPr>
          <w:p>
            <w:pPr>
              <w:spacing w:after="20" w:before="20" w:line="247" w:lineRule="auto"/>
            </w:pPr>
            <w:r>
              <w:rPr>
                <w:b w:val="0"/>
                <w:sz w:val="20"/>
              </w:rPr>
              <w:t>Support cohérent et réponses compréhensibles dans le temps disponible.</w:t>
            </w:r>
          </w:p>
        </w:tc>
      </w:tr>
    </w:tbl>
    <w:p>
      <w:pPr>
        <w:spacing w:after="0"/>
      </w:pPr>
    </w:p>
    <w:p>
      <w:pPr>
        <w:pStyle w:val="Heading2"/>
      </w:pPr>
      <w:r>
        <w:t>Ce qui ne rapporte pas de points à lui seul</w:t>
      </w:r>
    </w:p>
    <w:p>
      <w:r>
        <w:rPr>
          <w:b w:val="0"/>
        </w:rPr>
        <w:t>Multiplier les agents, installer un plugin, produire beaucoup de fichiers ou réduire le nombre de prompts ne constitue pas une réussite. Le jury examine ce que vos choix ont permis de comprendre, de vérifier et de décider. Une méthode simple peut obtenir tous les points.</w:t>
      </w:r>
    </w:p>
    <w:p>
      <w:pPr>
        <w:pStyle w:val="Heading2"/>
      </w:pPr>
      <w:r>
        <w:t>La règle pour gagner</w:t>
      </w:r>
    </w:p>
    <w:p>
      <w:r>
        <w:rPr>
          <w:b w:val="0"/>
        </w:rPr>
        <w:t>La première place exige une recommandation présentée avec ses vraies conditions. Un accueil avant la fin des prérequis, un dépassement déclaré financé sans preuve ou une autorisation inventée empêchent de gagner. Vous pouvez étudier une option non réalisable en l’état si vous expliquez ce qui manque pour la rendre possible.</w:t>
      </w:r>
    </w:p>
    <w:p>
      <w:r>
        <w:rPr>
          <w:b w:val="0"/>
        </w:rPr>
        <w:t>En cas d’égalité, le jury compare d’abord la fiabilité du diagnostic, puis la qualité des arbitrages, puis la maîtrise du travail avec l’IA. Il ne juge pas la ressemblance avec un corrigé type.</w:t>
      </w:r>
    </w:p>
    <w:p>
      <w:pPr>
        <w:pStyle w:val="Heading2"/>
      </w:pPr>
      <w:r>
        <w:t>Pour préparer votre passage</w:t>
      </w:r>
    </w:p>
    <w:p>
      <w:r>
        <w:rPr>
          <w:b w:val="0"/>
        </w:rPr>
        <w:t>Le comité vous demandera pourquoi il devrait suivre votre recommandation, sur quelles preuves elle repose et ce qui pourrait encore l’invalider. À vous de choisir la meilleure manière de le convaincre sans masquer les limites du dossier.</w:t>
      </w:r>
    </w:p>
    <w:sectPr w:rsidR="00FC693F" w:rsidRPr="0006063C" w:rsidSect="00034616">
      <w:footerReference w:type="default" r:id="rId9"/>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PARTICIPANTS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180"/>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COPIL est dans 90 minutes</dc:title>
  <dc:subject>Le COPIL est dans 90 minutes</dc:subject>
  <dc:creator>Formation gestion de projet et IA</dc:creator>
  <cp:keywords/>
  <dc:description>generated by python-docx</dc:description>
  <cp:lastModifiedBy/>
  <cp:revision>1</cp:revision>
  <dcterms:created xsi:type="dcterms:W3CDTF">2013-12-23T23:15:00Z</dcterms:created>
  <dcterms:modified xsi:type="dcterms:W3CDTF">2013-12-23T23:15:00Z</dcterms:modified>
  <cp:category/>
</cp:coreProperties>
</file>