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Cadrage du projet des Tilleuls</w:t>
      </w:r>
    </w:p>
    <w:p>
      <w:r>
        <w:rPr>
          <w:b w:val="0"/>
        </w:rPr>
      </w:r>
      <w:r>
        <w:rPr>
          <w:b/>
        </w:rPr>
        <w:t>Auteur :</w:t>
      </w:r>
      <w:r>
        <w:rPr>
          <w:b w:val="0"/>
        </w:rPr>
        <w:t xml:space="preserve"> Nicolas Perrin, sponsor. </w:t>
      </w:r>
      <w:r>
        <w:rPr>
          <w:b/>
        </w:rPr>
        <w:t>Émis :</w:t>
      </w:r>
      <w:r>
        <w:rPr>
          <w:b w:val="0"/>
        </w:rPr>
        <w:t xml:space="preserve"> J−15. </w:t>
      </w:r>
      <w:r>
        <w:rPr>
          <w:b/>
        </w:rPr>
        <w:t>Statut :</w:t>
      </w:r>
      <w:r>
        <w:rPr>
          <w:b w:val="0"/>
        </w:rPr>
        <w:t xml:space="preserve"> cadrage validé, version 1. Toutes les personnes et données du dossier sont fictives.</w:t>
      </w:r>
    </w:p>
    <w:p>
      <w:pPr>
        <w:pStyle w:val="Heading2"/>
      </w:pPr>
      <w:r>
        <w:t>Conventions de lecture</w:t>
      </w:r>
    </w:p>
    <w:p>
      <w:r>
        <w:rPr>
          <w:b w:val="0"/>
        </w:rPr>
        <w:t>J0 désigne aujourd’hui. Les indices J+1, J+2… sont des jours ouvrés consécutifs, sans conversion en dates civiles. Une remise a lieu en fin de journée. Une tâche dépendante commence au plus tôt le jour ouvré suivant ; les durées se comptent bornes incluses. L’accueil commence au plus tôt le lendemain de la préparation. Le feu vert ne consomme pas de journée supplémentaire, mais reste obligatoire.</w:t>
      </w:r>
    </w:p>
    <w:p>
      <w:r>
        <w:rPr>
          <w:b w:val="0"/>
        </w:rPr>
        <w:t>Le chronomètre de la formation est indépendant de ces dates : les messages reçus à 35 et 60 minutes sont tous deux datés de J0 dans le projet.</w:t>
      </w:r>
    </w:p>
    <w:p>
      <w:pPr>
        <w:pStyle w:val="Heading2"/>
      </w:pPr>
      <w:r>
        <w:t>Mandat validé</w:t>
      </w:r>
    </w:p>
    <w:p>
      <w:r>
        <w:rPr>
          <w:b w:val="0"/>
        </w:rPr>
      </w:r>
      <w:r>
        <w:rPr>
          <w:b/>
        </w:rPr>
        <w:t>A01.</w:t>
      </w:r>
      <w:r>
        <w:rPr>
          <w:b w:val="0"/>
        </w:rPr>
        <w:t xml:space="preserve"> Préparer la mise en service de la maison de santé des Tilleuls : disposer des locaux, d’une équipe prête et d’un accueil organisé.</w:t>
      </w:r>
    </w:p>
    <w:p>
      <w:r>
        <w:rPr>
          <w:b w:val="0"/>
        </w:rPr>
      </w:r>
      <w:r>
        <w:rPr>
          <w:b/>
        </w:rPr>
        <w:t>A02.</w:t>
      </w:r>
      <w:r>
        <w:rPr>
          <w:b w:val="0"/>
        </w:rPr>
        <w:t xml:space="preserve"> L’ouverture à J+20 constitue une cible à confirmer. Tout écart significatif de coût, de périmètre ou de calendrier est présenté au COPIL avant engagement.</w:t>
      </w:r>
    </w:p>
    <w:p>
      <w:r>
        <w:rPr>
          <w:b w:val="0"/>
        </w:rPr>
      </w:r>
      <w:r>
        <w:rPr>
          <w:b/>
        </w:rPr>
        <w:t>A03.</w:t>
      </w:r>
      <w:r>
        <w:rPr>
          <w:b w:val="0"/>
        </w:rPr>
        <w:t xml:space="preserve"> L’enveloppe annoncée est de 120 000 €. Cette note ne précise pas la base de taxe ni les postes couverts. Aucun financement complémentaire n’est mentionné.</w:t>
      </w:r>
    </w:p>
    <w:p>
      <w:r>
        <w:rPr>
          <w:b w:val="0"/>
        </w:rPr>
      </w:r>
      <w:r>
        <w:rPr>
          <w:b/>
        </w:rPr>
        <w:t>A04.</w:t>
      </w:r>
      <w:r>
        <w:rPr>
          <w:b w:val="0"/>
        </w:rPr>
        <w:t xml:space="preserve"> La cellule de coordination prépare les arbitrages et tient le suivi. Elle ne valide ni une dépense supplémentaire ni le démarrage de la structure.</w:t>
      </w:r>
    </w:p>
    <w:p>
      <w:pPr>
        <w:pStyle w:val="Heading2"/>
      </w:pPr>
      <w:r>
        <w:t>Interlocuteurs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336"/>
        <w:gridCol w:w="3888"/>
      </w:tblGrid>
      <w:tr>
        <w:trPr>
          <w:cantSplit/>
          <w:tblHeader/>
        </w:trPr>
        <w:tc>
          <w:tcPr>
            <w:tcW w:type="dxa" w:w="63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AE5EF"/>
          </w:tcPr>
          <w:p>
            <w:pPr>
              <w:spacing w:after="20" w:before="20" w:line="247" w:lineRule="auto"/>
            </w:pPr>
            <w:r>
              <w:rPr>
                <w:b/>
                <w:sz w:val="20"/>
              </w:rPr>
              <w:t>Fonction</w:t>
            </w:r>
          </w:p>
        </w:tc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AE5EF"/>
          </w:tcPr>
          <w:p>
            <w:pPr>
              <w:spacing w:after="20" w:before="20" w:line="247" w:lineRule="auto"/>
            </w:pPr>
            <w:r>
              <w:rPr>
                <w:b/>
                <w:sz w:val="20"/>
              </w:rPr>
              <w:t>Personne</w:t>
            </w:r>
          </w:p>
        </w:tc>
      </w:tr>
      <w:tr>
        <w:trPr>
          <w:cantSplit/>
        </w:trPr>
        <w:tc>
          <w:tcPr>
            <w:tcW w:type="dxa" w:w="63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Sponsor et président du COPIL</w:t>
            </w:r>
          </w:p>
        </w:tc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Nicolas Perrin</w:t>
            </w:r>
          </w:p>
        </w:tc>
      </w:tr>
      <w:tr>
        <w:trPr>
          <w:cantSplit/>
        </w:trPr>
        <w:tc>
          <w:tcPr>
            <w:tcW w:type="dxa" w:w="63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Responsable de la structure</w:t>
            </w:r>
          </w:p>
        </w:tc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Claire Morel</w:t>
            </w:r>
          </w:p>
        </w:tc>
      </w:tr>
      <w:tr>
        <w:trPr>
          <w:cantSplit/>
        </w:trPr>
        <w:tc>
          <w:tcPr>
            <w:tcW w:type="dxa" w:w="63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Responsable des locaux</w:t>
            </w:r>
          </w:p>
        </w:tc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Marc Duval</w:t>
            </w:r>
          </w:p>
        </w:tc>
      </w:tr>
      <w:tr>
        <w:trPr>
          <w:cantSplit/>
        </w:trPr>
        <w:tc>
          <w:tcPr>
            <w:tcW w:type="dxa" w:w="63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Responsable des tests</w:t>
            </w:r>
          </w:p>
        </w:tc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Eva Rousseau</w:t>
            </w:r>
          </w:p>
        </w:tc>
      </w:tr>
      <w:tr>
        <w:trPr>
          <w:cantSplit/>
        </w:trPr>
        <w:tc>
          <w:tcPr>
            <w:tcW w:type="dxa" w:w="63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Référente de préparation de l’équipe</w:t>
            </w:r>
          </w:p>
        </w:tc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Sarah Benali</w:t>
            </w:r>
          </w:p>
        </w:tc>
      </w:tr>
      <w:tr>
        <w:trPr>
          <w:cantSplit/>
        </w:trPr>
        <w:tc>
          <w:tcPr>
            <w:tcW w:type="dxa" w:w="63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Responsable financière</w:t>
            </w:r>
          </w:p>
        </w:tc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Leïla Garnier</w:t>
            </w:r>
          </w:p>
        </w:tc>
      </w:tr>
      <w:tr>
        <w:trPr>
          <w:cantSplit/>
        </w:trPr>
        <w:tc>
          <w:tcPr>
            <w:tcW w:type="dxa" w:w="63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Communication de la collectivité</w:t>
            </w:r>
          </w:p>
        </w:tc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Élise Martin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B Tableau de bord du projet</w:t>
      </w:r>
    </w:p>
    <w:p>
      <w:r>
        <w:rPr>
          <w:b w:val="0"/>
        </w:rPr>
      </w:r>
      <w:r>
        <w:rPr>
          <w:b/>
        </w:rPr>
        <w:t>Auteur :</w:t>
      </w:r>
      <w:r>
        <w:rPr>
          <w:b w:val="0"/>
        </w:rPr>
        <w:t xml:space="preserve"> ancienne coordination. </w:t>
      </w:r>
      <w:r>
        <w:rPr>
          <w:b/>
        </w:rPr>
        <w:t>Émis :</w:t>
      </w:r>
      <w:r>
        <w:rPr>
          <w:b w:val="0"/>
        </w:rPr>
        <w:t xml:space="preserve"> J−1. </w:t>
      </w:r>
      <w:r>
        <w:rPr>
          <w:b/>
        </w:rPr>
        <w:t>Statut :</w:t>
      </w:r>
      <w:r>
        <w:rPr>
          <w:b w:val="0"/>
        </w:rPr>
        <w:t xml:space="preserve"> tableau diffusé aux partenaires, version 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4320"/>
        <w:gridCol w:w="5040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AE5EF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sz w:val="20"/>
              </w:rPr>
              <w:t>Réf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AE5EF"/>
          </w:tcPr>
          <w:p>
            <w:pPr>
              <w:spacing w:after="20" w:before="20" w:line="247" w:lineRule="auto"/>
            </w:pPr>
            <w:r>
              <w:rPr>
                <w:b/>
                <w:sz w:val="20"/>
              </w:rPr>
              <w:t>Indicateur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AE5EF"/>
          </w:tcPr>
          <w:p>
            <w:pPr>
              <w:spacing w:after="20" w:before="20" w:line="247" w:lineRule="auto"/>
            </w:pPr>
            <w:r>
              <w:rPr>
                <w:b/>
                <w:sz w:val="20"/>
              </w:rPr>
              <w:t>Valeur publiée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20"/>
              </w:rPr>
              <w:t>B01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Statut global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VERT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20"/>
              </w:rPr>
              <w:t>B02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Avancement des travaux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95 %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20"/>
              </w:rPr>
              <w:t>B03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Remise des locaux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J+18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20"/>
              </w:rPr>
              <w:t>B04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Ouverture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J+20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20"/>
              </w:rPr>
              <w:t>B05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Budget prévisionnel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100 000 €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20"/>
              </w:rPr>
              <w:t>B06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Marge disponible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20 000 €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20"/>
              </w:rPr>
              <w:t>B07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Risques majeurs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Aucun</w:t>
            </w:r>
          </w:p>
        </w:tc>
      </w:tr>
    </w:tbl>
    <w:p>
      <w:pPr>
        <w:spacing w:after="0"/>
      </w:pPr>
    </w:p>
    <w:p>
      <w:pPr>
        <w:pStyle w:val="Heading2"/>
      </w:pPr>
      <w:r>
        <w:t>Commentaire joint</w:t>
      </w:r>
    </w:p>
    <w:p>
      <w:r>
        <w:rPr>
          <w:b w:val="0"/>
        </w:rPr>
      </w:r>
      <w:r>
        <w:rPr>
          <w:b/>
        </w:rPr>
        <w:t>B08.</w:t>
      </w:r>
      <w:r>
        <w:rPr>
          <w:b w:val="0"/>
        </w:rPr>
        <w:t xml:space="preserve"> « Le planning reste compatible avec l’engagement annoncé. Les derniers ajustements pourront être absorbés dans les marges actuelles. Le comité peut conserver la communication prévue. »</w:t>
      </w:r>
    </w:p>
    <w:p>
      <w:pPr>
        <w:pStyle w:val="Heading2"/>
      </w:pPr>
      <w:r>
        <w:t>Pièces référencées par le tableau</w:t>
      </w:r>
    </w:p>
    <w:p>
      <w:r>
        <w:rPr>
          <w:b w:val="0"/>
        </w:rPr>
      </w:r>
      <w:r>
        <w:rPr>
          <w:b/>
        </w:rPr>
        <w:t>B09.</w:t>
      </w:r>
      <w:r>
        <w:rPr>
          <w:b w:val="0"/>
        </w:rPr>
        <w:t xml:space="preserve"> Le tableau cite le budget D version 1 et le calendrier d’annonce de la collectivité. Aucune analyse du chemin des dépendances n’est jointe. Les cases de validation du budget actualisé et du démarrage sont vides.</w:t>
      </w:r>
    </w:p>
    <w:p>
      <w:r>
        <w:rPr>
          <w:b w:val="0"/>
          <w:sz w:val="18"/>
        </w:rPr>
        <w:t>Document de suivi conservé tel qu’il a été transmis.</w:t>
      </w:r>
    </w:p>
    <w:p>
      <w:r>
        <w:br w:type="page"/>
      </w:r>
    </w:p>
    <w:p>
      <w:pPr>
        <w:pStyle w:val="Heading1"/>
      </w:pPr>
      <w:r>
        <w:t>C Planning technique de référence</w:t>
      </w:r>
    </w:p>
    <w:p>
      <w:r>
        <w:rPr>
          <w:b w:val="0"/>
        </w:rPr>
      </w:r>
      <w:r>
        <w:rPr>
          <w:b/>
        </w:rPr>
        <w:t>Auteurs :</w:t>
      </w:r>
      <w:r>
        <w:rPr>
          <w:b w:val="0"/>
        </w:rPr>
        <w:t xml:space="preserve"> Marc Duval, Eva Rousseau et Sarah Benali. </w:t>
      </w:r>
      <w:r>
        <w:rPr>
          <w:b/>
        </w:rPr>
        <w:t>Émis :</w:t>
      </w:r>
      <w:r>
        <w:rPr>
          <w:b w:val="0"/>
        </w:rPr>
        <w:t xml:space="preserve"> J−3. </w:t>
      </w:r>
      <w:r>
        <w:rPr>
          <w:b/>
        </w:rPr>
        <w:t>Statut :</w:t>
      </w:r>
      <w:r>
        <w:rPr>
          <w:b w:val="0"/>
        </w:rPr>
        <w:t xml:space="preserve"> durées et dépendances confirmées ; date de remise prévisionnelle.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592"/>
        <w:gridCol w:w="6768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AE5EF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sz w:val="20"/>
              </w:rPr>
              <w:t>Réf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AE5EF"/>
          </w:tcPr>
          <w:p>
            <w:pPr>
              <w:spacing w:after="20" w:before="20" w:line="247" w:lineRule="auto"/>
            </w:pPr>
            <w:r>
              <w:rPr>
                <w:b/>
                <w:sz w:val="20"/>
              </w:rPr>
              <w:t>Activité</w:t>
            </w:r>
          </w:p>
        </w:tc>
        <w:tc>
          <w:tcPr>
            <w:tcW w:type="dxa" w:w="67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AE5EF"/>
          </w:tcPr>
          <w:p>
            <w:pPr>
              <w:spacing w:after="20" w:before="20" w:line="247" w:lineRule="auto"/>
            </w:pPr>
            <w:r>
              <w:rPr>
                <w:b/>
                <w:sz w:val="20"/>
              </w:rPr>
              <w:t>Règle et responsable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20"/>
              </w:rPr>
              <w:t>C01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Remise des locaux</w:t>
            </w:r>
          </w:p>
        </w:tc>
        <w:tc>
          <w:tcPr>
            <w:tcW w:type="dxa" w:w="67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Prévision à J+18 en fin de journée. Confirmation écrite requise. Marc Duval.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20"/>
              </w:rPr>
              <w:t>C02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Tests techniques</w:t>
            </w:r>
          </w:p>
        </w:tc>
        <w:tc>
          <w:tcPr>
            <w:tcW w:type="dxa" w:w="67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5 jours ouvrés complets après remise effective. Aucun test avant remise. Eva Rousseau.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20"/>
              </w:rPr>
              <w:t>C03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Préparation de l’équipe</w:t>
            </w:r>
          </w:p>
        </w:tc>
        <w:tc>
          <w:tcPr>
            <w:tcW w:type="dxa" w:w="67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2 jours ouvrés complets après la fin des tests, avec Sarah Benali disponible pendant les deux jours.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20"/>
              </w:rPr>
              <w:t>C04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Accueil du public</w:t>
            </w:r>
          </w:p>
        </w:tc>
        <w:tc>
          <w:tcPr>
            <w:tcW w:type="dxa" w:w="67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Au plus tôt le lendemain de la préparation terminée, avec feu vert de la personne habilitée.</w:t>
            </w:r>
          </w:p>
        </w:tc>
      </w:tr>
    </w:tbl>
    <w:p>
      <w:pPr>
        <w:spacing w:after="0"/>
      </w:pPr>
    </w:p>
    <w:p>
      <w:pPr>
        <w:pStyle w:val="Heading2"/>
      </w:pPr>
      <w:r>
        <w:t>Hypothèses explicites du planning</w:t>
      </w:r>
    </w:p>
    <w:p>
      <w:r>
        <w:rPr>
          <w:b w:val="0"/>
        </w:rPr>
      </w:r>
      <w:r>
        <w:rPr>
          <w:b/>
        </w:rPr>
        <w:t>C05.</w:t>
      </w:r>
      <w:r>
        <w:rPr>
          <w:b w:val="0"/>
        </w:rPr>
        <w:t xml:space="preserve"> À J−3, Sarah indique pouvoir assurer la préparation dès que les tests sont terminés. Aucun remplaçant n’est réservé.</w:t>
      </w:r>
    </w:p>
    <w:p>
      <w:r>
        <w:rPr>
          <w:b w:val="0"/>
        </w:rPr>
      </w:r>
      <w:r>
        <w:rPr>
          <w:b/>
        </w:rPr>
        <w:t>C06.</w:t>
      </w:r>
      <w:r>
        <w:rPr>
          <w:b w:val="0"/>
        </w:rPr>
        <w:t xml:space="preserve"> Aucun chevauchement ni raccourcissement des durées C02 et C03 n’est confirmé. Un planning accéléré ne peut pas supposer leur réduction.</w:t>
      </w:r>
    </w:p>
    <w:p>
      <w:r>
        <w:rPr>
          <w:b w:val="0"/>
        </w:rPr>
      </w:r>
      <w:r>
        <w:rPr>
          <w:b/>
        </w:rPr>
        <w:t>C07.</w:t>
      </w:r>
      <w:r>
        <w:rPr>
          <w:b w:val="0"/>
        </w:rPr>
        <w:t xml:space="preserve"> Sous réserve du respect de ces règles, aucun autre délai technique n’est identifié dans ce scénario. La confirmation de réussite des tests et de préparation de l’équipe reste nécessaire.</w:t>
      </w:r>
    </w:p>
    <w:p>
      <w:pPr>
        <w:pStyle w:val="Heading2"/>
      </w:pPr>
      <w:r>
        <w:t>Ligne reportée dans le calendrier partagé</w:t>
      </w:r>
    </w:p>
    <w:p>
      <w:r>
        <w:rPr>
          <w:b w:val="0"/>
        </w:rPr>
      </w:r>
      <w:r>
        <w:rPr>
          <w:b/>
        </w:rPr>
        <w:t>C08.</w:t>
      </w:r>
      <w:r>
        <w:rPr>
          <w:b w:val="0"/>
        </w:rPr>
        <w:t xml:space="preserve"> J+20 : « ouverture » ; responsable de la validation : non renseigné. Les dates des tests et de préparation restent à renseigner dans le calendrier partagé.</w:t>
      </w:r>
    </w:p>
    <w:p>
      <w:r>
        <w:br w:type="page"/>
      </w:r>
    </w:p>
    <w:p>
      <w:pPr>
        <w:pStyle w:val="Heading1"/>
      </w:pPr>
      <w:r>
        <w:t>D Budget et devis des travaux</w:t>
      </w:r>
    </w:p>
    <w:p>
      <w:r>
        <w:rPr>
          <w:b w:val="0"/>
        </w:rPr>
      </w:r>
      <w:r>
        <w:rPr>
          <w:b/>
        </w:rPr>
        <w:t>Auteur :</w:t>
      </w:r>
      <w:r>
        <w:rPr>
          <w:b w:val="0"/>
        </w:rPr>
        <w:t xml:space="preserve"> Leïla Garnier. </w:t>
      </w:r>
      <w:r>
        <w:rPr>
          <w:b/>
        </w:rPr>
        <w:t>Statut :</w:t>
      </w:r>
      <w:r>
        <w:rPr>
          <w:b w:val="0"/>
        </w:rPr>
        <w:t xml:space="preserve"> archive budgétaire et avenant signé. Les montants ci-dessous sont TTC. Les deux versions sont réunies dans cette pièce pour la reprise du projet.</w:t>
      </w:r>
    </w:p>
    <w:p>
      <w:pPr>
        <w:pStyle w:val="Heading2"/>
      </w:pPr>
      <w:r>
        <w:t>Budget version 1 émis à J−12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6768"/>
        <w:gridCol w:w="2592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AE5EF"/>
          </w:tcPr>
          <w:p>
            <w:pPr>
              <w:spacing w:after="20" w:before="20" w:line="247" w:lineRule="auto"/>
              <w:jc w:val="center"/>
            </w:pPr>
            <w:r>
              <w:rPr>
                <w:b/>
                <w:sz w:val="20"/>
              </w:rPr>
              <w:t>Réf</w:t>
            </w:r>
          </w:p>
        </w:tc>
        <w:tc>
          <w:tcPr>
            <w:tcW w:type="dxa" w:w="67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AE5EF"/>
          </w:tcPr>
          <w:p>
            <w:pPr>
              <w:spacing w:after="20" w:before="20" w:line="247" w:lineRule="auto"/>
            </w:pPr>
            <w:r>
              <w:rPr>
                <w:b/>
                <w:sz w:val="20"/>
              </w:rPr>
              <w:t>Poste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AE5EF"/>
          </w:tcPr>
          <w:p>
            <w:pPr>
              <w:spacing w:after="20" w:before="20" w:line="247" w:lineRule="auto"/>
            </w:pPr>
            <w:r>
              <w:rPr>
                <w:b/>
                <w:sz w:val="20"/>
              </w:rPr>
              <w:t>Montant TTC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20"/>
              </w:rPr>
              <w:t>D01</w:t>
            </w:r>
          </w:p>
        </w:tc>
        <w:tc>
          <w:tcPr>
            <w:tcW w:type="dxa" w:w="67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Travaux selon devis initial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62 000 €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20"/>
              </w:rPr>
              <w:t>D02a</w:t>
            </w:r>
          </w:p>
        </w:tc>
        <w:tc>
          <w:tcPr>
            <w:tcW w:type="dxa" w:w="67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Équipements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18 000 €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20"/>
              </w:rPr>
              <w:t>D02b</w:t>
            </w:r>
          </w:p>
        </w:tc>
        <w:tc>
          <w:tcPr>
            <w:tcW w:type="dxa" w:w="67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Mobilier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8 000 €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20"/>
              </w:rPr>
              <w:t>D02c</w:t>
            </w:r>
          </w:p>
        </w:tc>
        <w:tc>
          <w:tcPr>
            <w:tcW w:type="dxa" w:w="67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Coordination et communication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3F6F8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12 000 €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  <w:jc w:val="center"/>
            </w:pPr>
            <w:r>
              <w:rPr>
                <w:b w:val="0"/>
                <w:sz w:val="20"/>
              </w:rPr>
              <w:t>D03</w:t>
            </w:r>
          </w:p>
        </w:tc>
        <w:tc>
          <w:tcPr>
            <w:tcW w:type="dxa" w:w="67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Total version 1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sz w:val="20"/>
              </w:rPr>
              <w:t>100 000 €</w:t>
            </w:r>
          </w:p>
        </w:tc>
      </w:tr>
    </w:tbl>
    <w:p>
      <w:pPr>
        <w:spacing w:after="0"/>
      </w:pPr>
    </w:p>
    <w:p>
      <w:pPr>
        <w:pStyle w:val="Heading2"/>
      </w:pPr>
      <w:r>
        <w:t>Avenant signé à J−2</w:t>
      </w:r>
    </w:p>
    <w:p>
      <w:r>
        <w:rPr>
          <w:b w:val="0"/>
        </w:rPr>
      </w:r>
      <w:r>
        <w:rPr>
          <w:b/>
        </w:rPr>
        <w:t>D04.</w:t>
      </w:r>
      <w:r>
        <w:rPr>
          <w:b w:val="0"/>
        </w:rPr>
        <w:t xml:space="preserve"> Le devis révisé accepté porte les travaux à 74 000 € TTC. Il annule et remplace D01. Les postes D02a, D02b et D02c sont inchangés.</w:t>
      </w:r>
    </w:p>
    <w:p>
      <w:r>
        <w:rPr>
          <w:b w:val="0"/>
        </w:rPr>
      </w:r>
      <w:r>
        <w:rPr>
          <w:b/>
        </w:rPr>
        <w:t>D05.</w:t>
      </w:r>
      <w:r>
        <w:rPr>
          <w:b w:val="0"/>
        </w:rPr>
        <w:t xml:space="preserve"> L’avenant est signé par le sponsor et la responsable financière. La version 1 est conservée pour historique. Le total actualisé n’a pas encore été reporté au tableau B.</w:t>
      </w:r>
    </w:p>
    <w:p>
      <w:pPr>
        <w:pStyle w:val="Heading2"/>
      </w:pPr>
      <w:r>
        <w:t>Détail du poste coordination et communication</w:t>
      </w:r>
    </w:p>
    <w:p>
      <w:r>
        <w:rPr>
          <w:b w:val="0"/>
        </w:rPr>
      </w:r>
      <w:r>
        <w:rPr>
          <w:b/>
        </w:rPr>
        <w:t>D06.</w:t>
      </w:r>
      <w:r>
        <w:rPr>
          <w:b w:val="0"/>
        </w:rPr>
        <w:t xml:space="preserve"> Sur les 12 000 € TTC, 8 000 € concernent la coordination et 4 000 € un événement inaugural payant. À J−2, aucune suppression de cet événement ni économie associée n’est validée.</w:t>
      </w:r>
    </w:p>
    <w:p>
      <w:r>
        <w:rPr>
          <w:b w:val="0"/>
        </w:rPr>
      </w:r>
      <w:r>
        <w:rPr>
          <w:b/>
        </w:rPr>
        <w:t>D07.</w:t>
      </w:r>
      <w:r>
        <w:rPr>
          <w:b w:val="0"/>
        </w:rPr>
        <w:t xml:space="preserve"> Ces montants sont des coûts prévisionnels complets par poste, pas un état des paiements. Aucune économie, subvention ou recette supplémentaire n’est acquise dans les pièces initiales.</w:t>
      </w:r>
    </w:p>
    <w:p>
      <w:r>
        <w:br w:type="page"/>
      </w:r>
    </w:p>
    <w:p>
      <w:pPr>
        <w:pStyle w:val="Heading1"/>
      </w:pPr>
      <w:r>
        <w:t>E Messages des partenaires</w:t>
      </w:r>
    </w:p>
    <w:p>
      <w:r>
        <w:rPr>
          <w:b w:val="0"/>
        </w:rPr>
      </w:r>
      <w:r>
        <w:rPr>
          <w:b/>
        </w:rPr>
        <w:t>Dossier constitué :</w:t>
      </w:r>
      <w:r>
        <w:rPr>
          <w:b w:val="0"/>
        </w:rPr>
        <w:t xml:space="preserve"> J0. </w:t>
      </w:r>
      <w:r>
        <w:rPr>
          <w:b/>
        </w:rPr>
        <w:t>Statut :</w:t>
      </w:r>
      <w:r>
        <w:rPr>
          <w:b w:val="0"/>
        </w:rPr>
        <w:t xml:space="preserve"> copies de trois messages. Les extraits sont complets pour les sujets cités.</w:t>
      </w:r>
    </w:p>
    <w:p>
      <w:pPr>
        <w:pStyle w:val="Heading2"/>
      </w:pPr>
      <w:r>
        <w:t>Message de la collectivité à J−2</w:t>
      </w:r>
    </w:p>
    <w:p>
      <w:r>
        <w:rPr>
          <w:b w:val="0"/>
        </w:rPr>
      </w:r>
      <w:r>
        <w:rPr>
          <w:b/>
        </w:rPr>
        <w:t>E01. Élise Martin, communication.</w:t>
      </w:r>
      <w:r>
        <w:rPr>
          <w:b w:val="0"/>
        </w:rPr>
        <w:t xml:space="preserve"> « Nous avons publié une annonce pour l’inauguration à J+20. Nous imaginons une visite des locaux et une prise de parole. Pourriez-vous confirmer que l’équipe sera présente ? »</w:t>
      </w:r>
    </w:p>
    <w:p>
      <w:pPr>
        <w:pStyle w:val="Heading2"/>
      </w:pPr>
      <w:r>
        <w:t>Message de la référente de l’équipe à J−1</w:t>
      </w:r>
    </w:p>
    <w:p>
      <w:r>
        <w:rPr>
          <w:b w:val="0"/>
        </w:rPr>
      </w:r>
      <w:r>
        <w:rPr>
          <w:b/>
        </w:rPr>
        <w:t>E02. Sarah Benali.</w:t>
      </w:r>
      <w:r>
        <w:rPr>
          <w:b w:val="0"/>
        </w:rPr>
        <w:t xml:space="preserve"> « Quand vous dites ouverture à J+20, nous comprenons accueil des premiers patients. Nous devons réaliser les deux jours de préparation après les tests. L’équipe n’a pas validé un accueil sans cette préparation. »</w:t>
      </w:r>
    </w:p>
    <w:p>
      <w:pPr>
        <w:pStyle w:val="Heading2"/>
      </w:pPr>
      <w:r>
        <w:t>Message du sponsor à J−1</w:t>
      </w:r>
    </w:p>
    <w:p>
      <w:r>
        <w:rPr>
          <w:b w:val="0"/>
        </w:rPr>
      </w:r>
      <w:r>
        <w:rPr>
          <w:b/>
        </w:rPr>
        <w:t>E03. Nicolas Perrin.</w:t>
      </w:r>
      <w:r>
        <w:rPr>
          <w:b w:val="0"/>
        </w:rPr>
        <w:t xml:space="preserve"> « Merci de sécuriser l’ouverture annoncée et de m’indiquer ce qu’il reste à décider. Le tableau est vert, je souhaite comprendre pourquoi vous me demandez encore une confirmation de date. »</w:t>
      </w:r>
    </w:p>
    <w:p>
      <w:pPr>
        <w:pStyle w:val="Heading2"/>
      </w:pPr>
      <w:r>
        <w:t>Traçabilité des échanges</w:t>
      </w:r>
    </w:p>
    <w:p>
      <w:r>
        <w:rPr>
          <w:b w:val="0"/>
        </w:rPr>
      </w:r>
      <w:r>
        <w:rPr>
          <w:b/>
        </w:rPr>
        <w:t>E04.</w:t>
      </w:r>
      <w:r>
        <w:rPr>
          <w:b w:val="0"/>
        </w:rPr>
        <w:t xml:space="preserve"> Aucune réponse de confirmation aux messages E01 et E02 n’est jointe. Le terme « ouverture » n’a pas fait l’objet d’une définition commune dans ces échanges.</w:t>
      </w:r>
    </w:p>
    <w:p>
      <w:r>
        <w:br w:type="page"/>
      </w:r>
    </w:p>
    <w:p>
      <w:pPr>
        <w:pStyle w:val="Heading1"/>
      </w:pPr>
      <w:r>
        <w:t>F Compte rendu du dernier COPIL</w:t>
      </w:r>
    </w:p>
    <w:p>
      <w:r>
        <w:rPr>
          <w:b w:val="0"/>
        </w:rPr>
      </w:r>
      <w:r>
        <w:rPr>
          <w:b/>
        </w:rPr>
        <w:t>Auteur :</w:t>
      </w:r>
      <w:r>
        <w:rPr>
          <w:b w:val="0"/>
        </w:rPr>
        <w:t xml:space="preserve"> secrétariat du COPIL. </w:t>
      </w:r>
      <w:r>
        <w:rPr>
          <w:b/>
        </w:rPr>
        <w:t>Réunion :</w:t>
      </w:r>
      <w:r>
        <w:rPr>
          <w:b w:val="0"/>
        </w:rPr>
        <w:t xml:space="preserve"> J−5. </w:t>
      </w:r>
      <w:r>
        <w:rPr>
          <w:b/>
        </w:rPr>
        <w:t>Statut :</w:t>
      </w:r>
      <w:r>
        <w:rPr>
          <w:b w:val="0"/>
        </w:rPr>
        <w:t xml:space="preserve"> compte rendu validé par le sponsor à J−4.</w:t>
      </w:r>
    </w:p>
    <w:p>
      <w:pPr>
        <w:pStyle w:val="Heading2"/>
      </w:pPr>
      <w:r>
        <w:t>Décisions et suites retenues</w:t>
      </w:r>
    </w:p>
    <w:p>
      <w:r>
        <w:rPr>
          <w:b w:val="0"/>
        </w:rPr>
      </w:r>
      <w:r>
        <w:rPr>
          <w:b/>
        </w:rPr>
        <w:t>F01.</w:t>
      </w:r>
      <w:r>
        <w:rPr>
          <w:b w:val="0"/>
        </w:rPr>
        <w:t xml:space="preserve"> Le calendrier d’accueil du public doit être revalidé après confirmation de la remise des locaux et recalcul des séquences de tests et de préparation.</w:t>
      </w:r>
    </w:p>
    <w:p>
      <w:r>
        <w:rPr>
          <w:b w:val="0"/>
        </w:rPr>
      </w:r>
      <w:r>
        <w:rPr>
          <w:b/>
        </w:rPr>
        <w:t>F02.</w:t>
      </w:r>
      <w:r>
        <w:rPr>
          <w:b w:val="0"/>
        </w:rPr>
        <w:t xml:space="preserve"> Le COPIL n’a pas validé de date ferme d’accueil du public. J+20 reste l’hypothèse de communication discutée avec la collectivité.</w:t>
      </w:r>
    </w:p>
    <w:p>
      <w:r>
        <w:rPr>
          <w:b w:val="0"/>
        </w:rPr>
      </w:r>
      <w:r>
        <w:rPr>
          <w:b/>
        </w:rPr>
        <w:t>F03.</w:t>
      </w:r>
      <w:r>
        <w:rPr>
          <w:b w:val="0"/>
        </w:rPr>
        <w:t xml:space="preserve"> Marc Duval obtient la nouvelle confirmation de remise ; Eva Rousseau et Sarah Benali vérifient les séquences qui en dépendent. La coordination présente un planning et un budget consolidés au prochain COPIL.</w:t>
      </w:r>
    </w:p>
    <w:p>
      <w:r>
        <w:rPr>
          <w:b w:val="0"/>
        </w:rPr>
      </w:r>
      <w:r>
        <w:rPr>
          <w:b/>
        </w:rPr>
        <w:t>F04.</w:t>
      </w:r>
      <w:r>
        <w:rPr>
          <w:b w:val="0"/>
        </w:rPr>
        <w:t xml:space="preserve"> La personne habilitée à donner le feu vert final n’est pas désignée dans ce compte rendu. Le point est à clarifier avec le sponsor.</w:t>
      </w:r>
    </w:p>
    <w:p>
      <w:r>
        <w:rPr>
          <w:b w:val="0"/>
        </w:rPr>
      </w:r>
      <w:r>
        <w:rPr>
          <w:b/>
        </w:rPr>
        <w:t>F05.</w:t>
      </w:r>
      <w:r>
        <w:rPr>
          <w:b w:val="0"/>
        </w:rPr>
        <w:t xml:space="preserve"> Aucun arbitrage permettant de raccourcir les tests ou de les effectuer avant remise des locaux n’a été pris.</w:t>
      </w:r>
    </w:p>
    <w:p>
      <w:pPr>
        <w:pStyle w:val="Heading2"/>
      </w:pPr>
      <w:r>
        <w:t>Suivi de la réunion</w:t>
      </w:r>
    </w:p>
    <w:p>
      <w:r>
        <w:rPr>
          <w:b w:val="0"/>
        </w:rPr>
      </w:r>
      <w:r>
        <w:rPr>
          <w:b/>
        </w:rPr>
        <w:t>F06.</w:t>
      </w:r>
      <w:r>
        <w:rPr>
          <w:b w:val="0"/>
        </w:rPr>
        <w:t xml:space="preserve"> Le prochain COPIL doit se prononcer sur le calendrier, les conséquences budgétaires et le dispositif de validation. Les propositions seront accompagnées de leurs conditions et de leurs responsables.</w:t>
      </w:r>
    </w:p>
    <w:p>
      <w:r>
        <w:br w:type="page"/>
      </w:r>
    </w:p>
    <w:p>
      <w:pPr>
        <w:pStyle w:val="Heading1"/>
      </w:pPr>
      <w:r>
        <w:t>G Synthèse de reprise produite avec une IA</w:t>
      </w:r>
    </w:p>
    <w:p>
      <w:r>
        <w:rPr>
          <w:b w:val="0"/>
        </w:rPr>
      </w:r>
      <w:r>
        <w:rPr>
          <w:b/>
        </w:rPr>
        <w:t>Auteur :</w:t>
      </w:r>
      <w:r>
        <w:rPr>
          <w:b w:val="0"/>
        </w:rPr>
        <w:t xml:space="preserve"> assistant IA utilisé par l’ancienne coordination. </w:t>
      </w:r>
      <w:r>
        <w:rPr>
          <w:b/>
        </w:rPr>
        <w:t>Générée :</w:t>
      </w:r>
      <w:r>
        <w:rPr>
          <w:b w:val="0"/>
        </w:rPr>
        <w:t xml:space="preserve"> J−1. </w:t>
      </w:r>
      <w:r>
        <w:rPr>
          <w:b/>
        </w:rPr>
        <w:t>Statut :</w:t>
      </w:r>
      <w:r>
        <w:rPr>
          <w:b w:val="0"/>
        </w:rPr>
        <w:t xml:space="preserve"> brouillon non relu. Les références ci-dessous sont celles que cet assistant a indiquées.</w:t>
      </w:r>
    </w:p>
    <w:p>
      <w:pPr>
        <w:pStyle w:val="Heading2"/>
      </w:pPr>
      <w:r>
        <w:t>Synthèse transmise</w:t>
      </w:r>
    </w:p>
    <w:p>
      <w:r>
        <w:rPr>
          <w:b w:val="0"/>
        </w:rPr>
      </w:r>
      <w:r>
        <w:rPr>
          <w:b/>
        </w:rPr>
        <w:t>G01.</w:t>
      </w:r>
      <w:r>
        <w:rPr>
          <w:b w:val="0"/>
        </w:rPr>
        <w:t xml:space="preserve"> « Le dernier COPIL a validé l’accueil du public à J+20. Référence : décisions du dernier COPIL. »</w:t>
      </w:r>
    </w:p>
    <w:p>
      <w:r>
        <w:rPr>
          <w:b w:val="0"/>
        </w:rPr>
      </w:r>
      <w:r>
        <w:rPr>
          <w:b/>
        </w:rPr>
        <w:t>G02.</w:t>
      </w:r>
      <w:r>
        <w:rPr>
          <w:b w:val="0"/>
        </w:rPr>
        <w:t xml:space="preserve"> « Les cinq jours de tests peuvent être réalisés avant la remise des locaux pour tenir la date annoncée. Référence : planning technique. »</w:t>
      </w:r>
    </w:p>
    <w:p>
      <w:r>
        <w:rPr>
          <w:b w:val="0"/>
        </w:rPr>
      </w:r>
      <w:r>
        <w:rPr>
          <w:b/>
        </w:rPr>
        <w:t>G03.</w:t>
      </w:r>
      <w:r>
        <w:rPr>
          <w:b w:val="0"/>
        </w:rPr>
        <w:t xml:space="preserve"> « Le budget de 100 000 € laisse une réserve disponible de 20 000 €. Référence : tableau de bord récent. »</w:t>
      </w:r>
    </w:p>
    <w:p>
      <w:r>
        <w:rPr>
          <w:b w:val="0"/>
        </w:rPr>
      </w:r>
      <w:r>
        <w:rPr>
          <w:b/>
        </w:rPr>
        <w:t>G04.</w:t>
      </w:r>
      <w:r>
        <w:rPr>
          <w:b w:val="0"/>
        </w:rPr>
        <w:t xml:space="preserve"> « Les travaux sont réalisés à 95 %, ce qui ne laisse aucun risque majeur pour le lancement. Référence : indicateurs du projet. »</w:t>
      </w:r>
    </w:p>
    <w:p>
      <w:r>
        <w:rPr>
          <w:b w:val="0"/>
        </w:rPr>
      </w:r>
      <w:r>
        <w:rPr>
          <w:b/>
        </w:rPr>
        <w:t>G05.</w:t>
      </w:r>
      <w:r>
        <w:rPr>
          <w:b w:val="0"/>
        </w:rPr>
        <w:t xml:space="preserve"> « Inauguration et accueil du public peuvent être traités comme un même jalon. Les partenaires sont alignés sur le sens du mot ouverture. Référence : échanges partenaires. »</w:t>
      </w:r>
    </w:p>
    <w:p>
      <w:pPr>
        <w:pStyle w:val="Heading2"/>
      </w:pPr>
      <w:r>
        <w:t>Proposition de message au sponsor</w:t>
      </w:r>
    </w:p>
    <w:p>
      <w:r>
        <w:rPr>
          <w:b w:val="0"/>
        </w:rPr>
      </w:r>
      <w:r>
        <w:rPr>
          <w:b/>
        </w:rPr>
        <w:t>G06.</w:t>
      </w:r>
      <w:r>
        <w:rPr>
          <w:b w:val="0"/>
        </w:rPr>
        <w:t xml:space="preserve"> « Tout est sous contrôle. Nous confirmons J+20, le budget courant et le feu vert des partenaires. Aucune décision complémentaire n’est nécessaire avant l’ouverture. »</w:t>
      </w:r>
    </w:p>
    <w:p>
      <w:r>
        <w:rPr>
          <w:b w:val="0"/>
          <w:sz w:val="18"/>
        </w:rPr>
        <w:t>Fin du dossier initial. Conservez cette pièce comme objet d’analyse au même titre que les autres documents.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PARTICIPANTS  |  PIÈCES A À G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Cadrage du projet des Tilleuls</dc:title>
  <dc:subject>Le COPIL est dans 90 minutes</dc:subject>
  <dc:creator>Formation gestion de projet et 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