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 appuis si vous en avez besoin</w:t>
      </w:r>
    </w:p>
    <w:p>
      <w:r>
        <w:rPr>
          <w:b w:val="0"/>
        </w:rPr>
        <w:t>Ces pistes sont à votre disposition. Vous pouvez en retenir certaines, les adapter ou construire votre propre approche. Elles ne constituent ni un plan obligatoire ni un formulaire à rendre.</w:t>
      </w:r>
    </w:p>
    <w:p>
      <w:pPr>
        <w:pStyle w:val="Heading2"/>
      </w:pPr>
      <w:r>
        <w:t>Quelques questions pour cadrer la mission</w:t>
      </w:r>
    </w:p>
    <w:p>
      <w:r>
        <w:rPr>
          <w:b w:val="0"/>
        </w:rPr>
        <w:t>Que doit pouvoir décider le comité à la fin de notre intervention ? Quelles informations changeraient notre recommandation ? Que peut traiter l’agent et que voulons-nous vérifier nous-mêmes ? À quoi reconnaîtrons-nous un résultat suffisamment fiable ?</w:t>
      </w:r>
    </w:p>
    <w:p>
      <w:pPr>
        <w:pStyle w:val="Heading2"/>
      </w:pPr>
      <w:r>
        <w:t>Une grille possible pour examiner une affirmation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736"/>
        <w:gridCol w:w="2448"/>
        <w:gridCol w:w="2592"/>
      </w:tblGrid>
      <w:tr>
        <w:trPr>
          <w:cantSplit/>
          <w:tblHeader/>
        </w:trPr>
        <w:tc>
          <w:tcPr>
            <w:tcW w:type="dxa" w:w="2448"/>
            <w:vAlign w:val="center"/>
            <w:tcMar>
              <w:top w:w="85" w:type="dxa"/>
              <w:left w:w="85" w:type="dxa"/>
              <w:bottom w:w="85" w:type="dxa"/>
              <w:right w:w="85" w:type="dxa"/>
            </w:tcMar>
            <w:shd w:fill="DAE5EF"/>
          </w:tcPr>
          <w:p>
            <w:pPr>
              <w:spacing w:after="20" w:before="20" w:line="247" w:lineRule="auto"/>
            </w:pPr>
            <w:r>
              <w:rPr>
                <w:b/>
                <w:sz w:val="20"/>
              </w:rPr>
              <w:t>Affirmation</w:t>
            </w:r>
          </w:p>
        </w:tc>
        <w:tc>
          <w:tcPr>
            <w:tcW w:type="dxa" w:w="2736"/>
            <w:vAlign w:val="center"/>
            <w:tcMar>
              <w:top w:w="85" w:type="dxa"/>
              <w:left w:w="85" w:type="dxa"/>
              <w:bottom w:w="85" w:type="dxa"/>
              <w:right w:w="85" w:type="dxa"/>
            </w:tcMar>
            <w:shd w:fill="DAE5EF"/>
          </w:tcPr>
          <w:p>
            <w:pPr>
              <w:spacing w:after="20" w:before="20" w:line="247" w:lineRule="auto"/>
            </w:pPr>
            <w:r>
              <w:rPr>
                <w:b/>
                <w:sz w:val="20"/>
              </w:rPr>
              <w:t>Preuve</w:t>
            </w:r>
          </w:p>
        </w:tc>
        <w:tc>
          <w:tcPr>
            <w:tcW w:type="dxa" w:w="2448"/>
            <w:vAlign w:val="center"/>
            <w:tcMar>
              <w:top w:w="85" w:type="dxa"/>
              <w:left w:w="85" w:type="dxa"/>
              <w:bottom w:w="85" w:type="dxa"/>
              <w:right w:w="85" w:type="dxa"/>
            </w:tcMar>
            <w:shd w:fill="DAE5EF"/>
          </w:tcPr>
          <w:p>
            <w:pPr>
              <w:spacing w:after="20" w:before="20" w:line="247" w:lineRule="auto"/>
            </w:pPr>
            <w:r>
              <w:rPr>
                <w:b/>
                <w:sz w:val="20"/>
              </w:rPr>
              <w:t>Conséquence</w:t>
            </w:r>
          </w:p>
        </w:tc>
        <w:tc>
          <w:tcPr>
            <w:tcW w:type="dxa" w:w="2592"/>
            <w:vAlign w:val="center"/>
            <w:tcMar>
              <w:top w:w="85" w:type="dxa"/>
              <w:left w:w="85" w:type="dxa"/>
              <w:bottom w:w="85" w:type="dxa"/>
              <w:right w:w="85" w:type="dxa"/>
            </w:tcMar>
            <w:shd w:fill="DAE5EF"/>
          </w:tcPr>
          <w:p>
            <w:pPr>
              <w:spacing w:after="20" w:before="20" w:line="247" w:lineRule="auto"/>
            </w:pPr>
            <w:r>
              <w:rPr>
                <w:b/>
                <w:sz w:val="20"/>
              </w:rPr>
              <w:t>Suite à donner</w:t>
            </w:r>
          </w:p>
        </w:tc>
      </w:tr>
      <w:tr>
        <w:trPr>
          <w:cantSplit/>
        </w:trPr>
        <w:tc>
          <w:tcPr>
            <w:tcW w:type="dxa" w:w="2448"/>
            <w:vAlign w:val="center"/>
            <w:tcMar>
              <w:top w:w="85" w:type="dxa"/>
              <w:left w:w="85" w:type="dxa"/>
              <w:bottom w:w="85" w:type="dxa"/>
              <w:right w:w="85" w:type="dxa"/>
            </w:tcMar>
            <w:shd w:fill="FFFFFF"/>
          </w:tcPr>
          <w:p>
            <w:pPr>
              <w:spacing w:after="20" w:before="20" w:line="247" w:lineRule="auto"/>
            </w:pPr>
            <w:r>
              <w:rPr>
                <w:b w:val="0"/>
                <w:sz w:val="20"/>
              </w:rPr>
              <w:t>[Ce qui est annoncé]</w:t>
            </w:r>
          </w:p>
        </w:tc>
        <w:tc>
          <w:tcPr>
            <w:tcW w:type="dxa" w:w="2736"/>
            <w:vAlign w:val="center"/>
            <w:tcMar>
              <w:top w:w="85" w:type="dxa"/>
              <w:left w:w="85" w:type="dxa"/>
              <w:bottom w:w="85" w:type="dxa"/>
              <w:right w:w="85" w:type="dxa"/>
            </w:tcMar>
            <w:shd w:fill="FFFFFF"/>
          </w:tcPr>
          <w:p>
            <w:pPr>
              <w:spacing w:after="20" w:before="20" w:line="247" w:lineRule="auto"/>
            </w:pPr>
            <w:r>
              <w:rPr>
                <w:b w:val="0"/>
                <w:sz w:val="20"/>
              </w:rPr>
              <w:t>[Pièce, identifiant et statut]</w:t>
            </w:r>
          </w:p>
        </w:tc>
        <w:tc>
          <w:tcPr>
            <w:tcW w:type="dxa" w:w="2448"/>
            <w:vAlign w:val="center"/>
            <w:tcMar>
              <w:top w:w="85" w:type="dxa"/>
              <w:left w:w="85" w:type="dxa"/>
              <w:bottom w:w="85" w:type="dxa"/>
              <w:right w:w="85" w:type="dxa"/>
            </w:tcMar>
            <w:shd w:fill="FFFFFF"/>
          </w:tcPr>
          <w:p>
            <w:pPr>
              <w:spacing w:after="20" w:before="20" w:line="247" w:lineRule="auto"/>
            </w:pPr>
            <w:r>
              <w:rPr>
                <w:b w:val="0"/>
                <w:sz w:val="20"/>
              </w:rPr>
              <w:t>[Ce que cela change]</w:t>
            </w:r>
          </w:p>
        </w:tc>
        <w:tc>
          <w:tcPr>
            <w:tcW w:type="dxa" w:w="2592"/>
            <w:vAlign w:val="center"/>
            <w:tcMar>
              <w:top w:w="85" w:type="dxa"/>
              <w:left w:w="85" w:type="dxa"/>
              <w:bottom w:w="85" w:type="dxa"/>
              <w:right w:w="85" w:type="dxa"/>
            </w:tcMar>
            <w:shd w:fill="FFFFFF"/>
          </w:tcPr>
          <w:p>
            <w:pPr>
              <w:spacing w:after="20" w:before="20" w:line="247" w:lineRule="auto"/>
            </w:pPr>
            <w:r>
              <w:rPr>
                <w:b w:val="0"/>
                <w:sz w:val="20"/>
              </w:rPr>
              <w:t>[Vérifier, corriger, demander ou décider]</w:t>
            </w:r>
          </w:p>
        </w:tc>
      </w:tr>
    </w:tbl>
    <w:p>
      <w:pPr>
        <w:spacing w:after="0"/>
      </w:pPr>
    </w:p>
    <w:p>
      <w:r>
        <w:rPr>
          <w:b w:val="0"/>
        </w:rPr>
        <w:t>Vous pouvez aussi annoter directement les pièces ou tenir une liste courte. L’essentiel est de distinguer un fait établi d’une interprétation et de retrouver la source sans refaire toute l’analyse.</w:t>
      </w:r>
    </w:p>
    <w:p>
      <w:pPr>
        <w:pStyle w:val="Heading2"/>
      </w:pPr>
      <w:r>
        <w:t>Une structure possible pour comparer les options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024"/>
        <w:gridCol w:w="2736"/>
        <w:gridCol w:w="2448"/>
      </w:tblGrid>
      <w:tr>
        <w:trPr>
          <w:cantSplit/>
          <w:tblHeader/>
        </w:trPr>
        <w:tc>
          <w:tcPr>
            <w:tcW w:type="dxa" w:w="2016"/>
            <w:vAlign w:val="center"/>
            <w:tcMar>
              <w:top w:w="85" w:type="dxa"/>
              <w:left w:w="85" w:type="dxa"/>
              <w:bottom w:w="85" w:type="dxa"/>
              <w:right w:w="85" w:type="dxa"/>
            </w:tcMar>
            <w:shd w:fill="DAE5EF"/>
          </w:tcPr>
          <w:p>
            <w:pPr>
              <w:spacing w:after="20" w:before="20" w:line="247" w:lineRule="auto"/>
            </w:pPr>
            <w:r>
              <w:rPr>
                <w:b/>
                <w:sz w:val="20"/>
              </w:rPr>
              <w:t>Option</w:t>
            </w:r>
          </w:p>
        </w:tc>
        <w:tc>
          <w:tcPr>
            <w:tcW w:type="dxa" w:w="3024"/>
            <w:vAlign w:val="center"/>
            <w:tcMar>
              <w:top w:w="85" w:type="dxa"/>
              <w:left w:w="85" w:type="dxa"/>
              <w:bottom w:w="85" w:type="dxa"/>
              <w:right w:w="85" w:type="dxa"/>
            </w:tcMar>
            <w:shd w:fill="DAE5EF"/>
          </w:tcPr>
          <w:p>
            <w:pPr>
              <w:spacing w:after="20" w:before="20" w:line="247" w:lineRule="auto"/>
            </w:pPr>
            <w:r>
              <w:rPr>
                <w:b/>
                <w:sz w:val="20"/>
              </w:rPr>
              <w:t>Date et prérequis</w:t>
            </w:r>
          </w:p>
        </w:tc>
        <w:tc>
          <w:tcPr>
            <w:tcW w:type="dxa" w:w="2736"/>
            <w:vAlign w:val="center"/>
            <w:tcMar>
              <w:top w:w="85" w:type="dxa"/>
              <w:left w:w="85" w:type="dxa"/>
              <w:bottom w:w="85" w:type="dxa"/>
              <w:right w:w="85" w:type="dxa"/>
            </w:tcMar>
            <w:shd w:fill="DAE5EF"/>
          </w:tcPr>
          <w:p>
            <w:pPr>
              <w:spacing w:after="20" w:before="20" w:line="247" w:lineRule="auto"/>
            </w:pPr>
            <w:r>
              <w:rPr>
                <w:b/>
                <w:sz w:val="20"/>
              </w:rPr>
              <w:t>Coût et marge</w:t>
            </w:r>
          </w:p>
        </w:tc>
        <w:tc>
          <w:tcPr>
            <w:tcW w:type="dxa" w:w="2448"/>
            <w:vAlign w:val="center"/>
            <w:tcMar>
              <w:top w:w="85" w:type="dxa"/>
              <w:left w:w="85" w:type="dxa"/>
              <w:bottom w:w="85" w:type="dxa"/>
              <w:right w:w="85" w:type="dxa"/>
            </w:tcMar>
            <w:shd w:fill="DAE5EF"/>
          </w:tcPr>
          <w:p>
            <w:pPr>
              <w:spacing w:after="20" w:before="20" w:line="247" w:lineRule="auto"/>
            </w:pPr>
            <w:r>
              <w:rPr>
                <w:b/>
                <w:sz w:val="20"/>
              </w:rPr>
              <w:t>Choix à faire</w:t>
            </w:r>
          </w:p>
        </w:tc>
      </w:tr>
      <w:tr>
        <w:trPr>
          <w:cantSplit/>
        </w:trPr>
        <w:tc>
          <w:tcPr>
            <w:tcW w:type="dxa" w:w="2016"/>
            <w:vAlign w:val="center"/>
            <w:tcMar>
              <w:top w:w="85" w:type="dxa"/>
              <w:left w:w="85" w:type="dxa"/>
              <w:bottom w:w="85" w:type="dxa"/>
              <w:right w:w="85" w:type="dxa"/>
            </w:tcMar>
            <w:shd w:fill="FFFFFF"/>
          </w:tcPr>
          <w:p>
            <w:pPr>
              <w:spacing w:after="20" w:before="20" w:line="247" w:lineRule="auto"/>
            </w:pPr>
            <w:r>
              <w:rPr>
                <w:b w:val="0"/>
                <w:sz w:val="20"/>
              </w:rPr>
              <w:t>[Scénario]</w:t>
            </w:r>
          </w:p>
        </w:tc>
        <w:tc>
          <w:tcPr>
            <w:tcW w:type="dxa" w:w="3024"/>
            <w:vAlign w:val="center"/>
            <w:tcMar>
              <w:top w:w="85" w:type="dxa"/>
              <w:left w:w="85" w:type="dxa"/>
              <w:bottom w:w="85" w:type="dxa"/>
              <w:right w:w="85" w:type="dxa"/>
            </w:tcMar>
            <w:shd w:fill="FFFFFF"/>
          </w:tcPr>
          <w:p>
            <w:pPr>
              <w:spacing w:after="20" w:before="20" w:line="247" w:lineRule="auto"/>
            </w:pPr>
            <w:r>
              <w:rPr>
                <w:b w:val="0"/>
                <w:sz w:val="20"/>
              </w:rPr>
              <w:t>[Ce qui détermine la date]</w:t>
            </w:r>
          </w:p>
        </w:tc>
        <w:tc>
          <w:tcPr>
            <w:tcW w:type="dxa" w:w="2736"/>
            <w:vAlign w:val="center"/>
            <w:tcMar>
              <w:top w:w="85" w:type="dxa"/>
              <w:left w:w="85" w:type="dxa"/>
              <w:bottom w:w="85" w:type="dxa"/>
              <w:right w:w="85" w:type="dxa"/>
            </w:tcMar>
            <w:shd w:fill="FFFFFF"/>
          </w:tcPr>
          <w:p>
            <w:pPr>
              <w:spacing w:after="20" w:before="20" w:line="247" w:lineRule="auto"/>
            </w:pPr>
            <w:r>
              <w:rPr>
                <w:b w:val="0"/>
                <w:sz w:val="20"/>
              </w:rPr>
              <w:t>[Montant complet et hypothèses]</w:t>
            </w:r>
          </w:p>
        </w:tc>
        <w:tc>
          <w:tcPr>
            <w:tcW w:type="dxa" w:w="2448"/>
            <w:vAlign w:val="center"/>
            <w:tcMar>
              <w:top w:w="85" w:type="dxa"/>
              <w:left w:w="85" w:type="dxa"/>
              <w:bottom w:w="85" w:type="dxa"/>
              <w:right w:w="85" w:type="dxa"/>
            </w:tcMar>
            <w:shd w:fill="FFFFFF"/>
          </w:tcPr>
          <w:p>
            <w:pPr>
              <w:spacing w:after="20" w:before="20" w:line="247" w:lineRule="auto"/>
            </w:pPr>
            <w:r>
              <w:rPr>
                <w:b w:val="0"/>
                <w:sz w:val="20"/>
              </w:rPr>
              <w:t>[Avantage, renoncement et validation]</w:t>
            </w:r>
          </w:p>
        </w:tc>
      </w:tr>
    </w:tbl>
    <w:p>
      <w:pPr>
        <w:spacing w:after="0"/>
      </w:pPr>
    </w:p>
    <w:p>
      <w:r>
        <w:rPr>
          <w:b w:val="0"/>
        </w:rPr>
        <w:t>Les options n’ont pas toutes à être retenues. Vous pouvez en écarter une si vous rendez le raisonnement visible. Ne confondez pas une condition nécessaire à sa réalisation et une condition déjà satisfaite.</w:t>
      </w:r>
    </w:p>
    <w:p>
      <w:pPr>
        <w:pStyle w:val="Heading2"/>
      </w:pPr>
      <w:r>
        <w:t>Pour un support de comité</w:t>
      </w:r>
    </w:p>
    <w:p>
      <w:r>
        <w:rPr>
          <w:b w:val="0"/>
        </w:rPr>
        <w:t>Une entrée possible : « Nous recommandons… parce que… Le comité doit décider… Les conditions restant à confirmer sont… » Choisissez le degré de détail utile à votre interlocuteur, puis rendez les preuves accessibles à côté du support principal.</w:t>
      </w:r>
    </w:p>
    <w:p>
      <w:r>
        <w:br w:type="page"/>
      </w:r>
    </w:p>
    <w:p>
      <w:pPr>
        <w:pStyle w:val="Heading1"/>
      </w:pPr>
      <w:r>
        <w:t>Méthode réutilisable et passation</w:t>
      </w:r>
    </w:p>
    <w:p>
      <w:pPr>
        <w:pStyle w:val="Heading2"/>
      </w:pPr>
      <w:r>
        <w:t>Concevoir votre procédure</w:t>
      </w:r>
    </w:p>
    <w:p>
      <w:r>
        <w:rPr>
          <w:b w:val="0"/>
        </w:rPr>
        <w:t>Une méthode réutilisable décrit quand elle s’applique, les documents nécessaires, la façon de confronter les sources, les contrôles à effectuer et le résultat attendu. Elle doit pouvoir servir sur un autre projet, sans dépendre des noms ou des montants des Tilleuls.</w:t>
      </w:r>
    </w:p>
    <w:p>
      <w:r>
        <w:rPr>
          <w:b w:val="0"/>
        </w:rPr>
        <w:t>Vous pouvez demander à l’agent de vous aider à l’écrire, puis la modifier après usage. Une procédure jointe et appliquée explicitement est recevable ; indiquez simplement qu’il s’agit d’instructions jointes, plutôt que d’un skill installé. Gardez une trace des deux utilisations, au moment de votre choix.</w:t>
      </w:r>
    </w:p>
    <w:p>
      <w:pPr>
        <w:pStyle w:val="Heading2"/>
      </w:pPr>
      <w:r>
        <w:t>Préparer la relève dans une autre conversation</w:t>
      </w:r>
    </w:p>
    <w:p>
      <w:r>
        <w:rPr>
          <w:b w:val="0"/>
        </w:rPr>
        <w:t>Demandez-vous ce qu’un collègue devrait connaître pour reprendre : mission, faits vérifiés, sources utiles, décisions déjà prises ou seulement proposées, incertitudes, travaux en cours et prochaine action. La passation peut être un texte, une note ou un autre support exploitable par votre outil.</w:t>
      </w:r>
    </w:p>
    <w:p>
      <w:r>
        <w:rPr>
          <w:b w:val="0"/>
        </w:rPr>
        <w:t>Transmettez les pièces nécessaires avec la passation. Vérifiez ensuite ce que la nouvelle conversation en a compris. Vous pouvez lui demander de restituer l’état du projet ou lui confier directement une action dont le résultat révèle si le contexte a été correctement repris.</w:t>
      </w:r>
    </w:p>
    <w:p>
      <w:pPr>
        <w:pStyle w:val="Heading2"/>
      </w:pPr>
      <w:r>
        <w:t>Choisir un contrôle qui apporte quelque chose</w:t>
      </w:r>
    </w:p>
    <w:p>
      <w:r>
        <w:rPr>
          <w:b w:val="0"/>
        </w:rPr>
        <w:t>Une vérification utile porte sur un point précis : cohérence d’un calcul, existence d’une décision citée, dépendance de planning, condition d’une économie ou concordance entre deux supports. Dire « revérifie tout » sans examiner la réponse laisse peu de preuves au jury.</w:t>
      </w:r>
    </w:p>
    <w:p>
      <w:r>
        <w:rPr>
          <w:b w:val="0"/>
        </w:rPr>
        <w:t>Conservez le résultat du contrôle. S’il confirme un calcul juste, c’est une preuve recevable ; il n’est pas nécessaire de trouver une erreur. S’il révèle un défaut, montrez ce que vous avez corrigé et où.</w:t>
      </w:r>
    </w:p>
    <w:p>
      <w:pPr>
        <w:pStyle w:val="Heading2"/>
      </w:pPr>
      <w:r>
        <w:t>Choisir vos outils</w:t>
      </w:r>
    </w:p>
    <w:p>
      <w:r>
        <w:rPr>
          <w:b w:val="0"/>
        </w:rPr>
        <w:t>Utilisez les outils disponibles s’ils servent votre mission. Un plugin ou un MCP reste facultatif. Une lecture de fichier joint n’est pas un appel à un service connecté ; décrivez votre travail tel qu’il a été réalisé. Aucun message à un partenaire réel ni engagement réel ne fait partie de l’exercice.</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PARTICIPANTS  |  AIDES FACULTATIVES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 appuis si vous en avez besoin</dc:title>
  <dc:subject>Le COPIL est dans 90 minutes</dc:subject>
  <dc:creator>Formation gestion de projet et IA</dc:creator>
  <cp:keywords/>
  <dc:description>generated by python-docx</dc:description>
  <cp:lastModifiedBy/>
  <cp:revision>1</cp:revision>
  <dcterms:created xsi:type="dcterms:W3CDTF">2013-12-23T23:15:00Z</dcterms:created>
  <dcterms:modified xsi:type="dcterms:W3CDTF">2013-12-23T23:15:00Z</dcterms:modified>
  <cp:category/>
</cp:coreProperties>
</file>