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t xml:space="preserve"/>
      </w:r>
    </w:p>
    <w:p>
      <w:pPr>
        <w:spacing w:after="80"/>
      </w:pPr>
      <w:r>
        <w:rPr>
          <w:rFonts w:ascii="Arial" w:cs="Arial" w:eastAsia="Arial" w:hAnsi="Arial"/>
          <w:b/>
          <w:bCs/>
          <w:color w:val="D97706"/>
          <w:sz w:val="64"/>
          <w:szCs w:val="64"/>
        </w:rPr>
        <w:t xml:space="preserve">Fleek Constructions</w:t>
      </w:r>
    </w:p>
    <w:p>
      <w:pPr>
        <w:spacing w:after="200"/>
      </w:pPr>
      <w:r>
        <w:rPr>
          <w:rFonts w:ascii="Arial" w:cs="Arial" w:eastAsia="Arial" w:hAnsi="Arial"/>
          <w:b/>
          <w:bCs/>
          <w:color w:val="1F3864"/>
          <w:sz w:val="44"/>
          <w:szCs w:val="44"/>
        </w:rPr>
        <w:t xml:space="preserve">ITP QA Scoring Guidelines</w:t>
      </w:r>
    </w:p>
    <w:p>
      <w:pPr>
        <w:spacing w:after="600"/>
      </w:pPr>
      <w:r>
        <w:rPr>
          <w:rFonts w:ascii="Arial" w:cs="Arial" w:eastAsia="Arial" w:hAnsi="Arial"/>
          <w:i/>
          <w:iCs/>
          <w:color w:val="6B7280"/>
          <w:sz w:val="23"/>
          <w:szCs w:val="23"/>
        </w:rPr>
        <w:t xml:space="preserve">A reference framework for evaluating the completeness and defensibility of Inspection and Test Plan packages. Used by the Fleek Constructions ITP QA Reviewer tool and available as a standalone reference for QA managers.</w:t>
      </w:r>
    </w:p>
    <w:p>
      <w:pPr>
        <w:pBdr>
          <w:bottom w:val="single" w:color="D97706" w:sz="12" w:space="1"/>
        </w:pBdr>
        <w:spacing w:after="480"/>
      </w:pPr>
    </w:p>
    <w:p>
      <w:pPr>
        <w:spacing w:after="120"/>
      </w:pPr>
      <w:r>
        <w:rPr>
          <w:rFonts w:ascii="Arial" w:cs="Arial" w:eastAsia="Arial" w:hAnsi="Arial"/>
          <w:b/>
          <w:bCs/>
          <w:color w:val="1F3864"/>
          <w:sz w:val="22"/>
          <w:szCs w:val="22"/>
        </w:rPr>
        <w:t xml:space="preserve">Version 1.0</w:t>
      </w:r>
      <w:r>
        <w:rPr>
          <w:rFonts w:ascii="Arial" w:cs="Arial" w:eastAsia="Arial" w:hAnsi="Arial"/>
          <w:color w:val="9CA3AF"/>
          <w:sz w:val="22"/>
          <w:szCs w:val="22"/>
        </w:rPr>
        <w:t xml:space="preserve">   —   April 2026</w:t>
      </w:r>
    </w:p>
    <w:p>
      <w:r>
        <w:br w:type="page"/>
      </w:r>
    </w:p>
    <w:p>
      <w:pPr>
        <w:pStyle w:val="Heading1"/>
      </w:pPr>
      <w:r>
        <w:rPr>
          <w:rFonts w:ascii="Arial" w:cs="Arial" w:eastAsia="Arial" w:hAnsi="Arial"/>
          <w:b/>
          <w:bCs/>
          <w:color w:val="1F3864"/>
          <w:sz w:val="34"/>
          <w:szCs w:val="34"/>
        </w:rPr>
        <w:t xml:space="preserve">1.  Purpose &amp; Scope</w:t>
      </w:r>
    </w:p>
    <w:p>
      <w:pPr>
        <w:spacing w:after="160"/>
      </w:pPr>
      <w:r>
        <w:rPr>
          <w:rFonts w:ascii="Arial" w:cs="Arial" w:eastAsia="Arial" w:hAnsi="Arial"/>
          <w:color w:val="4B5563"/>
          <w:sz w:val="22"/>
          <w:szCs w:val="22"/>
        </w:rPr>
        <w:t xml:space="preserve">This document defines the scoring framework used by the Fleek Constructions ITP QA Reviewer. It serves two purposes: as the logic reference for the automated scoring system, and as a standalone guide for QA managers reviewing ITP packages manually.</w:t>
      </w:r>
    </w:p>
    <w:p>
      <w:pPr>
        <w:spacing w:after="160"/>
      </w:pPr>
      <w:r>
        <w:rPr>
          <w:rFonts w:ascii="Arial" w:cs="Arial" w:eastAsia="Arial" w:hAnsi="Arial"/>
          <w:color w:val="4B5563"/>
          <w:sz w:val="22"/>
          <w:szCs w:val="22"/>
        </w:rPr>
        <w:t xml:space="preserve">The framework is built on a core principle:</w:t>
      </w:r>
    </w:p>
    <w:p>
      <w:pPr>
        <w:pBdr>
          <w:left w:val="single" w:color="D97706" w:sz="12" w:space="8"/>
        </w:pBdr>
        <w:spacing w:after="160" w:before="80"/>
        <w:ind w:left="640"/>
      </w:pPr>
      <w:r>
        <w:rPr>
          <w:rFonts w:ascii="Arial" w:cs="Arial" w:eastAsia="Arial" w:hAnsi="Arial"/>
          <w:i/>
          <w:iCs/>
          <w:color w:val="374151"/>
          <w:sz w:val="22"/>
          <w:szCs w:val="22"/>
        </w:rPr>
        <w:t xml:space="preserve">Evidence quality matters more than process compliance. A partially completed ITP form with strong attached evidence is a more defensible document than a fully ticked ITP with no supporting documentation.</w:t>
      </w:r>
    </w:p>
    <w:p>
      <w:pPr>
        <w:spacing w:after="160"/>
      </w:pPr>
      <w:r>
        <w:rPr>
          <w:rFonts w:ascii="Arial" w:cs="Arial" w:eastAsia="Arial" w:hAnsi="Arial"/>
          <w:color w:val="4B5563"/>
          <w:sz w:val="22"/>
          <w:szCs w:val="22"/>
        </w:rPr>
        <w:t xml:space="preserve">Scoring is not about penalising site managers for imperfect paperwork. It is about identifying whether there is sufficient evidence to defend the quality of the work if challenged in a commercial or legal dispute.</w:t>
      </w:r>
    </w:p>
    <w:p>
      <w:pPr>
        <w:spacing w:after="200"/>
      </w:pPr>
      <w:r>
        <w:t xml:space="preserve"/>
      </w:r>
    </w:p>
    <w:p>
      <w:pPr>
        <w:pStyle w:val="Heading1"/>
      </w:pPr>
      <w:r>
        <w:rPr>
          <w:rFonts w:ascii="Arial" w:cs="Arial" w:eastAsia="Arial" w:hAnsi="Arial"/>
          <w:b/>
          <w:bCs/>
          <w:color w:val="1F3864"/>
          <w:sz w:val="34"/>
          <w:szCs w:val="34"/>
        </w:rPr>
        <w:t xml:space="preserve">2.  ITP Tier Classification</w:t>
      </w:r>
    </w:p>
    <w:p>
      <w:pPr>
        <w:spacing w:after="160"/>
      </w:pPr>
      <w:r>
        <w:rPr>
          <w:rFonts w:ascii="Arial" w:cs="Arial" w:eastAsia="Arial" w:hAnsi="Arial"/>
          <w:color w:val="4B5563"/>
          <w:sz w:val="22"/>
          <w:szCs w:val="22"/>
        </w:rPr>
        <w:t xml:space="preserve">Every ITP is assigned to one of three tiers based on the nature and risk profile of the work. The tier determines which scoring dimensions apply and how much weight each carries.</w:t>
      </w:r>
    </w:p>
    <w:p>
      <w:pPr>
        <w:spacing w:after="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100"/>
        <w:gridCol w:w="3500"/>
        <w:gridCol w:w="3472"/>
      </w:tblGrid>
      <w:tr>
        <w:tc>
          <w:tcPr>
            <w:tcW w:type="dxa" w:w="2100"/>
            <w:tcBorders>
              <w:top w:val="single" w:color="D1D5DB" w:sz="1"/>
              <w:left w:val="single" w:color="D1D5DB" w:sz="1"/>
              <w:bottom w:val="single" w:color="D1D5DB" w:sz="1"/>
              <w:right w:val="single" w:color="D1D5DB" w:sz="1"/>
            </w:tcBorders>
            <w:shd w:fill="1F3864"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FFFFFF"/>
                <w:sz w:val="20"/>
                <w:szCs w:val="20"/>
              </w:rPr>
              <w:t xml:space="preserve">Tier</w:t>
            </w:r>
          </w:p>
        </w:tc>
        <w:tc>
          <w:tcPr>
            <w:tcW w:type="dxa" w:w="3500"/>
            <w:tcBorders>
              <w:top w:val="single" w:color="D1D5DB" w:sz="1"/>
              <w:left w:val="single" w:color="D1D5DB" w:sz="1"/>
              <w:bottom w:val="single" w:color="D1D5DB" w:sz="1"/>
              <w:right w:val="single" w:color="D1D5DB" w:sz="1"/>
            </w:tcBorders>
            <w:shd w:fill="1F3864"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FFFFFF"/>
                <w:sz w:val="20"/>
                <w:szCs w:val="20"/>
              </w:rPr>
              <w:t xml:space="preserve">Work Types</w:t>
            </w:r>
          </w:p>
        </w:tc>
        <w:tc>
          <w:tcPr>
            <w:tcW w:type="dxa" w:w="3472"/>
            <w:tcBorders>
              <w:top w:val="single" w:color="D1D5DB" w:sz="1"/>
              <w:left w:val="single" w:color="D1D5DB" w:sz="1"/>
              <w:bottom w:val="single" w:color="D1D5DB" w:sz="1"/>
              <w:right w:val="single" w:color="D1D5DB" w:sz="1"/>
            </w:tcBorders>
            <w:shd w:fill="1F3864"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FFFFFF"/>
                <w:sz w:val="20"/>
                <w:szCs w:val="20"/>
              </w:rPr>
              <w:t xml:space="preserve">Risk Profile</w:t>
            </w:r>
          </w:p>
        </w:tc>
      </w:tr>
      <w:tr>
        <w:tc>
          <w:tcPr>
            <w:tcW w:type="dxa" w:w="210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991B1B"/>
                <w:sz w:val="20"/>
                <w:szCs w:val="20"/>
              </w:rPr>
              <w:t xml:space="preserve">Tier 1
Structural</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2937"/>
                <w:sz w:val="20"/>
                <w:szCs w:val="20"/>
              </w:rPr>
              <w:t xml:space="preserve">Concrete pours (all types), reinforcement, post-tensioning, structural steel, piling, footings, suspended slabs, connection welds</w:t>
            </w:r>
          </w:p>
        </w:tc>
        <w:tc>
          <w:tcPr>
            <w:tcW w:type="dxa" w:w="34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4B5563"/>
                <w:sz w:val="20"/>
                <w:szCs w:val="20"/>
              </w:rPr>
              <w:t xml:space="preserve">Highest risk. Failure has structural, safety, and major financial consequences. Independent technical verification is essential.</w:t>
            </w:r>
          </w:p>
        </w:tc>
      </w:tr>
      <w:tr>
        <w:tc>
          <w:tcPr>
            <w:tcW w:type="dxa" w:w="210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166534"/>
                <w:sz w:val="20"/>
                <w:szCs w:val="20"/>
              </w:rPr>
              <w:t xml:space="preserve">Tier 2
Waterproofing</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2937"/>
                <w:sz w:val="20"/>
                <w:szCs w:val="20"/>
              </w:rPr>
              <w:t xml:space="preserve">Wet area waterproofing, below-slab membranes, roof waterproofing, external walls, balconies, planter boxes</w:t>
            </w:r>
          </w:p>
        </w:tc>
        <w:tc>
          <w:tcPr>
            <w:tcW w:type="dxa" w:w="34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4B5563"/>
                <w:sz w:val="20"/>
                <w:szCs w:val="20"/>
              </w:rPr>
              <w:t xml:space="preserve">High risk. Defects are concealed and expensive to rectify. Test evidence and independent sign-off are critical.</w:t>
            </w:r>
          </w:p>
        </w:tc>
      </w:tr>
      <w:tr>
        <w:tc>
          <w:tcPr>
            <w:tcW w:type="dxa" w:w="21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1D4ED8"/>
                <w:sz w:val="20"/>
                <w:szCs w:val="20"/>
              </w:rPr>
              <w:t xml:space="preserve">Tier 3
Standard</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2937"/>
                <w:sz w:val="20"/>
                <w:szCs w:val="20"/>
              </w:rPr>
              <w:t xml:space="preserve">Tiling, painting, floor finishes, plasterboard, pre-sheet inspections, door frames, joinery, minor civil works</w:t>
            </w:r>
          </w:p>
        </w:tc>
        <w:tc>
          <w:tcPr>
            <w:tcW w:type="dxa" w:w="34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4B5563"/>
                <w:sz w:val="20"/>
                <w:szCs w:val="20"/>
              </w:rPr>
              <w:t xml:space="preserve">Standard risk. ITP form completeness and site manager diligence are the primary indicators. Technical certification rarely required.</w:t>
            </w:r>
          </w:p>
        </w:tc>
      </w:tr>
    </w:tbl>
    <w:p>
      <w:pPr>
        <w:spacing w:after="160"/>
      </w:pPr>
      <w:r>
        <w:t xml:space="preserve"/>
      </w:r>
    </w:p>
    <w:p>
      <w:pPr>
        <w:spacing w:after="160"/>
      </w:pPr>
      <w:r>
        <w:rPr>
          <w:rFonts w:ascii="Arial" w:cs="Arial" w:eastAsia="Arial" w:hAnsi="Arial"/>
          <w:color w:val="4B5563"/>
          <w:sz w:val="22"/>
          <w:szCs w:val="22"/>
        </w:rPr>
        <w:t xml:space="preserve">Where a work type does not clearly fit a tier, assess the consequence of failure: will a defect be costly or unsafe to rectify after concealment? Higher consequence → higher tier.</w:t>
      </w:r>
    </w:p>
    <w:p>
      <w:pPr>
        <w:spacing w:after="200"/>
      </w:pPr>
      <w:r>
        <w:t xml:space="preserve"/>
      </w:r>
    </w:p>
    <w:p>
      <w:pPr>
        <w:pStyle w:val="Heading1"/>
      </w:pPr>
      <w:r>
        <w:rPr>
          <w:rFonts w:ascii="Arial" w:cs="Arial" w:eastAsia="Arial" w:hAnsi="Arial"/>
          <w:b/>
          <w:bCs/>
          <w:color w:val="1F3864"/>
          <w:sz w:val="34"/>
          <w:szCs w:val="34"/>
        </w:rPr>
        <w:t xml:space="preserve">3.  Scoring Framework</w:t>
      </w:r>
    </w:p>
    <w:p>
      <w:pPr>
        <w:spacing w:after="160"/>
      </w:pPr>
      <w:r>
        <w:rPr>
          <w:rFonts w:ascii="Arial" w:cs="Arial" w:eastAsia="Arial" w:hAnsi="Arial"/>
          <w:color w:val="4B5563"/>
          <w:sz w:val="22"/>
          <w:szCs w:val="22"/>
        </w:rPr>
        <w:t xml:space="preserve">The score is calculated across five dimensions. Dimensions that genuinely do not apply to the specific work scope are excluded (N/A) and the score is calculated out of the remaining applicable points only.</w:t>
      </w:r>
    </w:p>
    <w:p>
      <w:pPr>
        <w:spacing w:after="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1200"/>
        <w:gridCol w:w="1100"/>
        <w:gridCol w:w="2672"/>
      </w:tblGrid>
      <w:tr>
        <w:tc>
          <w:tcPr>
            <w:tcW w:type="dxa" w:w="3000"/>
            <w:tcBorders>
              <w:top w:val="single" w:color="D1D5DB" w:sz="1"/>
              <w:left w:val="single" w:color="D1D5DB" w:sz="1"/>
              <w:bottom w:val="single" w:color="D1D5DB" w:sz="1"/>
              <w:right w:val="single" w:color="D1D5DB" w:sz="1"/>
            </w:tcBorders>
            <w:shd w:fill="1F3864"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FFFFFF"/>
                <w:sz w:val="20"/>
                <w:szCs w:val="20"/>
              </w:rPr>
              <w:t xml:space="preserve">Scoring Dimension</w:t>
            </w:r>
          </w:p>
        </w:tc>
        <w:tc>
          <w:tcPr>
            <w:tcW w:type="dxa" w:w="1100"/>
            <w:tcBorders>
              <w:top w:val="single" w:color="D1D5DB" w:sz="1"/>
              <w:left w:val="single" w:color="D1D5DB" w:sz="1"/>
              <w:bottom w:val="single" w:color="D1D5DB" w:sz="1"/>
              <w:right w:val="single" w:color="D1D5DB" w:sz="1"/>
            </w:tcBorders>
            <w:shd w:fill="1F3864"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FFFFFF"/>
                <w:sz w:val="20"/>
                <w:szCs w:val="20"/>
              </w:rPr>
              <w:t xml:space="preserve">Tier 1</w:t>
            </w:r>
          </w:p>
        </w:tc>
        <w:tc>
          <w:tcPr>
            <w:tcW w:type="dxa" w:w="1200"/>
            <w:tcBorders>
              <w:top w:val="single" w:color="D1D5DB" w:sz="1"/>
              <w:left w:val="single" w:color="D1D5DB" w:sz="1"/>
              <w:bottom w:val="single" w:color="D1D5DB" w:sz="1"/>
              <w:right w:val="single" w:color="D1D5DB" w:sz="1"/>
            </w:tcBorders>
            <w:shd w:fill="1F3864"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FFFFFF"/>
                <w:sz w:val="20"/>
                <w:szCs w:val="20"/>
              </w:rPr>
              <w:t xml:space="preserve">Tier 2</w:t>
            </w:r>
          </w:p>
        </w:tc>
        <w:tc>
          <w:tcPr>
            <w:tcW w:type="dxa" w:w="1100"/>
            <w:tcBorders>
              <w:top w:val="single" w:color="D1D5DB" w:sz="1"/>
              <w:left w:val="single" w:color="D1D5DB" w:sz="1"/>
              <w:bottom w:val="single" w:color="D1D5DB" w:sz="1"/>
              <w:right w:val="single" w:color="D1D5DB" w:sz="1"/>
            </w:tcBorders>
            <w:shd w:fill="1F3864"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FFFFFF"/>
                <w:sz w:val="20"/>
                <w:szCs w:val="20"/>
              </w:rPr>
              <w:t xml:space="preserve">Tier 3</w:t>
            </w:r>
          </w:p>
        </w:tc>
        <w:tc>
          <w:tcPr>
            <w:tcW w:type="dxa" w:w="2672"/>
            <w:tcBorders>
              <w:top w:val="single" w:color="D1D5DB" w:sz="1"/>
              <w:left w:val="single" w:color="D1D5DB" w:sz="1"/>
              <w:bottom w:val="single" w:color="D1D5DB" w:sz="1"/>
              <w:right w:val="single" w:color="D1D5DB" w:sz="1"/>
            </w:tcBorders>
            <w:shd w:fill="1F3864"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FFFFFF"/>
                <w:sz w:val="20"/>
                <w:szCs w:val="20"/>
              </w:rPr>
              <w:t xml:space="preserve">Satisfied by</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2937"/>
                <w:sz w:val="20"/>
                <w:szCs w:val="20"/>
              </w:rPr>
              <w:t xml:space="preserve">Engineer &amp; inspector verification</w:t>
            </w:r>
          </w:p>
        </w:tc>
        <w:tc>
          <w:tcPr>
            <w:tcW w:type="dxa" w:w="11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1F3864"/>
                <w:sz w:val="20"/>
                <w:szCs w:val="20"/>
              </w:rPr>
              <w:t xml:space="preserve">35 pts</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1F3864"/>
                <w:sz w:val="20"/>
                <w:szCs w:val="20"/>
              </w:rPr>
              <w:t xml:space="preserve">30 pts</w:t>
            </w:r>
          </w:p>
        </w:tc>
        <w:tc>
          <w:tcPr>
            <w:tcW w:type="dxa" w:w="11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1F3864"/>
                <w:sz w:val="20"/>
                <w:szCs w:val="20"/>
              </w:rPr>
              <w:t xml:space="preserve">20 pts</w:t>
            </w:r>
          </w:p>
        </w:tc>
        <w:tc>
          <w:tcPr>
            <w:tcW w:type="dxa" w:w="26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4B5563"/>
                <w:sz w:val="20"/>
                <w:szCs w:val="20"/>
              </w:rPr>
              <w:t xml:space="preserve">Signed engineer cert, inspector sign-off, superintendent approval, signed hold points — any qualified person's documented verification</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2937"/>
                <w:sz w:val="20"/>
                <w:szCs w:val="20"/>
              </w:rPr>
              <w:t xml:space="preserve">Technical testing evidence</w:t>
            </w:r>
          </w:p>
        </w:tc>
        <w:tc>
          <w:tcPr>
            <w:tcW w:type="dxa" w:w="11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1F3864"/>
                <w:sz w:val="20"/>
                <w:szCs w:val="20"/>
              </w:rPr>
              <w:t xml:space="preserve">25 pts</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1F3864"/>
                <w:sz w:val="20"/>
                <w:szCs w:val="20"/>
              </w:rPr>
              <w:t xml:space="preserve">30 pts</w:t>
            </w:r>
          </w:p>
        </w:tc>
        <w:tc>
          <w:tcPr>
            <w:tcW w:type="dxa" w:w="11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1F3864"/>
                <w:sz w:val="20"/>
                <w:szCs w:val="20"/>
              </w:rPr>
              <w:t xml:space="preserve">10 pts</w:t>
            </w:r>
          </w:p>
        </w:tc>
        <w:tc>
          <w:tcPr>
            <w:tcW w:type="dxa" w:w="2672"/>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4B5563"/>
                <w:sz w:val="20"/>
                <w:szCs w:val="20"/>
              </w:rPr>
              <w:t xml:space="preserve">Concrete delivery dockets + cylinder tests, flood test results, PT stressing records, geotech reports, NDT/weld certs — as applicable to work scope</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2937"/>
                <w:sz w:val="20"/>
                <w:szCs w:val="20"/>
              </w:rPr>
              <w:t xml:space="preserve">ITP form + subcontractor ITP completeness</w:t>
            </w:r>
          </w:p>
        </w:tc>
        <w:tc>
          <w:tcPr>
            <w:tcW w:type="dxa" w:w="11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1F3864"/>
                <w:sz w:val="20"/>
                <w:szCs w:val="20"/>
              </w:rPr>
              <w:t xml:space="preserve">25 pts</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1F3864"/>
                <w:sz w:val="20"/>
                <w:szCs w:val="20"/>
              </w:rPr>
              <w:t xml:space="preserve">25 pts</w:t>
            </w:r>
          </w:p>
        </w:tc>
        <w:tc>
          <w:tcPr>
            <w:tcW w:type="dxa" w:w="11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1F3864"/>
                <w:sz w:val="20"/>
                <w:szCs w:val="20"/>
              </w:rPr>
              <w:t xml:space="preserve">45 pts</w:t>
            </w:r>
          </w:p>
        </w:tc>
        <w:tc>
          <w:tcPr>
            <w:tcW w:type="dxa" w:w="26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4B5563"/>
                <w:sz w:val="20"/>
                <w:szCs w:val="20"/>
              </w:rPr>
              <w:t xml:space="preserve">Main ITP submitted and responded to; subcontractor ITP present and closed/signed</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2937"/>
                <w:sz w:val="20"/>
                <w:szCs w:val="20"/>
              </w:rPr>
              <w:t xml:space="preserve">Material traceability</w:t>
            </w:r>
          </w:p>
        </w:tc>
        <w:tc>
          <w:tcPr>
            <w:tcW w:type="dxa" w:w="11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1F3864"/>
                <w:sz w:val="20"/>
                <w:szCs w:val="20"/>
              </w:rPr>
              <w:t xml:space="preserve">10 pts</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1F3864"/>
                <w:sz w:val="20"/>
                <w:szCs w:val="20"/>
              </w:rPr>
              <w:t xml:space="preserve">5 pts</w:t>
            </w:r>
          </w:p>
        </w:tc>
        <w:tc>
          <w:tcPr>
            <w:tcW w:type="dxa" w:w="11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1F3864"/>
                <w:sz w:val="20"/>
                <w:szCs w:val="20"/>
              </w:rPr>
              <w:t xml:space="preserve">15 pts</w:t>
            </w:r>
          </w:p>
        </w:tc>
        <w:tc>
          <w:tcPr>
            <w:tcW w:type="dxa" w:w="2672"/>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4B5563"/>
                <w:sz w:val="20"/>
                <w:szCs w:val="20"/>
              </w:rPr>
              <w:t xml:space="preserve">Reinforcement/material delivery schedules and dockets — partially overridden when engineer inspection is present</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2937"/>
                <w:sz w:val="20"/>
                <w:szCs w:val="20"/>
              </w:rPr>
              <w:t xml:space="preserve">Physical evidence record</w:t>
            </w:r>
          </w:p>
        </w:tc>
        <w:tc>
          <w:tcPr>
            <w:tcW w:type="dxa" w:w="11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1F3864"/>
                <w:sz w:val="20"/>
                <w:szCs w:val="20"/>
              </w:rPr>
              <w:t xml:space="preserve">5 pts</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1F3864"/>
                <w:sz w:val="20"/>
                <w:szCs w:val="20"/>
              </w:rPr>
              <w:t xml:space="preserve">10 pts</w:t>
            </w:r>
          </w:p>
        </w:tc>
        <w:tc>
          <w:tcPr>
            <w:tcW w:type="dxa" w:w="11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1F3864"/>
                <w:sz w:val="20"/>
                <w:szCs w:val="20"/>
              </w:rPr>
              <w:t xml:space="preserve">10 pts</w:t>
            </w:r>
          </w:p>
        </w:tc>
        <w:tc>
          <w:tcPr>
            <w:tcW w:type="dxa" w:w="26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4B5563"/>
                <w:sz w:val="20"/>
                <w:szCs w:val="20"/>
              </w:rPr>
              <w:t xml:space="preserve">Pre-concealment photos and as-built surveys — demonstrates site manager diligence</w:t>
            </w:r>
          </w:p>
        </w:tc>
      </w:tr>
      <w:tr>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1F2937"/>
                <w:sz w:val="20"/>
                <w:szCs w:val="20"/>
              </w:rPr>
              <w:t xml:space="preserve">TOTAL</w:t>
            </w:r>
          </w:p>
        </w:tc>
        <w:tc>
          <w:tcPr>
            <w:tcW w:type="dxa" w:w="11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1F3864"/>
                <w:sz w:val="20"/>
                <w:szCs w:val="20"/>
              </w:rPr>
              <w:t xml:space="preserve">100 pts</w:t>
            </w:r>
          </w:p>
        </w:tc>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1F3864"/>
                <w:sz w:val="20"/>
                <w:szCs w:val="20"/>
              </w:rPr>
              <w:t xml:space="preserve">100 pts</w:t>
            </w:r>
          </w:p>
        </w:tc>
        <w:tc>
          <w:tcPr>
            <w:tcW w:type="dxa" w:w="11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1F3864"/>
                <w:sz w:val="20"/>
                <w:szCs w:val="20"/>
              </w:rPr>
              <w:t xml:space="preserve">100 pts</w:t>
            </w:r>
          </w:p>
        </w:tc>
        <w:tc>
          <w:tcPr>
            <w:tcW w:type="dxa" w:w="2672"/>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2937"/>
                <w:sz w:val="20"/>
                <w:szCs w:val="20"/>
              </w:rPr>
              <w:t xml:space="preserve"/>
            </w:r>
          </w:p>
        </w:tc>
      </w:tr>
    </w:tbl>
    <w:p>
      <w:pPr>
        <w:spacing w:after="160"/>
      </w:pPr>
      <w:r>
        <w:t xml:space="preserve"/>
      </w:r>
    </w:p>
    <w:p>
      <w:pPr>
        <w:spacing w:after="160"/>
        <w:ind w:left="0"/>
      </w:pPr>
      <w:r>
        <w:rPr>
          <w:rFonts w:ascii="Arial" w:cs="Arial" w:eastAsia="Arial" w:hAnsi="Arial"/>
          <w:b/>
          <w:bCs/>
          <w:color w:val="991B1B"/>
          <w:sz w:val="22"/>
          <w:szCs w:val="22"/>
        </w:rPr>
        <w:t xml:space="preserve">Important: </w:t>
      </w:r>
      <w:r>
        <w:rPr>
          <w:rFonts w:ascii="Arial" w:cs="Arial" w:eastAsia="Arial" w:hAnsi="Arial"/>
          <w:color w:val="4B5563"/>
          <w:sz w:val="22"/>
          <w:szCs w:val="22"/>
        </w:rPr>
        <w:t xml:space="preserve">Where a dimension is not applicable (e.g. no PT stressing for a conventional slab), it is excluded and the final score is calculated out of the remaining applicable points. An absent dimension scores N/A, never zero, unless the work scope clearly required it.</w:t>
      </w:r>
    </w:p>
    <w:p>
      <w:pPr>
        <w:spacing w:after="200"/>
      </w:pPr>
      <w:r>
        <w:t xml:space="preserve"/>
      </w:r>
    </w:p>
    <w:p>
      <w:pPr>
        <w:pStyle w:val="Heading1"/>
      </w:pPr>
      <w:r>
        <w:rPr>
          <w:rFonts w:ascii="Arial" w:cs="Arial" w:eastAsia="Arial" w:hAnsi="Arial"/>
          <w:b/>
          <w:bCs/>
          <w:color w:val="1F3864"/>
          <w:sz w:val="34"/>
          <w:szCs w:val="34"/>
        </w:rPr>
        <w:t xml:space="preserve">4.  Document Type Classification</w:t>
      </w:r>
    </w:p>
    <w:p>
      <w:pPr>
        <w:spacing w:after="160"/>
      </w:pPr>
      <w:r>
        <w:rPr>
          <w:rFonts w:ascii="Arial" w:cs="Arial" w:eastAsia="Arial" w:hAnsi="Arial"/>
          <w:color w:val="4B5563"/>
          <w:sz w:val="22"/>
          <w:szCs w:val="22"/>
        </w:rPr>
        <w:t xml:space="preserve">The table below classifies all common document types found in ITP packages and defines how much weight each carries in the scoring assessment.</w:t>
      </w:r>
    </w:p>
    <w:p>
      <w:pPr>
        <w:spacing w:after="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0"/>
        <w:gridCol w:w="1350"/>
        <w:gridCol w:w="4722"/>
      </w:tblGrid>
      <w:tr>
        <w:tc>
          <w:tcPr>
            <w:tcW w:type="dxa" w:w="3000"/>
            <w:tcBorders>
              <w:top w:val="single" w:color="D1D5DB" w:sz="1"/>
              <w:left w:val="single" w:color="D1D5DB" w:sz="1"/>
              <w:bottom w:val="single" w:color="D1D5DB" w:sz="1"/>
              <w:right w:val="single" w:color="D1D5DB" w:sz="1"/>
            </w:tcBorders>
            <w:shd w:fill="1F3864"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FFFFFF"/>
                <w:sz w:val="20"/>
                <w:szCs w:val="20"/>
              </w:rPr>
              <w:t xml:space="preserve">Document Type</w:t>
            </w:r>
          </w:p>
        </w:tc>
        <w:tc>
          <w:tcPr>
            <w:tcW w:type="dxa" w:w="1350"/>
            <w:tcBorders>
              <w:top w:val="single" w:color="D1D5DB" w:sz="1"/>
              <w:left w:val="single" w:color="D1D5DB" w:sz="1"/>
              <w:bottom w:val="single" w:color="D1D5DB" w:sz="1"/>
              <w:right w:val="single" w:color="D1D5DB" w:sz="1"/>
            </w:tcBorders>
            <w:shd w:fill="1F3864"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FFFFFF"/>
                <w:sz w:val="20"/>
                <w:szCs w:val="20"/>
              </w:rPr>
              <w:t xml:space="preserve">Scoring Value</w:t>
            </w:r>
          </w:p>
        </w:tc>
        <w:tc>
          <w:tcPr>
            <w:tcW w:type="dxa" w:w="4722"/>
            <w:tcBorders>
              <w:top w:val="single" w:color="D1D5DB" w:sz="1"/>
              <w:left w:val="single" w:color="D1D5DB" w:sz="1"/>
              <w:bottom w:val="single" w:color="D1D5DB" w:sz="1"/>
              <w:right w:val="single" w:color="D1D5DB" w:sz="1"/>
            </w:tcBorders>
            <w:shd w:fill="1F3864"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FFFFFF"/>
                <w:sz w:val="20"/>
                <w:szCs w:val="20"/>
              </w:rPr>
              <w:t xml:space="preserve">Notes</w:t>
            </w:r>
          </w:p>
        </w:tc>
      </w:tr>
      <w:tr>
        <w:tc>
          <w:tcPr>
            <w:tcW w:type="dxa" w:w="300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065F46"/>
                <w:sz w:val="20"/>
                <w:szCs w:val="20"/>
              </w:rPr>
              <w:t xml:space="preserve">HIGH VALUE EVIDENCE</w:t>
            </w:r>
          </w:p>
        </w:tc>
        <w:tc>
          <w:tcPr>
            <w:tcW w:type="dxa" w:w="135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2937"/>
                <w:sz w:val="20"/>
                <w:szCs w:val="20"/>
              </w:rPr>
              <w:t xml:space="preserve"/>
            </w:r>
          </w:p>
        </w:tc>
        <w:tc>
          <w:tcPr>
            <w:tcW w:type="dxa" w:w="4722"/>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2937"/>
                <w:sz w:val="20"/>
                <w:szCs w:val="20"/>
              </w:rPr>
              <w:t xml:space="preserve"/>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1F2937"/>
                <w:sz w:val="20"/>
                <w:szCs w:val="20"/>
              </w:rPr>
              <w:t xml:space="preserve">Engineer inspection certificate (signed)</w:t>
            </w:r>
          </w:p>
        </w:tc>
        <w:tc>
          <w:tcPr>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vAlign w:val="center"/>
          </w:tcPr>
          <w:p>
            <w:pPr>
              <w:spacing w:after="0"/>
              <w:jc w:val="center"/>
            </w:pPr>
            <w:r>
              <w:rPr>
                <w:rFonts w:ascii="Arial" w:cs="Arial" w:eastAsia="Arial" w:hAnsi="Arial"/>
                <w:b/>
                <w:bCs/>
                <w:color w:val="065F46"/>
                <w:sz w:val="19"/>
                <w:szCs w:val="19"/>
              </w:rPr>
              <w:t xml:space="preserve">High</w:t>
            </w:r>
          </w:p>
        </w:tc>
        <w:tc>
          <w:tcPr>
            <w:tcW w:type="dxa" w:w="472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4B5563"/>
                <w:sz w:val="20"/>
                <w:szCs w:val="20"/>
              </w:rPr>
              <w:t xml:space="preserve">Most important single document. Signed by a qualified engineer (CPEng, RPEQ or equivalent) confirming inspection was completed. The specific engineering discipline does not need to match the hold point text exactly — any qualified engineer's signed certification satisfies the requirement.</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1F2937"/>
                <w:sz w:val="20"/>
                <w:szCs w:val="20"/>
              </w:rPr>
              <w:t xml:space="preserve">Subcontractor ITP — closed and signed</w:t>
            </w:r>
          </w:p>
        </w:tc>
        <w:tc>
          <w:tcPr>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vAlign w:val="center"/>
          </w:tcPr>
          <w:p>
            <w:pPr>
              <w:spacing w:after="0"/>
              <w:jc w:val="center"/>
            </w:pPr>
            <w:r>
              <w:rPr>
                <w:rFonts w:ascii="Arial" w:cs="Arial" w:eastAsia="Arial" w:hAnsi="Arial"/>
                <w:b/>
                <w:bCs/>
                <w:color w:val="065F46"/>
                <w:sz w:val="19"/>
                <w:szCs w:val="19"/>
              </w:rPr>
              <w:t xml:space="preserve">High</w:t>
            </w:r>
          </w:p>
        </w:tc>
        <w:tc>
          <w:tcPr>
            <w:tcW w:type="dxa" w:w="472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4B5563"/>
                <w:sz w:val="20"/>
                <w:szCs w:val="20"/>
              </w:rPr>
              <w:t xml:space="preserve">A closed, countersigned subby ITP is strong verification evidence. An open-status subby ITP is a gap and should be flagged — the subcontractor has not formally signed off.</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1F2937"/>
                <w:sz w:val="20"/>
                <w:szCs w:val="20"/>
              </w:rPr>
              <w:t xml:space="preserve">Concrete delivery dockets</w:t>
            </w:r>
          </w:p>
        </w:tc>
        <w:tc>
          <w:tcPr>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vAlign w:val="center"/>
          </w:tcPr>
          <w:p>
            <w:pPr>
              <w:spacing w:after="0"/>
              <w:jc w:val="center"/>
            </w:pPr>
            <w:r>
              <w:rPr>
                <w:rFonts w:ascii="Arial" w:cs="Arial" w:eastAsia="Arial" w:hAnsi="Arial"/>
                <w:b/>
                <w:bCs/>
                <w:color w:val="065F46"/>
                <w:sz w:val="19"/>
                <w:szCs w:val="19"/>
              </w:rPr>
              <w:t xml:space="preserve">High</w:t>
            </w:r>
          </w:p>
        </w:tc>
        <w:tc>
          <w:tcPr>
            <w:tcW w:type="dxa" w:w="472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4B5563"/>
                <w:sz w:val="20"/>
                <w:szCs w:val="20"/>
              </w:rPr>
              <w:t xml:space="preserve">Required for all concrete ITPs. Confirms mix design, volume, truck number, batch plant, and delivery time. Without delivery dockets, the concrete compliance record cannot be verified.</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1F2937"/>
                <w:sz w:val="20"/>
                <w:szCs w:val="20"/>
              </w:rPr>
              <w:t xml:space="preserve">Cylinder break / compressive strength test results</w:t>
            </w:r>
          </w:p>
        </w:tc>
        <w:tc>
          <w:tcPr>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vAlign w:val="center"/>
          </w:tcPr>
          <w:p>
            <w:pPr>
              <w:spacing w:after="0"/>
              <w:jc w:val="center"/>
            </w:pPr>
            <w:r>
              <w:rPr>
                <w:rFonts w:ascii="Arial" w:cs="Arial" w:eastAsia="Arial" w:hAnsi="Arial"/>
                <w:b/>
                <w:bCs/>
                <w:color w:val="065F46"/>
                <w:sz w:val="19"/>
                <w:szCs w:val="19"/>
              </w:rPr>
              <w:t xml:space="preserve">High</w:t>
            </w:r>
          </w:p>
        </w:tc>
        <w:tc>
          <w:tcPr>
            <w:tcW w:type="dxa" w:w="472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4B5563"/>
                <w:sz w:val="20"/>
                <w:szCs w:val="20"/>
              </w:rPr>
              <w:t xml:space="preserve">NATA laboratory results confirming concrete compressive strength. Required for all structural concrete pours. Absence is a significant gap for structural work.</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1F2937"/>
                <w:sz w:val="20"/>
                <w:szCs w:val="20"/>
              </w:rPr>
              <w:t xml:space="preserve">Post-tensioning stressing records</w:t>
            </w:r>
          </w:p>
        </w:tc>
        <w:tc>
          <w:tcPr>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vAlign w:val="center"/>
          </w:tcPr>
          <w:p>
            <w:pPr>
              <w:spacing w:after="0"/>
              <w:jc w:val="center"/>
            </w:pPr>
            <w:r>
              <w:rPr>
                <w:rFonts w:ascii="Arial" w:cs="Arial" w:eastAsia="Arial" w:hAnsi="Arial"/>
                <w:b/>
                <w:bCs/>
                <w:color w:val="065F46"/>
                <w:sz w:val="19"/>
                <w:szCs w:val="19"/>
              </w:rPr>
              <w:t xml:space="preserve">High</w:t>
            </w:r>
          </w:p>
        </w:tc>
        <w:tc>
          <w:tcPr>
            <w:tcW w:type="dxa" w:w="472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4B5563"/>
                <w:sz w:val="20"/>
                <w:szCs w:val="20"/>
              </w:rPr>
              <w:t xml:space="preserve">Required for PT slabs and PT elements only. Confirms that stressing was completed to the specified load. Not applicable to conventional reinforced concrete.</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1F2937"/>
                <w:sz w:val="20"/>
                <w:szCs w:val="20"/>
              </w:rPr>
              <w:t xml:space="preserve">Waterproofing test results / flood test evidence</w:t>
            </w:r>
          </w:p>
        </w:tc>
        <w:tc>
          <w:tcPr>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vAlign w:val="center"/>
          </w:tcPr>
          <w:p>
            <w:pPr>
              <w:spacing w:after="0"/>
              <w:jc w:val="center"/>
            </w:pPr>
            <w:r>
              <w:rPr>
                <w:rFonts w:ascii="Arial" w:cs="Arial" w:eastAsia="Arial" w:hAnsi="Arial"/>
                <w:b/>
                <w:bCs/>
                <w:color w:val="065F46"/>
                <w:sz w:val="19"/>
                <w:szCs w:val="19"/>
              </w:rPr>
              <w:t xml:space="preserve">High</w:t>
            </w:r>
          </w:p>
        </w:tc>
        <w:tc>
          <w:tcPr>
            <w:tcW w:type="dxa" w:w="472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4B5563"/>
                <w:sz w:val="20"/>
                <w:szCs w:val="20"/>
              </w:rPr>
              <w:t xml:space="preserve">Required for all waterproofing ITPs. Acceptable even when the evidence is a ticked checkbox and a site photo — this is common practice and should not be penalised for lack of a formal written report.</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1F2937"/>
                <w:sz w:val="20"/>
                <w:szCs w:val="20"/>
              </w:rPr>
              <w:t xml:space="preserve">Geotechnical reports</w:t>
            </w:r>
          </w:p>
        </w:tc>
        <w:tc>
          <w:tcPr>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jc w:val="center"/>
            </w:pPr>
            <w:r>
              <w:rPr>
                <w:rFonts w:ascii="Arial" w:cs="Arial" w:eastAsia="Arial" w:hAnsi="Arial"/>
                <w:b/>
                <w:bCs/>
                <w:color w:val="1E40AF"/>
                <w:sz w:val="19"/>
                <w:szCs w:val="19"/>
              </w:rPr>
              <w:t xml:space="preserve">High — when required</w:t>
            </w:r>
          </w:p>
        </w:tc>
        <w:tc>
          <w:tcPr>
            <w:tcW w:type="dxa" w:w="472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4B5563"/>
                <w:sz w:val="20"/>
                <w:szCs w:val="20"/>
              </w:rPr>
              <w:t xml:space="preserve">Important when soil conditions, founding levels, or compaction are relevant to the work. Claude determines applicability from the work scope — absent geotech is not penalised if the work clearly did not require it.</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1F2937"/>
                <w:sz w:val="20"/>
                <w:szCs w:val="20"/>
              </w:rPr>
              <w:t xml:space="preserve">Weld inspection / NDT certificates</w:t>
            </w:r>
          </w:p>
        </w:tc>
        <w:tc>
          <w:tcPr>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jc w:val="center"/>
            </w:pPr>
            <w:r>
              <w:rPr>
                <w:rFonts w:ascii="Arial" w:cs="Arial" w:eastAsia="Arial" w:hAnsi="Arial"/>
                <w:b/>
                <w:bCs/>
                <w:color w:val="1E40AF"/>
                <w:sz w:val="19"/>
                <w:szCs w:val="19"/>
              </w:rPr>
              <w:t xml:space="preserve">High — when required</w:t>
            </w:r>
          </w:p>
        </w:tc>
        <w:tc>
          <w:tcPr>
            <w:tcW w:type="dxa" w:w="472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4B5563"/>
                <w:sz w:val="20"/>
                <w:szCs w:val="20"/>
              </w:rPr>
              <w:t xml:space="preserve">Required for structural steel connections and critical weld joints. May be embedded within an engineer inspection report or a subcontractor ITP rather than as a standalone document.</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1F2937"/>
                <w:sz w:val="20"/>
                <w:szCs w:val="20"/>
              </w:rPr>
              <w:t xml:space="preserve">NCR / defect fix evidence</w:t>
            </w:r>
          </w:p>
        </w:tc>
        <w:tc>
          <w:tcPr>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jc w:val="center"/>
            </w:pPr>
            <w:r>
              <w:rPr>
                <w:rFonts w:ascii="Arial" w:cs="Arial" w:eastAsia="Arial" w:hAnsi="Arial"/>
                <w:b/>
                <w:bCs/>
                <w:color w:val="1E40AF"/>
                <w:sz w:val="19"/>
                <w:szCs w:val="19"/>
              </w:rPr>
              <w:t xml:space="preserve">High — when triggered</w:t>
            </w:r>
          </w:p>
        </w:tc>
        <w:tc>
          <w:tcPr>
            <w:tcW w:type="dxa" w:w="472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4B5563"/>
                <w:sz w:val="20"/>
                <w:szCs w:val="20"/>
              </w:rPr>
              <w:t xml:space="preserve">Only becomes important when an engineer report or inspection identifies items requiring resolution. If an engineer flagged incomplete reo, missing scabbling, etc., evidence that those items were resolved prior to close-out is required.</w:t>
            </w:r>
          </w:p>
        </w:tc>
      </w:tr>
      <w:tr>
        <w:tc>
          <w:tcPr>
            <w:tcW w:type="dxa" w:w="3000"/>
            <w:tcBorders>
              <w:top w:val="single" w:color="D1D5DB" w:sz="1"/>
              <w:left w:val="single" w:color="D1D5DB" w:sz="1"/>
              <w:bottom w:val="single" w:color="D1D5DB" w:sz="1"/>
              <w:right w:val="single" w:color="D1D5DB" w:sz="1"/>
            </w:tcBorders>
            <w:shd w:fill="FEF9C3"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713F12"/>
                <w:sz w:val="20"/>
                <w:szCs w:val="20"/>
              </w:rPr>
              <w:t xml:space="preserve">MODERATE VALUE EVIDENCE</w:t>
            </w:r>
          </w:p>
        </w:tc>
        <w:tc>
          <w:tcPr>
            <w:tcW w:type="dxa" w:w="1350"/>
            <w:tcBorders>
              <w:top w:val="single" w:color="D1D5DB" w:sz="1"/>
              <w:left w:val="single" w:color="D1D5DB" w:sz="1"/>
              <w:bottom w:val="single" w:color="D1D5DB" w:sz="1"/>
              <w:right w:val="single" w:color="D1D5DB" w:sz="1"/>
            </w:tcBorders>
            <w:shd w:fill="FEF9C3"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2937"/>
                <w:sz w:val="20"/>
                <w:szCs w:val="20"/>
              </w:rPr>
              <w:t xml:space="preserve"/>
            </w:r>
          </w:p>
        </w:tc>
        <w:tc>
          <w:tcPr>
            <w:tcW w:type="dxa" w:w="4722"/>
            <w:tcBorders>
              <w:top w:val="single" w:color="D1D5DB" w:sz="1"/>
              <w:left w:val="single" w:color="D1D5DB" w:sz="1"/>
              <w:bottom w:val="single" w:color="D1D5DB" w:sz="1"/>
              <w:right w:val="single" w:color="D1D5DB" w:sz="1"/>
            </w:tcBorders>
            <w:shd w:fill="FEF9C3"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2937"/>
                <w:sz w:val="20"/>
                <w:szCs w:val="20"/>
              </w:rPr>
              <w:t xml:space="preserve"/>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2937"/>
                <w:sz w:val="20"/>
                <w:szCs w:val="20"/>
              </w:rPr>
              <w:t xml:space="preserve">Material delivery dockets and schedules (reo schedules, etc.)</w:t>
            </w:r>
          </w:p>
        </w:tc>
        <w:tc>
          <w:tcPr>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vAlign w:val="center"/>
          </w:tcPr>
          <w:p>
            <w:pPr>
              <w:spacing w:after="0"/>
              <w:jc w:val="center"/>
            </w:pPr>
            <w:r>
              <w:rPr>
                <w:rFonts w:ascii="Arial" w:cs="Arial" w:eastAsia="Arial" w:hAnsi="Arial"/>
                <w:b/>
                <w:bCs/>
                <w:color w:val="92400E"/>
                <w:sz w:val="19"/>
                <w:szCs w:val="19"/>
              </w:rPr>
              <w:t xml:space="preserve">Moderate</w:t>
            </w:r>
          </w:p>
        </w:tc>
        <w:tc>
          <w:tcPr>
            <w:tcW w:type="dxa" w:w="472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4B5563"/>
                <w:sz w:val="20"/>
                <w:szCs w:val="20"/>
              </w:rPr>
              <w:t xml:space="preserve">Provides material traceability — bar types, sizes, quantities, delivery date. Partially overridden when a signed engineer inspection is present, because an engineer checking installed reinforcement against the drawing supersedes a delivery record for compliance purposes.</w:t>
            </w:r>
          </w:p>
        </w:tc>
      </w:tr>
      <w:tr>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6B7280"/>
                <w:sz w:val="20"/>
                <w:szCs w:val="20"/>
              </w:rPr>
              <w:t xml:space="preserve">LOW VALUE EVIDENCE</w:t>
            </w:r>
          </w:p>
        </w:tc>
        <w:tc>
          <w:tcPr>
            <w:tcW w:type="dxa" w:w="135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2937"/>
                <w:sz w:val="20"/>
                <w:szCs w:val="20"/>
              </w:rPr>
              <w:t xml:space="preserve"/>
            </w:r>
          </w:p>
        </w:tc>
        <w:tc>
          <w:tcPr>
            <w:tcW w:type="dxa" w:w="4722"/>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2937"/>
                <w:sz w:val="20"/>
                <w:szCs w:val="20"/>
              </w:rPr>
              <w:t xml:space="preserve"/>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374151"/>
                <w:sz w:val="20"/>
                <w:szCs w:val="20"/>
              </w:rPr>
              <w:t xml:space="preserve">As-built survey</w:t>
            </w:r>
          </w:p>
        </w:tc>
        <w:tc>
          <w:tcPr>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jc w:val="center"/>
            </w:pPr>
            <w:r>
              <w:rPr>
                <w:rFonts w:ascii="Arial" w:cs="Arial" w:eastAsia="Arial" w:hAnsi="Arial"/>
                <w:b/>
                <w:bCs/>
                <w:color w:val="374151"/>
                <w:sz w:val="19"/>
                <w:szCs w:val="19"/>
              </w:rPr>
              <w:t xml:space="preserve">Low</w:t>
            </w:r>
          </w:p>
        </w:tc>
        <w:tc>
          <w:tcPr>
            <w:tcW w:type="dxa" w:w="472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4B5563"/>
                <w:sz w:val="20"/>
                <w:szCs w:val="20"/>
              </w:rPr>
              <w:t xml:space="preserve">Post-work survey confirming geometry (levels, setout, AHD datum). Useful but confirms what was built rather than whether it was built correctly. If a formwork error was made, the survey records it rather than prevents it.</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374151"/>
                <w:sz w:val="20"/>
                <w:szCs w:val="20"/>
              </w:rPr>
              <w:t xml:space="preserve">Annotated drawing or markup (no sign-off)</w:t>
            </w:r>
          </w:p>
        </w:tc>
        <w:tc>
          <w:tcPr>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jc w:val="center"/>
            </w:pPr>
            <w:r>
              <w:rPr>
                <w:rFonts w:ascii="Arial" w:cs="Arial" w:eastAsia="Arial" w:hAnsi="Arial"/>
                <w:b/>
                <w:bCs/>
                <w:color w:val="374151"/>
                <w:sz w:val="19"/>
                <w:szCs w:val="19"/>
              </w:rPr>
              <w:t xml:space="preserve">Low</w:t>
            </w:r>
          </w:p>
        </w:tc>
        <w:tc>
          <w:tcPr>
            <w:tcW w:type="dxa" w:w="472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4B5563"/>
                <w:sz w:val="20"/>
                <w:szCs w:val="20"/>
              </w:rPr>
              <w:t xml:space="preserve">Marked-up drawings with annotations show that an engineer or inspector was present but do not constitute a formal certification. Nice to have — provides some evidence of site engagement.</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374151"/>
                <w:sz w:val="20"/>
                <w:szCs w:val="20"/>
              </w:rPr>
              <w:t xml:space="preserve">Site photos (pre-concealment)</w:t>
            </w:r>
          </w:p>
        </w:tc>
        <w:tc>
          <w:tcPr>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jc w:val="center"/>
            </w:pPr>
            <w:r>
              <w:rPr>
                <w:rFonts w:ascii="Arial" w:cs="Arial" w:eastAsia="Arial" w:hAnsi="Arial"/>
                <w:b/>
                <w:bCs/>
                <w:color w:val="374151"/>
                <w:sz w:val="19"/>
                <w:szCs w:val="19"/>
              </w:rPr>
              <w:t xml:space="preserve">Low</w:t>
            </w:r>
          </w:p>
        </w:tc>
        <w:tc>
          <w:tcPr>
            <w:tcW w:type="dxa" w:w="472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4B5563"/>
                <w:sz w:val="20"/>
                <w:szCs w:val="20"/>
              </w:rPr>
              <w:t xml:space="preserve">Demonstrates that the site manager was checking work at key stages. Most valuable when taken before concealment. A good photo record is a diligence indicator rather than strong technical evidence.</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374151"/>
                <w:sz w:val="20"/>
                <w:szCs w:val="20"/>
              </w:rPr>
              <w:t xml:space="preserve">Material compliance certificates</w:t>
            </w:r>
          </w:p>
        </w:tc>
        <w:tc>
          <w:tcPr>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jc w:val="center"/>
            </w:pPr>
            <w:r>
              <w:rPr>
                <w:rFonts w:ascii="Arial" w:cs="Arial" w:eastAsia="Arial" w:hAnsi="Arial"/>
                <w:b/>
                <w:bCs/>
                <w:color w:val="374151"/>
                <w:sz w:val="19"/>
                <w:szCs w:val="19"/>
              </w:rPr>
              <w:t xml:space="preserve">Low</w:t>
            </w:r>
          </w:p>
        </w:tc>
        <w:tc>
          <w:tcPr>
            <w:tcW w:type="dxa" w:w="472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4B5563"/>
                <w:sz w:val="20"/>
                <w:szCs w:val="20"/>
              </w:rPr>
              <w:t xml:space="preserve">Generally, materials sourced from reputable suppliers are trusted to comply with specifications without a certificate. Nice to have but absence is not penalised.</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374151"/>
                <w:sz w:val="20"/>
                <w:szCs w:val="20"/>
              </w:rPr>
              <w:t xml:space="preserve">RFI responses</w:t>
            </w:r>
          </w:p>
        </w:tc>
        <w:tc>
          <w:tcPr>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jc w:val="center"/>
            </w:pPr>
            <w:r>
              <w:rPr>
                <w:rFonts w:ascii="Arial" w:cs="Arial" w:eastAsia="Arial" w:hAnsi="Arial"/>
                <w:b/>
                <w:bCs/>
                <w:color w:val="374151"/>
                <w:sz w:val="19"/>
                <w:szCs w:val="19"/>
              </w:rPr>
              <w:t xml:space="preserve">Low / conditional</w:t>
            </w:r>
          </w:p>
        </w:tc>
        <w:tc>
          <w:tcPr>
            <w:tcW w:type="dxa" w:w="472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4B5563"/>
                <w:sz w:val="20"/>
                <w:szCs w:val="20"/>
              </w:rPr>
              <w:t xml:space="preserve">Relevant only when a design change was involved and the RFI confirms the revised scope was accepted by the engineer. Minimal scoring value in all other circumstances.</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9CA3AF"/>
                <w:sz w:val="20"/>
                <w:szCs w:val="20"/>
              </w:rPr>
              <w:t xml:space="preserve">NO SCORING VALUE</w:t>
            </w:r>
          </w:p>
        </w:tc>
        <w:tc>
          <w:tcPr>
            <w:tcW w:type="dxa" w:w="135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2937"/>
                <w:sz w:val="20"/>
                <w:szCs w:val="20"/>
              </w:rPr>
              <w:t xml:space="preserve"/>
            </w:r>
          </w:p>
        </w:tc>
        <w:tc>
          <w:tcPr>
            <w:tcW w:type="dxa" w:w="4722"/>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2937"/>
                <w:sz w:val="20"/>
                <w:szCs w:val="20"/>
              </w:rPr>
              <w:t xml:space="preserve"/>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9CA3AF"/>
                <w:sz w:val="20"/>
                <w:szCs w:val="20"/>
              </w:rPr>
              <w:t xml:space="preserve">Reference drawings (clean, unmarked)</w:t>
            </w:r>
          </w:p>
        </w:tc>
        <w:tc>
          <w:tcPr>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jc w:val="center"/>
            </w:pPr>
            <w:r>
              <w:rPr>
                <w:rFonts w:ascii="Arial" w:cs="Arial" w:eastAsia="Arial" w:hAnsi="Arial"/>
                <w:b/>
                <w:bCs/>
                <w:color w:val="9CA3AF"/>
                <w:sz w:val="19"/>
                <w:szCs w:val="19"/>
              </w:rPr>
              <w:t xml:space="preserve">Zero</w:t>
            </w:r>
          </w:p>
        </w:tc>
        <w:tc>
          <w:tcPr>
            <w:tcW w:type="dxa" w:w="472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9CA3AF"/>
                <w:sz w:val="20"/>
                <w:szCs w:val="20"/>
              </w:rPr>
              <w:t xml:space="preserve">Show what was designed, not what was built or verified. No scoring value unless annotated by an engineer or inspector with a dated sign-off.</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9CA3AF"/>
                <w:sz w:val="20"/>
                <w:szCs w:val="20"/>
              </w:rPr>
              <w:t xml:space="preserve">Product data sheets</w:t>
            </w:r>
          </w:p>
        </w:tc>
        <w:tc>
          <w:tcPr>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jc w:val="center"/>
            </w:pPr>
            <w:r>
              <w:rPr>
                <w:rFonts w:ascii="Arial" w:cs="Arial" w:eastAsia="Arial" w:hAnsi="Arial"/>
                <w:b/>
                <w:bCs/>
                <w:color w:val="9CA3AF"/>
                <w:sz w:val="19"/>
                <w:szCs w:val="19"/>
              </w:rPr>
              <w:t xml:space="preserve">Zero</w:t>
            </w:r>
          </w:p>
        </w:tc>
        <w:tc>
          <w:tcPr>
            <w:tcW w:type="dxa" w:w="472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9CA3AF"/>
                <w:sz w:val="20"/>
                <w:szCs w:val="20"/>
              </w:rPr>
              <w:t xml:space="preserve">Manufacturer technical specifications. Not evidence of compliance or installation quality.</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9CA3AF"/>
                <w:sz w:val="20"/>
                <w:szCs w:val="20"/>
              </w:rPr>
              <w:t xml:space="preserve">Method statements / WMS</w:t>
            </w:r>
          </w:p>
        </w:tc>
        <w:tc>
          <w:tcPr>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jc w:val="center"/>
            </w:pPr>
            <w:r>
              <w:rPr>
                <w:rFonts w:ascii="Arial" w:cs="Arial" w:eastAsia="Arial" w:hAnsi="Arial"/>
                <w:b/>
                <w:bCs/>
                <w:color w:val="9CA3AF"/>
                <w:sz w:val="19"/>
                <w:szCs w:val="19"/>
              </w:rPr>
              <w:t xml:space="preserve">Zero</w:t>
            </w:r>
          </w:p>
        </w:tc>
        <w:tc>
          <w:tcPr>
            <w:tcW w:type="dxa" w:w="472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9CA3AF"/>
                <w:sz w:val="20"/>
                <w:szCs w:val="20"/>
              </w:rPr>
              <w:t xml:space="preserve">Describe how work was planned to be done. Do not confirm that work was done correctly or inspected.</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9CA3AF"/>
                <w:sz w:val="20"/>
                <w:szCs w:val="20"/>
              </w:rPr>
              <w:t xml:space="preserve">Warranty certificates</w:t>
            </w:r>
          </w:p>
        </w:tc>
        <w:tc>
          <w:tcPr>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jc w:val="center"/>
            </w:pPr>
            <w:r>
              <w:rPr>
                <w:rFonts w:ascii="Arial" w:cs="Arial" w:eastAsia="Arial" w:hAnsi="Arial"/>
                <w:b/>
                <w:bCs/>
                <w:color w:val="9CA3AF"/>
                <w:sz w:val="19"/>
                <w:szCs w:val="19"/>
              </w:rPr>
              <w:t xml:space="preserve">Zero</w:t>
            </w:r>
          </w:p>
        </w:tc>
        <w:tc>
          <w:tcPr>
            <w:tcW w:type="dxa" w:w="472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9CA3AF"/>
                <w:sz w:val="20"/>
                <w:szCs w:val="20"/>
              </w:rPr>
              <w:t xml:space="preserve">An Occupational Certificate requirement rather than an ITP requirement. Not expected in the ITP package.</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9CA3AF"/>
                <w:sz w:val="20"/>
                <w:szCs w:val="20"/>
              </w:rPr>
              <w:t xml:space="preserve">Duplicate documents</w:t>
            </w:r>
          </w:p>
        </w:tc>
        <w:tc>
          <w:tcPr>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jc w:val="center"/>
            </w:pPr>
            <w:r>
              <w:rPr>
                <w:rFonts w:ascii="Arial" w:cs="Arial" w:eastAsia="Arial" w:hAnsi="Arial"/>
                <w:b/>
                <w:bCs/>
                <w:color w:val="9CA3AF"/>
                <w:sz w:val="19"/>
                <w:szCs w:val="19"/>
              </w:rPr>
              <w:t xml:space="preserve">Zero</w:t>
            </w:r>
          </w:p>
        </w:tc>
        <w:tc>
          <w:tcPr>
            <w:tcW w:type="dxa" w:w="472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9CA3AF"/>
                <w:sz w:val="20"/>
                <w:szCs w:val="20"/>
              </w:rPr>
              <w:t xml:space="preserve">Counted once regardless of how many copies are present. No score penalty for duplicates. Flagged if the only version present is open or unsigned.</w:t>
            </w:r>
          </w:p>
        </w:tc>
      </w:tr>
    </w:tbl>
    <w:p>
      <w:pPr>
        <w:spacing w:after="200"/>
      </w:pPr>
      <w:r>
        <w:t xml:space="preserve"/>
      </w:r>
    </w:p>
    <w:p>
      <w:pPr>
        <w:pStyle w:val="Heading1"/>
      </w:pPr>
      <w:r>
        <w:rPr>
          <w:rFonts w:ascii="Arial" w:cs="Arial" w:eastAsia="Arial" w:hAnsi="Arial"/>
          <w:b/>
          <w:bCs/>
          <w:color w:val="1F3864"/>
          <w:sz w:val="34"/>
          <w:szCs w:val="34"/>
        </w:rPr>
        <w:t xml:space="preserve">5.  Evidence Flexibility Principles</w:t>
      </w:r>
    </w:p>
    <w:p>
      <w:pPr>
        <w:spacing w:after="160"/>
      </w:pPr>
      <w:r>
        <w:rPr>
          <w:rFonts w:ascii="Arial" w:cs="Arial" w:eastAsia="Arial" w:hAnsi="Arial"/>
          <w:color w:val="4B5563"/>
          <w:sz w:val="22"/>
          <w:szCs w:val="22"/>
        </w:rPr>
        <w:t xml:space="preserve">The scoring system does not look for specific named documents. It assesses whether the intent behind each scoring dimension has been satisfied. Any qualifying evidence can satisfy a dimension regardless of which specific document it comes from.</w:t>
      </w:r>
    </w:p>
    <w:p>
      <w:pPr>
        <w:spacing w:after="80"/>
      </w:pPr>
      <w:r>
        <w:t xml:space="preserve"/>
      </w:r>
    </w:p>
    <w:p>
      <w:pPr>
        <w:pStyle w:val="Heading2"/>
      </w:pPr>
      <w:r>
        <w:rPr>
          <w:rFonts w:ascii="Arial" w:cs="Arial" w:eastAsia="Arial" w:hAnsi="Arial"/>
          <w:b/>
          <w:bCs/>
          <w:color w:val="1F3864"/>
          <w:sz w:val="26"/>
          <w:szCs w:val="26"/>
        </w:rPr>
        <w:t xml:space="preserve">5.1  Engineer &amp; Inspector Verification</w:t>
      </w:r>
    </w:p>
    <w:p>
      <w:pPr>
        <w:spacing w:after="160"/>
      </w:pPr>
      <w:r>
        <w:rPr>
          <w:rFonts w:ascii="Arial" w:cs="Arial" w:eastAsia="Arial" w:hAnsi="Arial"/>
          <w:color w:val="4B5563"/>
          <w:sz w:val="22"/>
          <w:szCs w:val="22"/>
        </w:rPr>
        <w:t xml:space="preserve">This dimension is satisfied by any of the following:</w:t>
      </w:r>
    </w:p>
    <w:p>
      <w:pPr>
        <w:pStyle w:val="ListParagraph"/>
        <w:numPr>
          <w:ilvl w:val="0"/>
          <w:numId w:val="2"/>
        </w:numPr>
        <w:spacing w:after="100"/>
      </w:pPr>
      <w:r>
        <w:rPr>
          <w:rFonts w:ascii="Arial" w:cs="Arial" w:eastAsia="Arial" w:hAnsi="Arial"/>
          <w:color w:val="4B5563"/>
          <w:sz w:val="22"/>
          <w:szCs w:val="22"/>
        </w:rPr>
        <w:t xml:space="preserve">A signed engineer inspection certificate (CPEng, RPEQ, or equivalent)</w:t>
      </w:r>
    </w:p>
    <w:p>
      <w:pPr>
        <w:pStyle w:val="ListParagraph"/>
        <w:numPr>
          <w:ilvl w:val="0"/>
          <w:numId w:val="2"/>
        </w:numPr>
        <w:spacing w:after="100"/>
      </w:pPr>
      <w:r>
        <w:rPr>
          <w:rFonts w:ascii="Arial" w:cs="Arial" w:eastAsia="Arial" w:hAnsi="Arial"/>
          <w:color w:val="4B5563"/>
          <w:sz w:val="22"/>
          <w:szCs w:val="22"/>
        </w:rPr>
        <w:t xml:space="preserve">A signed inspector or superintendent sign-off letter or report</w:t>
      </w:r>
    </w:p>
    <w:p>
      <w:pPr>
        <w:pStyle w:val="ListParagraph"/>
        <w:numPr>
          <w:ilvl w:val="0"/>
          <w:numId w:val="2"/>
        </w:numPr>
        <w:spacing w:after="100"/>
      </w:pPr>
      <w:r>
        <w:rPr>
          <w:rFonts w:ascii="Arial" w:cs="Arial" w:eastAsia="Arial" w:hAnsi="Arial"/>
          <w:color w:val="4B5563"/>
          <w:sz w:val="22"/>
          <w:szCs w:val="22"/>
        </w:rPr>
        <w:t xml:space="preserve">A signed hold point in the ITP where the signatory is an engineer or accredited inspector</w:t>
      </w:r>
    </w:p>
    <w:p>
      <w:pPr>
        <w:pStyle w:val="ListParagraph"/>
        <w:numPr>
          <w:ilvl w:val="0"/>
          <w:numId w:val="2"/>
        </w:numPr>
        <w:spacing w:after="100"/>
      </w:pPr>
      <w:r>
        <w:rPr>
          <w:rFonts w:ascii="Arial" w:cs="Arial" w:eastAsia="Arial" w:hAnsi="Arial"/>
          <w:color w:val="4B5563"/>
          <w:sz w:val="22"/>
          <w:szCs w:val="22"/>
        </w:rPr>
        <w:t xml:space="preserve">An RFI response from an engineer confirming compliance or design change acceptance</w:t>
      </w:r>
    </w:p>
    <w:p>
      <w:pPr>
        <w:pStyle w:val="ListParagraph"/>
        <w:numPr>
          <w:ilvl w:val="0"/>
          <w:numId w:val="2"/>
        </w:numPr>
        <w:spacing w:after="100"/>
      </w:pPr>
      <w:r>
        <w:rPr>
          <w:rFonts w:ascii="Arial" w:cs="Arial" w:eastAsia="Arial" w:hAnsi="Arial"/>
          <w:color w:val="4B5563"/>
          <w:sz w:val="22"/>
          <w:szCs w:val="22"/>
        </w:rPr>
        <w:t xml:space="preserve">A consultant inspection note with a dated signature or official letterhead</w:t>
      </w:r>
    </w:p>
    <w:p>
      <w:pPr>
        <w:spacing w:after="80"/>
      </w:pPr>
      <w:r>
        <w:t xml:space="preserve"/>
      </w:r>
    </w:p>
    <w:p>
      <w:pPr>
        <w:spacing w:after="160"/>
      </w:pPr>
      <w:r>
        <w:rPr>
          <w:rFonts w:ascii="Arial" w:cs="Arial" w:eastAsia="Arial" w:hAnsi="Arial"/>
          <w:color w:val="4B5563"/>
          <w:sz w:val="22"/>
          <w:szCs w:val="22"/>
        </w:rPr>
        <w:t xml:space="preserve">The specific engineering discipline does not need to match the hold point text. A signed report from any qualified engineer satisfies the dimension unless the work scope clearly demands a specific discipline (e.g. a geotech report for founding level verification).</w:t>
      </w:r>
    </w:p>
    <w:p>
      <w:pPr>
        <w:spacing w:after="80"/>
      </w:pPr>
      <w:r>
        <w:t xml:space="preserve"/>
      </w:r>
    </w:p>
    <w:p>
      <w:pPr>
        <w:pStyle w:val="Heading2"/>
      </w:pPr>
      <w:r>
        <w:rPr>
          <w:rFonts w:ascii="Arial" w:cs="Arial" w:eastAsia="Arial" w:hAnsi="Arial"/>
          <w:b/>
          <w:bCs/>
          <w:color w:val="1F3864"/>
          <w:sz w:val="26"/>
          <w:szCs w:val="26"/>
        </w:rPr>
        <w:t xml:space="preserve">5.2  Vague Hold Point Language</w:t>
      </w:r>
    </w:p>
    <w:p>
      <w:pPr>
        <w:spacing w:after="160"/>
      </w:pPr>
      <w:r>
        <w:rPr>
          <w:rFonts w:ascii="Arial" w:cs="Arial" w:eastAsia="Arial" w:hAnsi="Arial"/>
          <w:color w:val="4B5563"/>
          <w:sz w:val="22"/>
          <w:szCs w:val="22"/>
        </w:rPr>
        <w:t xml:space="preserve">ITP templates often use generic language such as 'engineer sign-off' without specifying the discipline. This is intentional — templates are reused across different work types without modification.</w:t>
      </w:r>
    </w:p>
    <w:p>
      <w:pPr>
        <w:spacing w:after="160"/>
      </w:pPr>
      <w:r>
        <w:rPr>
          <w:rFonts w:ascii="Arial" w:cs="Arial" w:eastAsia="Arial" w:hAnsi="Arial"/>
          <w:color w:val="4B5563"/>
          <w:sz w:val="22"/>
          <w:szCs w:val="22"/>
        </w:rPr>
        <w:t xml:space="preserve">When hold point text is vague, the reviewer assesses whether independent technical verification was warranted for this specific scope of work — not just what the hold point text says.</w:t>
      </w:r>
    </w:p>
    <w:p>
      <w:pPr>
        <w:spacing w:after="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1D5DB" w:sz="1"/>
              <w:left w:val="single" w:color="D1D5DB" w:sz="1"/>
              <w:bottom w:val="single" w:color="D1D5DB" w:sz="1"/>
              <w:right w:val="single" w:color="D1D5DB" w:sz="1"/>
            </w:tcBorders>
            <w:shd w:fill="1F3864"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FFFFFF"/>
                <w:sz w:val="20"/>
                <w:szCs w:val="20"/>
              </w:rPr>
              <w:t xml:space="preserve">Example work scope</w:t>
            </w:r>
          </w:p>
        </w:tc>
        <w:tc>
          <w:tcPr>
            <w:tcW w:type="dxa" w:w="4536"/>
            <w:tcBorders>
              <w:top w:val="single" w:color="D1D5DB" w:sz="1"/>
              <w:left w:val="single" w:color="D1D5DB" w:sz="1"/>
              <w:bottom w:val="single" w:color="D1D5DB" w:sz="1"/>
              <w:right w:val="single" w:color="D1D5DB" w:sz="1"/>
            </w:tcBorders>
            <w:shd w:fill="1F3864"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FFFFFF"/>
                <w:sz w:val="20"/>
                <w:szCs w:val="20"/>
              </w:rPr>
              <w:t xml:space="preserve">Verdict</w:t>
            </w:r>
          </w:p>
        </w:tc>
      </w:tr>
      <w:tr>
        <w:tc>
          <w:tcPr>
            <w:tcW w:type="dxa" w:w="453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2937"/>
                <w:sz w:val="20"/>
                <w:szCs w:val="20"/>
              </w:rPr>
              <w:t xml:space="preserve">450m³ post-tensioned suspended slab</w:t>
            </w:r>
          </w:p>
        </w:tc>
        <w:tc>
          <w:tcPr>
            <w:tcW w:type="dxa" w:w="453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4B5563"/>
                <w:sz w:val="20"/>
                <w:szCs w:val="20"/>
              </w:rPr>
              <w:t xml:space="preserve">Engineer verification clearly warranted. Flagged as missing if absent.</w:t>
            </w:r>
          </w:p>
        </w:tc>
      </w:tr>
      <w:tr>
        <w:tc>
          <w:tcPr>
            <w:tcW w:type="dxa" w:w="4536"/>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2937"/>
                <w:sz w:val="20"/>
                <w:szCs w:val="20"/>
              </w:rPr>
              <w:t xml:space="preserve">Minor concrete infill, 0.5m³, non-structural</w:t>
            </w:r>
          </w:p>
        </w:tc>
        <w:tc>
          <w:tcPr>
            <w:tcW w:type="dxa" w:w="4536"/>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4B5563"/>
                <w:sz w:val="20"/>
                <w:szCs w:val="20"/>
              </w:rPr>
              <w:t xml:space="preserve">Engineer sign-off likely not warranted. Not penalised if absent.</w:t>
            </w:r>
          </w:p>
        </w:tc>
      </w:tr>
      <w:tr>
        <w:tc>
          <w:tcPr>
            <w:tcW w:type="dxa" w:w="453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2937"/>
                <w:sz w:val="20"/>
                <w:szCs w:val="20"/>
              </w:rPr>
              <w:t xml:space="preserve">Footings to engineer specification</w:t>
            </w:r>
          </w:p>
        </w:tc>
        <w:tc>
          <w:tcPr>
            <w:tcW w:type="dxa" w:w="453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4B5563"/>
                <w:sz w:val="20"/>
                <w:szCs w:val="20"/>
              </w:rPr>
              <w:t xml:space="preserve">Engineer verification warranted. Flagged as missing if absent.</w:t>
            </w:r>
          </w:p>
        </w:tc>
      </w:tr>
      <w:tr>
        <w:tc>
          <w:tcPr>
            <w:tcW w:type="dxa" w:w="4536"/>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2937"/>
                <w:sz w:val="20"/>
                <w:szCs w:val="20"/>
              </w:rPr>
              <w:t xml:space="preserve">Pre-sheet inspection, plasterboard lining</w:t>
            </w:r>
          </w:p>
        </w:tc>
        <w:tc>
          <w:tcPr>
            <w:tcW w:type="dxa" w:w="4536"/>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4B5563"/>
                <w:sz w:val="20"/>
                <w:szCs w:val="20"/>
              </w:rPr>
              <w:t xml:space="preserve">Engineer sign-off not required. Superintendent or site manager sign-off is sufficient.</w:t>
            </w:r>
          </w:p>
        </w:tc>
      </w:tr>
      <w:tr>
        <w:tc>
          <w:tcPr>
            <w:tcW w:type="dxa" w:w="453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2937"/>
                <w:sz w:val="20"/>
                <w:szCs w:val="20"/>
              </w:rPr>
              <w:t xml:space="preserve">Waterproofing to bathroom wet area</w:t>
            </w:r>
          </w:p>
        </w:tc>
        <w:tc>
          <w:tcPr>
            <w:tcW w:type="dxa" w:w="453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4B5563"/>
                <w:sz w:val="20"/>
                <w:szCs w:val="20"/>
              </w:rPr>
              <w:t xml:space="preserve">Independent inspector sign-off warranted. Flood test result expected in some form.</w:t>
            </w:r>
          </w:p>
        </w:tc>
      </w:tr>
    </w:tbl>
    <w:p>
      <w:pPr>
        <w:spacing w:after="160"/>
      </w:pPr>
      <w:r>
        <w:t xml:space="preserve"/>
      </w:r>
    </w:p>
    <w:p>
      <w:pPr>
        <w:pStyle w:val="Heading2"/>
      </w:pPr>
      <w:r>
        <w:rPr>
          <w:rFonts w:ascii="Arial" w:cs="Arial" w:eastAsia="Arial" w:hAnsi="Arial"/>
          <w:b/>
          <w:bCs/>
          <w:color w:val="1F3864"/>
          <w:sz w:val="26"/>
          <w:szCs w:val="26"/>
        </w:rPr>
        <w:t xml:space="preserve">5.3  Evidence Substitution</w:t>
      </w:r>
    </w:p>
    <w:p>
      <w:pPr>
        <w:spacing w:after="160"/>
      </w:pPr>
      <w:r>
        <w:rPr>
          <w:rFonts w:ascii="Arial" w:cs="Arial" w:eastAsia="Arial" w:hAnsi="Arial"/>
          <w:color w:val="4B5563"/>
          <w:sz w:val="22"/>
          <w:szCs w:val="22"/>
        </w:rPr>
        <w:t xml:space="preserve">A single document can satisfy multiple scoring dimensions simultaneously. For example, a detailed engineer inspection report may satisfy:</w:t>
      </w:r>
    </w:p>
    <w:p>
      <w:pPr>
        <w:pStyle w:val="ListParagraph"/>
        <w:numPr>
          <w:ilvl w:val="0"/>
          <w:numId w:val="2"/>
        </w:numPr>
        <w:spacing w:after="100"/>
      </w:pPr>
      <w:r>
        <w:rPr>
          <w:rFonts w:ascii="Arial" w:cs="Arial" w:eastAsia="Arial" w:hAnsi="Arial"/>
          <w:color w:val="4B5563"/>
          <w:sz w:val="22"/>
          <w:szCs w:val="22"/>
        </w:rPr>
        <w:t xml:space="preserve">Engineer &amp; inspector verification (primary purpose of the document)</w:t>
      </w:r>
    </w:p>
    <w:p>
      <w:pPr>
        <w:pStyle w:val="ListParagraph"/>
        <w:numPr>
          <w:ilvl w:val="0"/>
          <w:numId w:val="2"/>
        </w:numPr>
        <w:spacing w:after="100"/>
      </w:pPr>
      <w:r>
        <w:rPr>
          <w:rFonts w:ascii="Arial" w:cs="Arial" w:eastAsia="Arial" w:hAnsi="Arial"/>
          <w:color w:val="4B5563"/>
          <w:sz w:val="22"/>
          <w:szCs w:val="22"/>
        </w:rPr>
        <w:t xml:space="preserve">Technical testing evidence (if the report references or includes test results)</w:t>
      </w:r>
    </w:p>
    <w:p>
      <w:pPr>
        <w:pStyle w:val="ListParagraph"/>
        <w:numPr>
          <w:ilvl w:val="0"/>
          <w:numId w:val="2"/>
        </w:numPr>
        <w:spacing w:after="100"/>
      </w:pPr>
      <w:r>
        <w:rPr>
          <w:rFonts w:ascii="Arial" w:cs="Arial" w:eastAsia="Arial" w:hAnsi="Arial"/>
          <w:color w:val="4B5563"/>
          <w:sz w:val="22"/>
          <w:szCs w:val="22"/>
        </w:rPr>
        <w:t xml:space="preserve">NCR fix confirmation (if the report confirms previously flagged items were resolved)</w:t>
      </w:r>
    </w:p>
    <w:p>
      <w:pPr>
        <w:spacing w:after="80"/>
      </w:pPr>
      <w:r>
        <w:t xml:space="preserve"/>
      </w:r>
    </w:p>
    <w:p>
      <w:pPr>
        <w:spacing w:after="160"/>
      </w:pPr>
      <w:r>
        <w:rPr>
          <w:rFonts w:ascii="Arial" w:cs="Arial" w:eastAsia="Arial" w:hAnsi="Arial"/>
          <w:color w:val="4B5563"/>
          <w:sz w:val="22"/>
          <w:szCs w:val="22"/>
        </w:rPr>
        <w:t xml:space="preserve">Similarly, a closed subcontractor ITP with embedded hold point sign-offs may satisfy both the ITP completeness dimension and partially satisfy the engineer verification dimension.</w:t>
      </w:r>
    </w:p>
    <w:p>
      <w:pPr>
        <w:spacing w:after="200"/>
      </w:pPr>
      <w:r>
        <w:t xml:space="preserve"/>
      </w:r>
    </w:p>
    <w:p>
      <w:pPr>
        <w:pStyle w:val="Heading1"/>
      </w:pPr>
      <w:r>
        <w:rPr>
          <w:rFonts w:ascii="Arial" w:cs="Arial" w:eastAsia="Arial" w:hAnsi="Arial"/>
          <w:b/>
          <w:bCs/>
          <w:color w:val="1F3864"/>
          <w:sz w:val="34"/>
          <w:szCs w:val="34"/>
        </w:rPr>
        <w:t xml:space="preserve">6.  Context-Dependent Evidence Rules</w:t>
      </w:r>
    </w:p>
    <w:p>
      <w:pPr>
        <w:spacing w:after="160"/>
      </w:pPr>
      <w:r>
        <w:rPr>
          <w:rFonts w:ascii="Arial" w:cs="Arial" w:eastAsia="Arial" w:hAnsi="Arial"/>
          <w:color w:val="4B5563"/>
          <w:sz w:val="22"/>
          <w:szCs w:val="22"/>
        </w:rPr>
        <w:t xml:space="preserve">Certain evidence types are only required for specific work scopes. The reviewer must determine applicability from context before deciding whether absence constitutes a gap.</w:t>
      </w:r>
    </w:p>
    <w:p>
      <w:pPr>
        <w:spacing w:after="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72"/>
      </w:tblGrid>
      <w:tr>
        <w:tc>
          <w:tcPr>
            <w:tcW w:type="dxa" w:w="2200"/>
            <w:tcBorders>
              <w:top w:val="single" w:color="D1D5DB" w:sz="1"/>
              <w:left w:val="single" w:color="D1D5DB" w:sz="1"/>
              <w:bottom w:val="single" w:color="D1D5DB" w:sz="1"/>
              <w:right w:val="single" w:color="D1D5DB" w:sz="1"/>
            </w:tcBorders>
            <w:shd w:fill="1F3864"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FFFFFF"/>
                <w:sz w:val="20"/>
                <w:szCs w:val="20"/>
              </w:rPr>
              <w:t xml:space="preserve">Evidence Type</w:t>
            </w:r>
          </w:p>
        </w:tc>
        <w:tc>
          <w:tcPr>
            <w:tcW w:type="dxa" w:w="2800"/>
            <w:tcBorders>
              <w:top w:val="single" w:color="D1D5DB" w:sz="1"/>
              <w:left w:val="single" w:color="D1D5DB" w:sz="1"/>
              <w:bottom w:val="single" w:color="D1D5DB" w:sz="1"/>
              <w:right w:val="single" w:color="D1D5DB" w:sz="1"/>
            </w:tcBorders>
            <w:shd w:fill="1F3864"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FFFFFF"/>
                <w:sz w:val="20"/>
                <w:szCs w:val="20"/>
              </w:rPr>
              <w:t xml:space="preserve">When Required</w:t>
            </w:r>
          </w:p>
        </w:tc>
        <w:tc>
          <w:tcPr>
            <w:tcW w:type="dxa" w:w="4072"/>
            <w:tcBorders>
              <w:top w:val="single" w:color="D1D5DB" w:sz="1"/>
              <w:left w:val="single" w:color="D1D5DB" w:sz="1"/>
              <w:bottom w:val="single" w:color="D1D5DB" w:sz="1"/>
              <w:right w:val="single" w:color="D1D5DB" w:sz="1"/>
            </w:tcBorders>
            <w:shd w:fill="1F3864"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FFFFFF"/>
                <w:sz w:val="20"/>
                <w:szCs w:val="20"/>
              </w:rPr>
              <w:t xml:space="preserve">How to Determine Applicability</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1F2937"/>
                <w:sz w:val="20"/>
                <w:szCs w:val="20"/>
              </w:rPr>
              <w:t xml:space="preserve">Geotech report</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4B5563"/>
                <w:sz w:val="20"/>
                <w:szCs w:val="20"/>
              </w:rPr>
              <w:t xml:space="preserve">Foundation work, earthworks, piling, slab-on-ground where soil conditions are referenced in the spec</w:t>
            </w:r>
          </w:p>
        </w:tc>
        <w:tc>
          <w:tcPr>
            <w:tcW w:type="dxa" w:w="40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4B5563"/>
                <w:sz w:val="20"/>
                <w:szCs w:val="20"/>
              </w:rPr>
              <w:t xml:space="preserve">Check if the ITP references a founding level, soil report, or geotech specification. Check whether a geotech engineer is designated as a hold point party.</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1F2937"/>
                <w:sz w:val="20"/>
                <w:szCs w:val="20"/>
              </w:rPr>
              <w:t xml:space="preserve">PT stressing records</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4B5563"/>
                <w:sz w:val="20"/>
                <w:szCs w:val="20"/>
              </w:rPr>
              <w:t xml:space="preserve">Post-tensioned slabs and elements only</w:t>
            </w:r>
          </w:p>
        </w:tc>
        <w:tc>
          <w:tcPr>
            <w:tcW w:type="dxa" w:w="4072"/>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4B5563"/>
                <w:sz w:val="20"/>
                <w:szCs w:val="20"/>
              </w:rPr>
              <w:t xml:space="preserve">ITP name, drawing titles, or ITP item descriptions will reference post-tensioning, tendons, or PT.</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1F2937"/>
                <w:sz w:val="20"/>
                <w:szCs w:val="20"/>
              </w:rPr>
              <w:t xml:space="preserve">Weld inspection / NDT</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4B5563"/>
                <w:sz w:val="20"/>
                <w:szCs w:val="20"/>
              </w:rPr>
              <w:t xml:space="preserve">Structural steel connections, critical weld joints</w:t>
            </w:r>
          </w:p>
        </w:tc>
        <w:tc>
          <w:tcPr>
            <w:tcW w:type="dxa" w:w="40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4B5563"/>
                <w:sz w:val="20"/>
                <w:szCs w:val="20"/>
              </w:rPr>
              <w:t xml:space="preserve">Structural steel ITP types or connection details in the bundle. May already be included in an engineer report or subby ITP.</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1F2937"/>
                <w:sz w:val="20"/>
                <w:szCs w:val="20"/>
              </w:rPr>
              <w:t xml:space="preserve">Cylinder break test results</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4B5563"/>
                <w:sz w:val="20"/>
                <w:szCs w:val="20"/>
              </w:rPr>
              <w:t xml:space="preserve">All structural concrete pours. Not required for minor non-structural concrete (kerbs, minor fill, garden edges, etc.)</w:t>
            </w:r>
          </w:p>
        </w:tc>
        <w:tc>
          <w:tcPr>
            <w:tcW w:type="dxa" w:w="4072"/>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4B5563"/>
                <w:sz w:val="20"/>
                <w:szCs w:val="20"/>
              </w:rPr>
              <w:t xml:space="preserve">Assess volume and structural significance. A suspended slab always requires tests. A 0.5m³ non-structural infill does not.</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1F2937"/>
                <w:sz w:val="20"/>
                <w:szCs w:val="20"/>
              </w:rPr>
              <w:t xml:space="preserve">Flood / waterproofing test</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4B5563"/>
                <w:sz w:val="20"/>
                <w:szCs w:val="20"/>
              </w:rPr>
              <w:t xml:space="preserve">All waterproofing ITPs, regardless of how the result is documented</w:t>
            </w:r>
          </w:p>
        </w:tc>
        <w:tc>
          <w:tcPr>
            <w:tcW w:type="dxa" w:w="40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4B5563"/>
                <w:sz w:val="20"/>
                <w:szCs w:val="20"/>
              </w:rPr>
              <w:t xml:space="preserve">If the ITP is classified as waterproofing, some form of test result is always expected.</w:t>
            </w:r>
          </w:p>
        </w:tc>
      </w:tr>
    </w:tbl>
    <w:p>
      <w:pPr>
        <w:spacing w:after="200"/>
      </w:pPr>
      <w:r>
        <w:t xml:space="preserve"/>
      </w:r>
    </w:p>
    <w:p>
      <w:pPr>
        <w:pStyle w:val="Heading1"/>
      </w:pPr>
      <w:r>
        <w:rPr>
          <w:rFonts w:ascii="Arial" w:cs="Arial" w:eastAsia="Arial" w:hAnsi="Arial"/>
          <w:b/>
          <w:bCs/>
          <w:color w:val="1F3864"/>
          <w:sz w:val="34"/>
          <w:szCs w:val="34"/>
        </w:rPr>
        <w:t xml:space="preserve">7.  ITP Form &amp; Hold Point Philosophy</w:t>
      </w:r>
    </w:p>
    <w:p>
      <w:pPr>
        <w:pBdr>
          <w:left w:val="single" w:color="D97706" w:sz="12" w:space="8"/>
        </w:pBdr>
        <w:spacing w:after="200" w:before="80"/>
        <w:ind w:left="640"/>
      </w:pPr>
      <w:r>
        <w:rPr>
          <w:rFonts w:ascii="Arial" w:cs="Arial" w:eastAsia="Arial" w:hAnsi="Arial"/>
          <w:i/>
          <w:iCs/>
          <w:color w:val="374151"/>
          <w:sz w:val="23"/>
          <w:szCs w:val="23"/>
        </w:rPr>
        <w:t xml:space="preserve">The ITP form is the framework. The evidence bundle is what actually matters for a defensible document.</w:t>
      </w:r>
    </w:p>
    <w:p>
      <w:pPr>
        <w:pStyle w:val="Heading2"/>
      </w:pPr>
      <w:r>
        <w:rPr>
          <w:rFonts w:ascii="Arial" w:cs="Arial" w:eastAsia="Arial" w:hAnsi="Arial"/>
          <w:b/>
          <w:bCs/>
          <w:color w:val="1F3864"/>
          <w:sz w:val="26"/>
          <w:szCs w:val="26"/>
        </w:rPr>
        <w:t xml:space="preserve">7.1  A Grey ITP with Strong Evidence is a Good ITP</w:t>
      </w:r>
    </w:p>
    <w:p>
      <w:pPr>
        <w:spacing w:after="160"/>
      </w:pPr>
      <w:r>
        <w:rPr>
          <w:rFonts w:ascii="Arial" w:cs="Arial" w:eastAsia="Arial" w:hAnsi="Arial"/>
          <w:color w:val="4B5563"/>
          <w:sz w:val="22"/>
          <w:szCs w:val="22"/>
        </w:rPr>
        <w:t xml:space="preserve">Construction is not a linear industry. Workflows are not always completed in the order they appear on the form, and not every hold point is signed in sequence. An ITP where some hold points are blank or where items are marked N/A is entirely normal.</w:t>
      </w:r>
    </w:p>
    <w:p>
      <w:pPr>
        <w:spacing w:after="160"/>
      </w:pPr>
      <w:r>
        <w:rPr>
          <w:rFonts w:ascii="Arial" w:cs="Arial" w:eastAsia="Arial" w:hAnsi="Arial"/>
          <w:color w:val="4B5563"/>
          <w:sz w:val="22"/>
          <w:szCs w:val="22"/>
        </w:rPr>
        <w:t xml:space="preserve">The quality of the attached evidence package is a far more reliable indicator of work quality than whether every checkbox is ticked. A site manager who has attached signed engineer certificates, cylinder test results, and pre-pour photos to an ITP where two hold points are blank has produced a better QA document than one who has ticked every box with nothing attached.</w:t>
      </w:r>
    </w:p>
    <w:p>
      <w:pPr>
        <w:spacing w:after="80"/>
      </w:pPr>
      <w:r>
        <w:t xml:space="preserve"/>
      </w:r>
    </w:p>
    <w:p>
      <w:pPr>
        <w:pStyle w:val="Heading2"/>
      </w:pPr>
      <w:r>
        <w:rPr>
          <w:rFonts w:ascii="Arial" w:cs="Arial" w:eastAsia="Arial" w:hAnsi="Arial"/>
          <w:b/>
          <w:bCs/>
          <w:color w:val="1F3864"/>
          <w:sz w:val="26"/>
          <w:szCs w:val="26"/>
        </w:rPr>
        <w:t xml:space="preserve">7.2  Trust N/A Responses</w:t>
      </w:r>
    </w:p>
    <w:p>
      <w:pPr>
        <w:spacing w:after="160"/>
      </w:pPr>
      <w:r>
        <w:rPr>
          <w:rFonts w:ascii="Arial" w:cs="Arial" w:eastAsia="Arial" w:hAnsi="Arial"/>
          <w:color w:val="4B5563"/>
          <w:sz w:val="22"/>
          <w:szCs w:val="22"/>
        </w:rPr>
        <w:t xml:space="preserve">Items marked N/A are taken at face value and excluded from scoring. The reviewer does not penalise for N/A items unless the work scope makes it clear the item was applicable and should have been answered.</w:t>
      </w:r>
    </w:p>
    <w:p>
      <w:pPr>
        <w:spacing w:after="80"/>
      </w:pPr>
      <w:r>
        <w:t xml:space="preserve"/>
      </w:r>
    </w:p>
    <w:p>
      <w:pPr>
        <w:pStyle w:val="Heading2"/>
      </w:pPr>
      <w:r>
        <w:rPr>
          <w:rFonts w:ascii="Arial" w:cs="Arial" w:eastAsia="Arial" w:hAnsi="Arial"/>
          <w:b/>
          <w:bCs/>
          <w:color w:val="1F3864"/>
          <w:sz w:val="26"/>
          <w:szCs w:val="26"/>
        </w:rPr>
        <w:t xml:space="preserve">7.3  Incomplete Hold Points</w:t>
      </w:r>
    </w:p>
    <w:p>
      <w:pPr>
        <w:spacing w:after="160"/>
      </w:pPr>
      <w:r>
        <w:rPr>
          <w:rFonts w:ascii="Arial" w:cs="Arial" w:eastAsia="Arial" w:hAnsi="Arial"/>
          <w:color w:val="4B5563"/>
          <w:sz w:val="22"/>
          <w:szCs w:val="22"/>
        </w:rPr>
        <w:t xml:space="preserve">Hold points are dynamic. In practice, a hold point sign-off may be absent because:</w:t>
      </w:r>
    </w:p>
    <w:p>
      <w:pPr>
        <w:pStyle w:val="ListParagraph"/>
        <w:numPr>
          <w:ilvl w:val="0"/>
          <w:numId w:val="2"/>
        </w:numPr>
        <w:spacing w:after="100"/>
      </w:pPr>
      <w:r>
        <w:rPr>
          <w:rFonts w:ascii="Arial" w:cs="Arial" w:eastAsia="Arial" w:hAnsi="Arial"/>
          <w:color w:val="4B5563"/>
          <w:sz w:val="22"/>
          <w:szCs w:val="22"/>
        </w:rPr>
        <w:t xml:space="preserve">The template item was not applicable to this specific pour or element</w:t>
      </w:r>
    </w:p>
    <w:p>
      <w:pPr>
        <w:pStyle w:val="ListParagraph"/>
        <w:numPr>
          <w:ilvl w:val="0"/>
          <w:numId w:val="2"/>
        </w:numPr>
        <w:spacing w:after="100"/>
      </w:pPr>
      <w:r>
        <w:rPr>
          <w:rFonts w:ascii="Arial" w:cs="Arial" w:eastAsia="Arial" w:hAnsi="Arial"/>
          <w:color w:val="4B5563"/>
          <w:sz w:val="22"/>
          <w:szCs w:val="22"/>
        </w:rPr>
        <w:t xml:space="preserve">The engineer’s sign-off exists as a separate attached document rather than a signature in the ITP form</w:t>
      </w:r>
    </w:p>
    <w:p>
      <w:pPr>
        <w:pStyle w:val="ListParagraph"/>
        <w:numPr>
          <w:ilvl w:val="0"/>
          <w:numId w:val="2"/>
        </w:numPr>
        <w:spacing w:after="100"/>
      </w:pPr>
      <w:r>
        <w:rPr>
          <w:rFonts w:ascii="Arial" w:cs="Arial" w:eastAsia="Arial" w:hAnsi="Arial"/>
          <w:color w:val="4B5563"/>
          <w:sz w:val="22"/>
          <w:szCs w:val="22"/>
        </w:rPr>
        <w:t xml:space="preserve">The hold point was waived by the superintendent in good faith</w:t>
      </w:r>
    </w:p>
    <w:p>
      <w:pPr>
        <w:spacing w:after="80"/>
      </w:pPr>
      <w:r>
        <w:t xml:space="preserve"/>
      </w:r>
    </w:p>
    <w:p>
      <w:pPr>
        <w:spacing w:after="160"/>
      </w:pPr>
      <w:r>
        <w:rPr>
          <w:rFonts w:ascii="Arial" w:cs="Arial" w:eastAsia="Arial" w:hAnsi="Arial"/>
          <w:color w:val="4B5563"/>
          <w:sz w:val="22"/>
          <w:szCs w:val="22"/>
        </w:rPr>
        <w:t xml:space="preserve">An unsigned hold point is not automatically a scoring gap. If equivalent evidence exists elsewhere in the bundle, the hold point intent is considered satisfied.</w:t>
      </w:r>
    </w:p>
    <w:p>
      <w:pPr>
        <w:spacing w:after="200"/>
      </w:pPr>
      <w:r>
        <w:t xml:space="preserve"/>
      </w:r>
    </w:p>
    <w:p>
      <w:pPr>
        <w:pStyle w:val="Heading1"/>
      </w:pPr>
      <w:r>
        <w:rPr>
          <w:rFonts w:ascii="Arial" w:cs="Arial" w:eastAsia="Arial" w:hAnsi="Arial"/>
          <w:b/>
          <w:bCs/>
          <w:color w:val="1F3864"/>
          <w:sz w:val="34"/>
          <w:szCs w:val="34"/>
        </w:rPr>
        <w:t xml:space="preserve">8.  What to Flag as Missing</w:t>
      </w:r>
    </w:p>
    <w:p>
      <w:pPr>
        <w:spacing w:after="160"/>
      </w:pPr>
      <w:r>
        <w:rPr>
          <w:rFonts w:ascii="Arial" w:cs="Arial" w:eastAsia="Arial" w:hAnsi="Arial"/>
          <w:color w:val="4B5563"/>
          <w:sz w:val="22"/>
          <w:szCs w:val="22"/>
        </w:rPr>
        <w:t xml:space="preserve">The following gaps should be clearly identified in the report output regardless of the overall score. These are important callouts for the reviewer — they are not automatic score overrides, but they represent meaningful risks to the defensibility of the ITP package.</w:t>
      </w:r>
    </w:p>
    <w:p>
      <w:pPr>
        <w:spacing w:after="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500"/>
        <w:gridCol w:w="5572"/>
      </w:tblGrid>
      <w:tr>
        <w:tc>
          <w:tcPr>
            <w:tcW w:type="dxa" w:w="3500"/>
            <w:tcBorders>
              <w:top w:val="single" w:color="D1D5DB" w:sz="1"/>
              <w:left w:val="single" w:color="D1D5DB" w:sz="1"/>
              <w:bottom w:val="single" w:color="D1D5DB" w:sz="1"/>
              <w:right w:val="single" w:color="D1D5DB" w:sz="1"/>
            </w:tcBorders>
            <w:shd w:fill="1F3864"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FFFFFF"/>
                <w:sz w:val="20"/>
                <w:szCs w:val="20"/>
              </w:rPr>
              <w:t xml:space="preserve">Gap</w:t>
            </w:r>
          </w:p>
        </w:tc>
        <w:tc>
          <w:tcPr>
            <w:tcW w:type="dxa" w:w="5572"/>
            <w:tcBorders>
              <w:top w:val="single" w:color="D1D5DB" w:sz="1"/>
              <w:left w:val="single" w:color="D1D5DB" w:sz="1"/>
              <w:bottom w:val="single" w:color="D1D5DB" w:sz="1"/>
              <w:right w:val="single" w:color="D1D5DB" w:sz="1"/>
            </w:tcBorders>
            <w:shd w:fill="1F3864"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FFFFFF"/>
                <w:sz w:val="20"/>
                <w:szCs w:val="20"/>
              </w:rPr>
              <w:t xml:space="preserve">Why It Matters</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1F2937"/>
                <w:sz w:val="20"/>
                <w:szCs w:val="20"/>
              </w:rPr>
              <w:t xml:space="preserve">Structural ITP with zero engineer verification of any kind</w:t>
            </w:r>
          </w:p>
        </w:tc>
        <w:tc>
          <w:tcPr>
            <w:tcW w:type="dxa" w:w="55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4B5563"/>
                <w:sz w:val="20"/>
                <w:szCs w:val="20"/>
              </w:rPr>
              <w:t xml:space="preserve">No independent technical confirmation that the work met specification. This is the highest-priority gap for structural work and should always be clearly flagged.</w:t>
            </w:r>
          </w:p>
        </w:tc>
      </w:tr>
      <w:tr>
        <w:tc>
          <w:tcPr>
            <w:tcW w:type="dxa" w:w="3500"/>
            <w:tcBorders>
              <w:top w:val="single" w:color="D1D5DB" w:sz="1"/>
              <w:left w:val="single" w:color="D1D5DB" w:sz="1"/>
              <w:bottom w:val="single" w:color="D1D5DB" w:sz="1"/>
              <w:right w:val="single" w:color="D1D5DB" w:sz="1"/>
            </w:tcBorders>
            <w:shd w:fill="FFF8F8"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1F2937"/>
                <w:sz w:val="20"/>
                <w:szCs w:val="20"/>
              </w:rPr>
              <w:t xml:space="preserve">Waterproofing ITP with no test evidence of any kind</w:t>
            </w:r>
          </w:p>
        </w:tc>
        <w:tc>
          <w:tcPr>
            <w:tcW w:type="dxa" w:w="5572"/>
            <w:tcBorders>
              <w:top w:val="single" w:color="D1D5DB" w:sz="1"/>
              <w:left w:val="single" w:color="D1D5DB" w:sz="1"/>
              <w:bottom w:val="single" w:color="D1D5DB" w:sz="1"/>
              <w:right w:val="single" w:color="D1D5DB" w:sz="1"/>
            </w:tcBorders>
            <w:shd w:fill="FFF8F8"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4B5563"/>
                <w:sz w:val="20"/>
                <w:szCs w:val="20"/>
              </w:rPr>
              <w:t xml:space="preserve">Without a flood test or equivalent, there is no evidence the membrane performed as required before concealment.</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1F2937"/>
                <w:sz w:val="20"/>
                <w:szCs w:val="20"/>
              </w:rPr>
              <w:t xml:space="preserve">Structural concrete pour with no delivery dockets or cylinder test results</w:t>
            </w:r>
          </w:p>
        </w:tc>
        <w:tc>
          <w:tcPr>
            <w:tcW w:type="dxa" w:w="55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4B5563"/>
                <w:sz w:val="20"/>
                <w:szCs w:val="20"/>
              </w:rPr>
              <w:t xml:space="preserve">The concrete compliance record is incomplete. Mix design, specified strength, and volume cannot be independently confirmed.</w:t>
            </w:r>
          </w:p>
        </w:tc>
      </w:tr>
      <w:tr>
        <w:tc>
          <w:tcPr>
            <w:tcW w:type="dxa" w:w="3500"/>
            <w:tcBorders>
              <w:top w:val="single" w:color="D1D5DB" w:sz="1"/>
              <w:left w:val="single" w:color="D1D5DB" w:sz="1"/>
              <w:bottom w:val="single" w:color="D1D5DB" w:sz="1"/>
              <w:right w:val="single" w:color="D1D5DB" w:sz="1"/>
            </w:tcBorders>
            <w:shd w:fill="FFF8F8"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1F2937"/>
                <w:sz w:val="20"/>
                <w:szCs w:val="20"/>
              </w:rPr>
              <w:t xml:space="preserve">Subcontractor ITP present but in Open status</w:t>
            </w:r>
          </w:p>
        </w:tc>
        <w:tc>
          <w:tcPr>
            <w:tcW w:type="dxa" w:w="5572"/>
            <w:tcBorders>
              <w:top w:val="single" w:color="D1D5DB" w:sz="1"/>
              <w:left w:val="single" w:color="D1D5DB" w:sz="1"/>
              <w:bottom w:val="single" w:color="D1D5DB" w:sz="1"/>
              <w:right w:val="single" w:color="D1D5DB" w:sz="1"/>
            </w:tcBorders>
            <w:shd w:fill="FFF8F8"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4B5563"/>
                <w:sz w:val="20"/>
                <w:szCs w:val="20"/>
              </w:rPr>
              <w:t xml:space="preserve">The subcontractor has not formally signed off their scope. A closed and countersigned version is needed. Flagged even if the main ITP is otherwise complete.</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1F2937"/>
                <w:sz w:val="20"/>
                <w:szCs w:val="20"/>
              </w:rPr>
              <w:t xml:space="preserve">Engineer report identifies unresolved items — no follow-up evidence</w:t>
            </w:r>
          </w:p>
        </w:tc>
        <w:tc>
          <w:tcPr>
            <w:tcW w:type="dxa" w:w="55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4B5563"/>
                <w:sz w:val="20"/>
                <w:szCs w:val="20"/>
              </w:rPr>
              <w:t xml:space="preserve">Work was flagged as incomplete or deficient at time of inspection. Without evidence that those items were resolved before close-out, the ITP package is not defensible.</w:t>
            </w:r>
          </w:p>
        </w:tc>
      </w:tr>
      <w:tr>
        <w:tc>
          <w:tcPr>
            <w:tcW w:type="dxa" w:w="3500"/>
            <w:tcBorders>
              <w:top w:val="single" w:color="D1D5DB" w:sz="1"/>
              <w:left w:val="single" w:color="D1D5DB" w:sz="1"/>
              <w:bottom w:val="single" w:color="D1D5DB" w:sz="1"/>
              <w:right w:val="single" w:color="D1D5DB" w:sz="1"/>
            </w:tcBorders>
            <w:shd w:fill="FFF8F8"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1F2937"/>
                <w:sz w:val="20"/>
                <w:szCs w:val="20"/>
              </w:rPr>
              <w:t xml:space="preserve">Multiple copies of a document, all in Open status</w:t>
            </w:r>
          </w:p>
        </w:tc>
        <w:tc>
          <w:tcPr>
            <w:tcW w:type="dxa" w:w="5572"/>
            <w:tcBorders>
              <w:top w:val="single" w:color="D1D5DB" w:sz="1"/>
              <w:left w:val="single" w:color="D1D5DB" w:sz="1"/>
              <w:bottom w:val="single" w:color="D1D5DB" w:sz="1"/>
              <w:right w:val="single" w:color="D1D5DB" w:sz="1"/>
            </w:tcBorders>
            <w:shd w:fill="FFF8F8"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4B5563"/>
                <w:sz w:val="20"/>
                <w:szCs w:val="20"/>
              </w:rPr>
              <w:t xml:space="preserve">Suggests the bundle was assembled without quality checking. A signed, closed final version is required. Flagged with a note that the bundle should be reviewed.</w:t>
            </w:r>
          </w:p>
        </w:tc>
      </w:tr>
    </w:tbl>
    <w:p>
      <w:pPr>
        <w:spacing w:after="200"/>
      </w:pPr>
      <w:r>
        <w:t xml:space="preserve"/>
      </w:r>
    </w:p>
    <w:p>
      <w:pPr>
        <w:pBdr>
          <w:top w:val="single" w:color="D97706" w:sz="8" w:space="6"/>
        </w:pBdr>
        <w:spacing w:after="160" w:before="320"/>
      </w:pPr>
      <w:r>
        <w:rPr>
          <w:rFonts w:ascii="Arial" w:cs="Arial" w:eastAsia="Arial" w:hAnsi="Arial"/>
          <w:i/>
          <w:iCs/>
          <w:color w:val="9CA3AF"/>
          <w:sz w:val="20"/>
          <w:szCs w:val="20"/>
        </w:rPr>
        <w:t xml:space="preserve">This is a living document. As new ITP types or edge cases are encountered in the field, the document type classifications, scoring weights, and flagging rules should be reviewed and updated to reflect current practice.</w:t>
      </w:r>
    </w:p>
    <w:sectPr>
      <w:headerReference w:type="default" r:id="rId7"/>
      <w:footerReference w:type="default" r:id="rId8"/>
      <w:pgSz w:w="12240" w:h="15840"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2"/>
      </w:pBdr>
      <w:tabs>
        <w:tab w:val="right" w:pos="9072"/>
      </w:tabs>
      <w:spacing w:after="0" w:before="80"/>
    </w:pPr>
    <w:r>
      <w:rPr>
        <w:rFonts w:ascii="Arial" w:cs="Arial" w:eastAsia="Arial" w:hAnsi="Arial"/>
        <w:color w:val="9CA3AF"/>
        <w:sz w:val="18"/>
        <w:szCs w:val="18"/>
      </w:rPr>
      <w:t xml:space="preserve">Fleek Constructions — Confidential</w:t>
    </w:r>
    <w:r>
      <w:rPr>
        <w:rFonts w:ascii="Arial" w:cs="Arial" w:eastAsia="Arial" w:hAnsi="Arial"/>
        <w:sz w:val="18"/>
        <w:szCs w:val="18"/>
      </w:rPr>
      <w:t xml:space="preserve">	</w:t>
    </w: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7706" w:sz="8" w:space="2"/>
      </w:pBdr>
      <w:tabs>
        <w:tab w:val="right" w:pos="9072"/>
      </w:tabs>
      <w:spacing w:after="0"/>
    </w:pPr>
    <w:r>
      <w:rPr>
        <w:rFonts w:ascii="Arial" w:cs="Arial" w:eastAsia="Arial" w:hAnsi="Arial"/>
        <w:b/>
        <w:bCs/>
        <w:color w:val="1F3864"/>
        <w:sz w:val="20"/>
        <w:szCs w:val="20"/>
      </w:rPr>
      <w:t xml:space="preserve">Fleek Constructions</w:t>
    </w:r>
    <w:r>
      <w:rPr>
        <w:rFonts w:ascii="Arial" w:cs="Arial" w:eastAsia="Arial" w:hAnsi="Arial"/>
        <w:color w:val="9CA3AF"/>
        <w:sz w:val="20"/>
        <w:szCs w:val="20"/>
      </w:rPr>
      <w:t xml:space="preserve">  —  ITP QA Scoring Guidelines</w:t>
    </w:r>
    <w:r>
      <w:rPr>
        <w:rFonts w:ascii="Arial" w:cs="Arial" w:eastAsia="Arial" w:hAnsi="Arial"/>
        <w:sz w:val="20"/>
        <w:szCs w:val="20"/>
      </w:rPr>
      <w:t xml:space="preserve">	</w:t>
    </w:r>
    <w:r>
      <w:rPr>
        <w:rFonts w:ascii="Arial" w:cs="Arial" w:eastAsia="Arial" w:hAnsi="Arial"/>
        <w:color w:val="9CA3AF"/>
        <w:sz w:val="18"/>
        <w:szCs w:val="18"/>
      </w:rPr>
      <w:t xml:space="preserve">Internal Reference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7706" w:sz="4" w:space="4"/>
      </w:pBdr>
      <w:spacing w:after="200" w:before="480"/>
      <w:outlineLvl w:val="0"/>
    </w:pPr>
    <w:rPr>
      <w:rFonts w:ascii="Arial" w:cs="Arial" w:eastAsia="Arial" w:hAnsi="Arial"/>
      <w:b/>
      <w:bCs/>
      <w:color w:val="1F3864"/>
      <w:sz w:val="34"/>
      <w:szCs w:val="34"/>
    </w:rPr>
  </w:style>
  <w:style w:type="paragraph" w:styleId="Heading2">
    <w:name w:val="Heading 2"/>
    <w:basedOn w:val="Normal"/>
    <w:next w:val="Normal"/>
    <w:qFormat/>
    <w:pPr>
      <w:spacing w:after="140" w:before="300"/>
      <w:outlineLvl w:val="1"/>
    </w:pPr>
    <w:rPr>
      <w:rFonts w:ascii="Arial" w:cs="Arial" w:eastAsia="Arial" w:hAnsi="Arial"/>
      <w:b/>
      <w:bCs/>
      <w:color w:val="1F3864"/>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2026-04-15T03:31:31.175Z</dcterms:created>
  <dcterms:modified xsi:type="dcterms:W3CDTF">2026-04-15T03:31:31.175Z</dcterms:modified>
</cp:coreProperties>
</file>

<file path=docProps/custom.xml><?xml version="1.0" encoding="utf-8"?>
<Properties xmlns="http://schemas.openxmlformats.org/officeDocument/2006/custom-properties" xmlns:vt="http://schemas.openxmlformats.org/officeDocument/2006/docPropsVTypes"/>
</file>