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should be completed whenever workshops are held, design changes are made, or progress/set-backs are encountered. List the members involved, note the date, and circle the team this documentation specifically involves. Save a copy in this same folder with the date in the title EX: “8/5/19 Documentation” so that team leads can review.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Dan Beaudrie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Minseok Lee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Christian Zawisza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Ethan James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9-23-19</w:t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(check circle):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Mechanical: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Biomedical: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Ergonomics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Assignment/Task: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Sensor validation of EMG. Write code to receive and display signals from EMG.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and understand Emg Data sheet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Unresolved Issues: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Don’t know what the values being displayed actually mean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know what range of values we want to filter for.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Title"/>
      <w:spacing w:line="240" w:lineRule="auto"/>
      <w:rPr/>
    </w:pPr>
    <w:bookmarkStart w:colFirst="0" w:colLast="0" w:name="_heading=h.gjdgxs" w:id="0"/>
    <w:bookmarkEnd w:id="0"/>
    <w:r w:rsidDel="00000000" w:rsidR="00000000" w:rsidRPr="00000000">
      <w:rPr/>
      <w:drawing>
        <wp:inline distB="114300" distT="114300" distL="114300" distR="114300">
          <wp:extent cx="833438" cy="8334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22"/>
        <w:szCs w:val="22"/>
        <w:rtl w:val="0"/>
      </w:rPr>
      <w:t xml:space="preserve">STARX Documentation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Title"/>
      <w:spacing w:line="240" w:lineRule="auto"/>
      <w:rPr/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jY1LbjnPhp/QKQR2r4XTEh11A==">AMUW2mXqjyURRxS6R2MTCpkB0Un+/jsbG73aeStcj6s3yQkcHYFxaqX0r78O8tPDebmmA6GNttGa5eG2+PjV15g4O1gaAlDM9uIFUcUz0W83PdoztEUuS3Skpktugfaqbl0jBRgci1bx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