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 Knowledge Overview</w:t>
      </w:r>
    </w:p>
    <w:p>
      <w:r>
        <w:t>This overview describes the clinical topics that informed the hypertension management design. The architecture document develops these topics into proposed system behavior, and the reference list identifies the clinical publications.</w:t>
      </w:r>
    </w:p>
    <w:p>
      <w:pPr>
        <w:pStyle w:val="Heading1"/>
      </w:pPr>
      <w:r>
        <w:t>Measurement and classification</w:t>
      </w:r>
    </w:p>
    <w:p>
      <w:r>
        <w:t>The proposed system needs a consistent representation of home and office measurements, including units, timestamps, measurement context, and data provenance. It separates measurement validation from clinical interpretation and uses longitudinal readings when evaluating control.</w:t>
      </w:r>
    </w:p>
    <w:p>
      <w:pPr>
        <w:pStyle w:val="Heading1"/>
      </w:pPr>
      <w:r>
        <w:t>Goals and treatment planning</w:t>
      </w:r>
    </w:p>
    <w:p>
      <w:r>
        <w:t>Goal setting and treatment selection depend on clinical context. The design therefore separates patient facts, guideline versions, decision-tree logic, and medication reference tables. Cardiovascular risk, comorbid conditions, intolerance, and relevant laboratory results appear as explicit inputs.</w:t>
      </w:r>
    </w:p>
    <w:p>
      <w:pPr>
        <w:pStyle w:val="Heading1"/>
      </w:pPr>
      <w:r>
        <w:t>Medication and adherence</w:t>
      </w:r>
    </w:p>
    <w:p>
      <w:r>
        <w:t>Medication history includes prescribed therapy, reported use, dispensing information, allergies, and previous adverse effects. The design checks adherence and other explanations for apparent lack of control before recommending intensification. Drug-class selection, specific medication selection, and dose selection are distinct steps.</w:t>
      </w:r>
    </w:p>
    <w:p>
      <w:pPr>
        <w:pStyle w:val="Heading1"/>
      </w:pPr>
      <w:r>
        <w:t>Safety and escalation</w:t>
      </w:r>
    </w:p>
    <w:p>
      <w:r>
        <w:t>The architecture considers acute symptoms, severe readings, pregnancy, hypotension, laboratory abnormalities, drug interactions, and monitoring gaps. It distinguishes routine follow-up from cases requiring clinician assessment or urgent escalation. A language model does not replace the proposed deterministic safety checks or authorization policy.</w:t>
      </w:r>
    </w:p>
    <w:p>
      <w:pPr>
        <w:pStyle w:val="Heading1"/>
      </w:pPr>
      <w:r>
        <w:t>Longitudinal care</w:t>
      </w:r>
    </w:p>
    <w:p>
      <w:r>
        <w:t>Care states represent treatment initiation, waiting for effect, assessment of uncontrolled readings, adherence intervention, adverse effects, stability, and clinician review. Follow-up scheduling depends on those states and on outstanding tasks such as laboratory monitoring.</w:t>
      </w:r>
    </w:p>
    <w:p>
      <w:pPr>
        <w:pStyle w:val="Heading1"/>
      </w:pPr>
      <w:r>
        <w:t>Evidence and versioning</w:t>
      </w:r>
    </w:p>
    <w:p>
      <w:r>
        <w:t>The research set included the 2025 AHA/ACC hypertension guideline, UpToDate reviews and pathways, and PREVENT risk equations. Their names remain visible for attribution. Full publisher PDFs and screenshots are not redistributed in this repository.</w:t>
      </w:r>
    </w:p>
    <w:sectPr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Knowledge Overview</dc:title>
</cp:coreProperties>
</file>