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Medication Renewal Workflow Background</w:t>
      </w:r>
    </w:p>
    <w:p>
      <w:r>
        <w:t>This neutral background note captures design ideas relevant to routine medication renewal. It generalizes an organization-specific research document and describes a possible workflow rather than an operating program or regulatory approval.</w:t>
      </w:r>
    </w:p>
    <w:p>
      <w:pPr>
        <w:pStyle w:val="Heading1"/>
      </w:pPr>
      <w:r>
        <w:t>Patient and prescription verification</w:t>
      </w:r>
    </w:p>
    <w:p>
      <w:r>
        <w:t>Confirm the patient's identity, care location, medication, dose, schedule, and prescribing history. Compare available records with dispensing information. Unresolved identity, prescription, or record discrepancies require human review.</w:t>
      </w:r>
    </w:p>
    <w:p>
      <w:pPr>
        <w:pStyle w:val="Heading1"/>
      </w:pPr>
      <w:r>
        <w:t>Focused assessment</w:t>
      </w:r>
    </w:p>
    <w:p>
      <w:r>
        <w:t>Gather the indication, perceived benefit, adherence, adverse effects, allergies, other medications and supplements, recent clinical changes, and monitoring results. Ask only the questions needed to assess the renewal within the defined scope.</w:t>
      </w:r>
    </w:p>
    <w:p>
      <w:pPr>
        <w:pStyle w:val="Heading1"/>
      </w:pPr>
      <w:r>
        <w:t>Recommendation and authorization</w:t>
      </w:r>
    </w:p>
    <w:p>
      <w:r>
        <w:t>Evaluate the request against an explicit formulary and a versioned clinical protocol. Safety checks examine contraindications, interactions, and missing information. The proposed system routes uncertain or out-of-scope cases to a clinician and applies the required authorization before any prescription transmission.</w:t>
      </w:r>
    </w:p>
    <w:p>
      <w:pPr>
        <w:pStyle w:val="Heading1"/>
      </w:pPr>
      <w:r>
        <w:t>Human review and patient choice</w:t>
      </w:r>
    </w:p>
    <w:p>
      <w:r>
        <w:t>Patients should be able to request a clinician. Clinicians and pharmacists need a clear route to raise concerns and review the available evidence. The interface should identify which actions are automated and which require professional judgment.</w:t>
      </w:r>
    </w:p>
    <w:p>
      <w:pPr>
        <w:pStyle w:val="Heading1"/>
      </w:pPr>
      <w:r>
        <w:t>Oversight and learning</w:t>
      </w:r>
    </w:p>
    <w:p>
      <w:r>
        <w:t>Begin with clinician review of proposed actions. Any later change in automation depends on defined evidence and governance, rather than an assumed entitlement to prescribe. Audit records should capture the inputs, recommendation, safety results, approval or rejection, and outcome.</w:t>
      </w:r>
    </w:p>
    <w:p>
      <w:pPr>
        <w:pStyle w:val="Heading1"/>
      </w:pPr>
      <w:r>
        <w:t>Evaluation measures</w:t>
      </w:r>
    </w:p>
    <w:p>
      <w:pPr>
        <w:pStyle w:val="ListBullet"/>
      </w:pPr>
      <w:r>
        <w:t>Agreement between proposed recommendations and clinician decisions.</w:t>
      </w:r>
    </w:p>
    <w:p>
      <w:pPr>
        <w:pStyle w:val="ListBullet"/>
      </w:pPr>
      <w:r>
        <w:t>Technical completion, time to resolution, and incomplete workflows.</w:t>
      </w:r>
    </w:p>
    <w:p>
      <w:pPr>
        <w:pStyle w:val="ListBullet"/>
      </w:pPr>
      <w:r>
        <w:t>Escalations initiated by the system, patient, clinician, or pharmacist.</w:t>
      </w:r>
    </w:p>
    <w:p>
      <w:pPr>
        <w:pStyle w:val="ListBullet"/>
      </w:pPr>
      <w:r>
        <w:t>Adverse events, overrides, and reasons for rejected recommendations.</w:t>
      </w:r>
    </w:p>
    <w:p>
      <w:pPr>
        <w:pStyle w:val="ListBullet"/>
      </w:pPr>
      <w:r>
        <w:t>Patient experience and continuity of medication access.</w:t>
      </w:r>
    </w:p>
    <w:sectPr>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40"/>
      <w:contextualSpacing/>
    </w:pPr>
    <w:rPr>
      <w:rFonts w:asciiTheme="majorHAnsi" w:eastAsiaTheme="majorEastAsia" w:hAnsiTheme="majorHAnsi" w:cstheme="majorBidi" w:ascii="Arial" w:hAnsi="Arial"/>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Medication Renewal Workflow Background</dc:title>
</cp:coreProperties>
</file>