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26"/>
          <w:szCs w:val="26"/>
        </w:rPr>
        <w:t xml:space="preserve">FICHA TÉCNICA: CONOCIMIENTO DEL DOMINIO Y CONTEXTO DEL PROYECTO</w:t>
      </w:r>
    </w:p>
    <w:p>
      <w:pPr>
        <w:spacing w:after="200"/>
      </w:pPr>
      <w:r>
        <w:rPr>
          <w:color w:val="595959"/>
          <w:sz w:val="19"/>
          <w:szCs w:val="19"/>
        </w:rPr>
        <w:t xml:space="preserve">Equipo 3 - PP1 - Economía del Conocimiento - 2C - 2026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5938"/>
      </w:tblGrid>
      <w:tr>
        <w:trPr>
          <w:tblHeader/>
        </w:trPr>
        <w:tc>
          <w:tcPr>
            <w:tcW w:type="dxa" w:w="1700"/>
            <w:tcBorders>
              <w:top w:val="single" w:color="000000" w:sz="4"/>
              <w:left w:val="single" w:color="000000" w:sz="4"/>
              <w:bottom w:val="single" w:color="000000" w:sz="4"/>
              <w:right w:val="single" w:color="000000" w:sz="4"/>
            </w:tcBorders>
            <w:shd w:fill="1F3864" w:color="auto" w:val="clear"/>
            <w:tcMar>
              <w:top w:type="dxa" w:w="80"/>
              <w:left w:type="dxa" w:w="110"/>
              <w:bottom w:type="dxa" w:w="80"/>
              <w:right w:type="dxa" w:w="110"/>
            </w:tcMar>
          </w:tcPr>
          <w:p>
            <w:r>
              <w:rPr>
                <w:b/>
                <w:bCs/>
                <w:color w:val="FFFFFF"/>
                <w:sz w:val="19"/>
                <w:szCs w:val="19"/>
              </w:rPr>
              <w:t xml:space="preserve">SECCIÓN</w:t>
            </w:r>
          </w:p>
        </w:tc>
        <w:tc>
          <w:tcPr>
            <w:tcW w:type="dxa" w:w="2000"/>
            <w:tcBorders>
              <w:top w:val="single" w:color="000000" w:sz="4"/>
              <w:left w:val="single" w:color="000000" w:sz="4"/>
              <w:bottom w:val="single" w:color="000000" w:sz="4"/>
              <w:right w:val="single" w:color="000000" w:sz="4"/>
            </w:tcBorders>
            <w:shd w:fill="1F3864" w:color="auto" w:val="clear"/>
            <w:tcMar>
              <w:top w:type="dxa" w:w="80"/>
              <w:left w:type="dxa" w:w="110"/>
              <w:bottom w:type="dxa" w:w="80"/>
              <w:right w:type="dxa" w:w="110"/>
            </w:tcMar>
          </w:tcPr>
          <w:p>
            <w:r>
              <w:rPr>
                <w:b/>
                <w:bCs/>
                <w:color w:val="FFFFFF"/>
                <w:sz w:val="19"/>
                <w:szCs w:val="19"/>
              </w:rPr>
              <w:t xml:space="preserve">CAMPO DE REGISTRO</w:t>
            </w:r>
          </w:p>
        </w:tc>
        <w:tc>
          <w:tcPr>
            <w:tcW w:type="dxa" w:w="5938"/>
            <w:tcBorders>
              <w:top w:val="single" w:color="000000" w:sz="4"/>
              <w:left w:val="single" w:color="000000" w:sz="4"/>
              <w:bottom w:val="single" w:color="000000" w:sz="4"/>
              <w:right w:val="single" w:color="000000" w:sz="4"/>
            </w:tcBorders>
            <w:shd w:fill="1F3864" w:color="auto" w:val="clear"/>
            <w:tcMar>
              <w:top w:type="dxa" w:w="80"/>
              <w:left w:type="dxa" w:w="110"/>
              <w:bottom w:type="dxa" w:w="80"/>
              <w:right w:type="dxa" w:w="110"/>
            </w:tcMar>
          </w:tcPr>
          <w:p>
            <w:r>
              <w:rPr>
                <w:b/>
                <w:bCs/>
                <w:color w:val="FFFFFF"/>
                <w:sz w:val="19"/>
                <w:szCs w:val="19"/>
              </w:rPr>
              <w:t xml:space="preserve">DESCRIPCIÓN / CONTENIDO</w:t>
            </w:r>
          </w:p>
        </w:tc>
      </w:tr>
      <w:tr>
        <w:tc>
          <w:tcPr>
            <w:tcW w:type="dxa" w:w="1700"/>
            <w:vMerge w:val="restart"/>
            <w:tcBorders>
              <w:top w:val="single" w:color="000000" w:sz="4"/>
              <w:left w:val="single" w:color="000000" w:sz="4"/>
              <w:bottom w:val="single" w:color="000000" w:sz="4"/>
              <w:right w:val="single" w:color="000000" w:sz="4"/>
            </w:tcBorders>
            <w:shd w:fill="D9E2F3" w:color="auto" w:val="clear"/>
            <w:tcMar>
              <w:top w:type="dxa" w:w="80"/>
              <w:left w:type="dxa" w:w="110"/>
              <w:bottom w:type="dxa" w:w="80"/>
              <w:right w:type="dxa" w:w="110"/>
            </w:tcMar>
            <w:vAlign w:val="center"/>
          </w:tcPr>
          <w:p>
            <w:r>
              <w:rPr>
                <w:b/>
                <w:bCs/>
                <w:sz w:val="19"/>
                <w:szCs w:val="19"/>
              </w:rPr>
              <w:t xml:space="preserve">Identificación</w:t>
            </w:r>
          </w:p>
        </w:tc>
        <w:tc>
          <w:tcPr>
            <w:tcW w:type="dxa" w:w="2000"/>
            <w:tcBorders>
              <w:top w:val="single" w:color="000000" w:sz="4"/>
              <w:left w:val="single" w:color="000000" w:sz="4"/>
              <w:bottom w:val="single" w:color="000000" w:sz="4"/>
              <w:right w:val="single" w:color="000000" w:sz="4"/>
            </w:tcBorders>
            <w:shd w:fill="F2F2F2" w:color="auto" w:val="clear"/>
            <w:tcMar>
              <w:top w:type="dxa" w:w="80"/>
              <w:left w:type="dxa" w:w="110"/>
              <w:bottom w:type="dxa" w:w="80"/>
              <w:right w:type="dxa" w:w="110"/>
            </w:tcMar>
            <w:vAlign w:val="top"/>
          </w:tcPr>
          <w:p>
            <w:r>
              <w:rPr>
                <w:b/>
                <w:bCs/>
                <w:sz w:val="19"/>
                <w:szCs w:val="19"/>
              </w:rPr>
              <w:t xml:space="preserve">Nombre del Proyecto</w:t>
            </w:r>
          </w:p>
        </w:tc>
        <w:tc>
          <w:tcPr>
            <w:tcW w:type="dxa" w:w="5938"/>
            <w:tcBorders>
              <w:top w:val="single" w:color="000000" w:sz="4"/>
              <w:left w:val="single" w:color="000000" w:sz="4"/>
              <w:bottom w:val="single" w:color="000000" w:sz="4"/>
              <w:right w:val="single" w:color="000000" w:sz="4"/>
            </w:tcBorders>
            <w:tcMar>
              <w:top w:type="dxa" w:w="80"/>
              <w:left w:type="dxa" w:w="110"/>
              <w:bottom w:type="dxa" w:w="80"/>
              <w:right w:type="dxa" w:w="110"/>
            </w:tcMar>
            <w:vAlign w:val="top"/>
          </w:tcPr>
          <w:p>
            <w:pPr>
              <w:spacing w:after="60"/>
            </w:pPr>
            <w:r>
              <w:rPr>
                <w:sz w:val="19"/>
                <w:szCs w:val="19"/>
              </w:rPr>
              <w:t xml:space="preserve">La inteligencia artificial y el talento en la Economía del Conocimiento argentina: salarios, financiamiento público y empleo en servicios informáticos.</w:t>
            </w:r>
          </w:p>
        </w:tc>
      </w:tr>
      <w:tr>
        <w:tc>
          <w:tcPr>
            <w:vMerge w:val="continue"/>
            <w:tcBorders>
              <w:top w:val="single" w:color="000000" w:sz="4"/>
              <w:left w:val="single" w:color="000000" w:sz="4"/>
              <w:bottom w:val="single" w:color="000000" w:sz="4"/>
              <w:right w:val="single" w:color="000000" w:sz="4"/>
            </w:tcBorders>
          </w:tcPr>
          <w:p/>
        </w:tc>
        <w:tc>
          <w:tcPr>
            <w:tcW w:type="dxa" w:w="2000"/>
            <w:tcBorders>
              <w:top w:val="single" w:color="000000" w:sz="4"/>
              <w:left w:val="single" w:color="000000" w:sz="4"/>
              <w:bottom w:val="single" w:color="000000" w:sz="4"/>
              <w:right w:val="single" w:color="000000" w:sz="4"/>
            </w:tcBorders>
            <w:shd w:fill="F2F2F2" w:color="auto" w:val="clear"/>
            <w:tcMar>
              <w:top w:type="dxa" w:w="80"/>
              <w:left w:type="dxa" w:w="110"/>
              <w:bottom w:type="dxa" w:w="80"/>
              <w:right w:type="dxa" w:w="110"/>
            </w:tcMar>
            <w:vAlign w:val="top"/>
          </w:tcPr>
          <w:p>
            <w:r>
              <w:rPr>
                <w:b/>
                <w:bCs/>
                <w:sz w:val="19"/>
                <w:szCs w:val="19"/>
              </w:rPr>
              <w:t xml:space="preserve">Eje Temático</w:t>
            </w:r>
          </w:p>
        </w:tc>
        <w:tc>
          <w:tcPr>
            <w:tcW w:type="dxa" w:w="5938"/>
            <w:tcBorders>
              <w:top w:val="single" w:color="000000" w:sz="4"/>
              <w:left w:val="single" w:color="000000" w:sz="4"/>
              <w:bottom w:val="single" w:color="000000" w:sz="4"/>
              <w:right w:val="single" w:color="000000" w:sz="4"/>
            </w:tcBorders>
            <w:tcMar>
              <w:top w:type="dxa" w:w="80"/>
              <w:left w:type="dxa" w:w="110"/>
              <w:bottom w:type="dxa" w:w="80"/>
              <w:right w:type="dxa" w:w="110"/>
            </w:tcMar>
            <w:vAlign w:val="top"/>
          </w:tcPr>
          <w:p>
            <w:pPr>
              <w:spacing w:after="60"/>
            </w:pPr>
            <w:r>
              <w:rPr>
                <w:sz w:val="19"/>
                <w:szCs w:val="19"/>
              </w:rPr>
              <w:t xml:space="preserve">Economía del Conocimiento (Ley N.° 27.506): software, servicios informáticos e industria 4.0, incluida la inteligencia artificial.</w:t>
            </w:r>
          </w:p>
        </w:tc>
      </w:tr>
      <w:tr>
        <w:tc>
          <w:tcPr>
            <w:tcW w:type="dxa" w:w="1700"/>
            <w:vMerge w:val="restart"/>
            <w:tcBorders>
              <w:top w:val="single" w:color="000000" w:sz="4"/>
              <w:left w:val="single" w:color="000000" w:sz="4"/>
              <w:bottom w:val="single" w:color="000000" w:sz="4"/>
              <w:right w:val="single" w:color="000000" w:sz="4"/>
            </w:tcBorders>
            <w:shd w:fill="D9E2F3" w:color="auto" w:val="clear"/>
            <w:tcMar>
              <w:top w:type="dxa" w:w="80"/>
              <w:left w:type="dxa" w:w="110"/>
              <w:bottom w:type="dxa" w:w="80"/>
              <w:right w:type="dxa" w:w="110"/>
            </w:tcMar>
            <w:vAlign w:val="center"/>
          </w:tcPr>
          <w:p>
            <w:r>
              <w:rPr>
                <w:b/>
                <w:bCs/>
                <w:sz w:val="19"/>
                <w:szCs w:val="19"/>
              </w:rPr>
              <w:t xml:space="preserve">Contexto de análisis</w:t>
            </w:r>
          </w:p>
        </w:tc>
        <w:tc>
          <w:tcPr>
            <w:tcW w:type="dxa" w:w="2000"/>
            <w:tcBorders>
              <w:top w:val="single" w:color="000000" w:sz="4"/>
              <w:left w:val="single" w:color="000000" w:sz="4"/>
              <w:bottom w:val="single" w:color="000000" w:sz="4"/>
              <w:right w:val="single" w:color="000000" w:sz="4"/>
            </w:tcBorders>
            <w:shd w:fill="F2F2F2" w:color="auto" w:val="clear"/>
            <w:tcMar>
              <w:top w:type="dxa" w:w="80"/>
              <w:left w:type="dxa" w:w="110"/>
              <w:bottom w:type="dxa" w:w="80"/>
              <w:right w:type="dxa" w:w="110"/>
            </w:tcMar>
            <w:vAlign w:val="top"/>
          </w:tcPr>
          <w:p>
            <w:r>
              <w:rPr>
                <w:b/>
                <w:bCs/>
                <w:sz w:val="19"/>
                <w:szCs w:val="19"/>
              </w:rPr>
              <w:t xml:space="preserve">Descripción del análisis</w:t>
            </w:r>
          </w:p>
        </w:tc>
        <w:tc>
          <w:tcPr>
            <w:tcW w:type="dxa" w:w="5938"/>
            <w:tcBorders>
              <w:top w:val="single" w:color="000000" w:sz="4"/>
              <w:left w:val="single" w:color="000000" w:sz="4"/>
              <w:bottom w:val="single" w:color="000000" w:sz="4"/>
              <w:right w:val="single" w:color="000000" w:sz="4"/>
            </w:tcBorders>
            <w:tcMar>
              <w:top w:type="dxa" w:w="80"/>
              <w:left w:type="dxa" w:w="110"/>
              <w:bottom w:type="dxa" w:w="80"/>
              <w:right w:type="dxa" w:w="110"/>
            </w:tcMar>
            <w:vAlign w:val="top"/>
          </w:tcPr>
          <w:p>
            <w:pPr>
              <w:spacing w:after="60"/>
            </w:pPr>
            <w:r>
              <w:rPr>
                <w:sz w:val="19"/>
                <w:szCs w:val="19"/>
              </w:rPr>
              <w:t xml:space="preserve">Se analiza la Economía del Conocimiento en Argentina a partir de dos ejes:</w:t>
            </w:r>
          </w:p>
          <w:p>
            <w:pPr>
              <w:pStyle w:val="ListParagraph"/>
              <w:numPr>
                <w:ilvl w:val="0"/>
                <w:numId w:val="2"/>
              </w:numPr>
              <w:spacing w:after="40"/>
            </w:pPr>
            <w:r>
              <w:rPr>
                <w:b/>
                <w:bCs/>
                <w:sz w:val="19"/>
                <w:szCs w:val="19"/>
              </w:rPr>
              <w:t xml:space="preserve">Talento en inteligencia artificial:</w:t>
            </w:r>
            <w:r>
              <w:rPr>
                <w:sz w:val="19"/>
                <w:szCs w:val="19"/>
              </w:rPr>
              <w:t xml:space="preserve"> los salarios de los puestos vinculados a datos e IA en comparación con el resto de los puestos IT.</w:t>
            </w:r>
          </w:p>
          <w:p>
            <w:pPr>
              <w:pStyle w:val="ListParagraph"/>
              <w:numPr>
                <w:ilvl w:val="0"/>
                <w:numId w:val="2"/>
              </w:numPr>
              <w:spacing w:after="40"/>
            </w:pPr>
            <w:r>
              <w:rPr>
                <w:b/>
                <w:bCs/>
                <w:sz w:val="19"/>
                <w:szCs w:val="19"/>
              </w:rPr>
              <w:t xml:space="preserve">Financiamiento y territorio:</w:t>
            </w:r>
            <w:r>
              <w:rPr>
                <w:sz w:val="19"/>
                <w:szCs w:val="19"/>
              </w:rPr>
              <w:t xml:space="preserve"> cómo se distribuyeron entre las provincias los fondos públicos de los programas de promoción de la Economía del Conocimiento (SOLUCIONA, SOLUCIONA II, NODOS, Producción Colaborativa, POTENCIAR y otros) y si esa distribución coincide con la cantidad de empleo registrado en servicios informáticos.</w:t>
            </w:r>
          </w:p>
          <w:p>
            <w:pPr>
              <w:spacing w:after="60"/>
            </w:pPr>
            <w:r>
              <w:rPr>
                <w:sz w:val="19"/>
                <w:szCs w:val="19"/>
              </w:rPr>
              <w:t xml:space="preserve">Para integrar las distintas fuentes se realiza un proceso ETL (extracción, transformación y carga) con Pentaho Data Integration, con carga en MySQL y visualización en Power BI.</w:t>
            </w:r>
          </w:p>
          <w:p>
            <w:pPr>
              <w:spacing w:after="60"/>
            </w:pPr>
            <w:r>
              <w:rPr>
                <w:sz w:val="19"/>
                <w:szCs w:val="19"/>
              </w:rPr>
              <w:t xml:space="preserve">El análisis es descriptivo: se resumen, comparan y visualizan los datos disponibles en fuentes públicas.</w:t>
            </w:r>
          </w:p>
        </w:tc>
      </w:tr>
      <w:tr>
        <w:tc>
          <w:tcPr>
            <w:vMerge w:val="continue"/>
            <w:tcBorders>
              <w:top w:val="single" w:color="000000" w:sz="4"/>
              <w:left w:val="single" w:color="000000" w:sz="4"/>
              <w:bottom w:val="single" w:color="000000" w:sz="4"/>
              <w:right w:val="single" w:color="000000" w:sz="4"/>
            </w:tcBorders>
          </w:tcPr>
          <w:p/>
        </w:tc>
        <w:tc>
          <w:tcPr>
            <w:tcW w:type="dxa" w:w="2000"/>
            <w:tcBorders>
              <w:top w:val="single" w:color="000000" w:sz="4"/>
              <w:left w:val="single" w:color="000000" w:sz="4"/>
              <w:bottom w:val="single" w:color="000000" w:sz="4"/>
              <w:right w:val="single" w:color="000000" w:sz="4"/>
            </w:tcBorders>
            <w:shd w:fill="F2F2F2" w:color="auto" w:val="clear"/>
            <w:tcMar>
              <w:top w:type="dxa" w:w="80"/>
              <w:left w:type="dxa" w:w="110"/>
              <w:bottom w:type="dxa" w:w="80"/>
              <w:right w:type="dxa" w:w="110"/>
            </w:tcMar>
            <w:vAlign w:val="top"/>
          </w:tcPr>
          <w:p>
            <w:r>
              <w:rPr>
                <w:b/>
                <w:bCs/>
                <w:sz w:val="19"/>
                <w:szCs w:val="19"/>
              </w:rPr>
              <w:t xml:space="preserve">Glosario de Términos</w:t>
            </w:r>
          </w:p>
        </w:tc>
        <w:tc>
          <w:tcPr>
            <w:tcW w:type="dxa" w:w="5938"/>
            <w:tcBorders>
              <w:top w:val="single" w:color="000000" w:sz="4"/>
              <w:left w:val="single" w:color="000000" w:sz="4"/>
              <w:bottom w:val="single" w:color="000000" w:sz="4"/>
              <w:right w:val="single" w:color="000000" w:sz="4"/>
            </w:tcBorders>
            <w:tcMar>
              <w:top w:type="dxa" w:w="80"/>
              <w:left w:type="dxa" w:w="110"/>
              <w:bottom w:type="dxa" w:w="80"/>
              <w:right w:type="dxa" w:w="110"/>
            </w:tcMar>
            <w:vAlign w:val="top"/>
          </w:tcPr>
          <w:p>
            <w:pPr>
              <w:pStyle w:val="ListParagraph"/>
              <w:numPr>
                <w:ilvl w:val="0"/>
                <w:numId w:val="2"/>
              </w:numPr>
              <w:spacing w:after="40"/>
            </w:pPr>
            <w:r>
              <w:rPr>
                <w:b/>
                <w:bCs/>
                <w:sz w:val="19"/>
                <w:szCs w:val="19"/>
              </w:rPr>
              <w:t xml:space="preserve">Economía del Conocimiento:</w:t>
            </w:r>
            <w:r>
              <w:rPr>
                <w:sz w:val="19"/>
                <w:szCs w:val="19"/>
              </w:rPr>
              <w:t xml:space="preserve"> conjunto de actividades productivas que usan el conocimiento y la tecnología como principal insumo. En Argentina las define la Ley 27.506.</w:t>
            </w:r>
          </w:p>
          <w:p>
            <w:pPr>
              <w:pStyle w:val="ListParagraph"/>
              <w:numPr>
                <w:ilvl w:val="0"/>
                <w:numId w:val="2"/>
              </w:numPr>
              <w:spacing w:after="40"/>
            </w:pPr>
            <w:r>
              <w:rPr>
                <w:b/>
                <w:bCs/>
                <w:sz w:val="19"/>
                <w:szCs w:val="19"/>
              </w:rPr>
              <w:t xml:space="preserve">Ley 27.506 (Régimen de Promoción de la Economía del Conocimiento):</w:t>
            </w:r>
            <w:r>
              <w:rPr>
                <w:sz w:val="19"/>
                <w:szCs w:val="19"/>
              </w:rPr>
              <w:t xml:space="preserve"> ley de 2019, modificada por la Ley 27.570 (2020), que otorga beneficios impositivos a las empresas inscriptas que realizan estas actividades.</w:t>
            </w:r>
          </w:p>
          <w:p>
            <w:pPr>
              <w:pStyle w:val="ListParagraph"/>
              <w:numPr>
                <w:ilvl w:val="0"/>
                <w:numId w:val="2"/>
              </w:numPr>
              <w:spacing w:after="40"/>
            </w:pPr>
            <w:r>
              <w:rPr>
                <w:b/>
                <w:bCs/>
                <w:sz w:val="19"/>
                <w:szCs w:val="19"/>
              </w:rPr>
              <w:t xml:space="preserve">Industria 4.0:</w:t>
            </w:r>
            <w:r>
              <w:rPr>
                <w:sz w:val="19"/>
                <w:szCs w:val="19"/>
              </w:rPr>
              <w:t xml:space="preserve"> incorporación de tecnologías digitales a la producción, como la inteligencia artificial, la robótica, el internet de las cosas y el análisis de datos.</w:t>
            </w:r>
          </w:p>
          <w:p>
            <w:pPr>
              <w:pStyle w:val="ListParagraph"/>
              <w:numPr>
                <w:ilvl w:val="0"/>
                <w:numId w:val="2"/>
              </w:numPr>
              <w:spacing w:after="40"/>
            </w:pPr>
            <w:r>
              <w:rPr>
                <w:b/>
                <w:bCs/>
                <w:sz w:val="19"/>
                <w:szCs w:val="19"/>
              </w:rPr>
              <w:t xml:space="preserve">Inteligencia artificial (IA):</w:t>
            </w:r>
            <w:r>
              <w:rPr>
                <w:sz w:val="19"/>
                <w:szCs w:val="19"/>
              </w:rPr>
              <w:t xml:space="preserve"> sistemas informáticos capaces de aprender de los datos y realizar tareas como clasificar, predecir o generar contenido.</w:t>
            </w:r>
          </w:p>
          <w:p>
            <w:pPr>
              <w:pStyle w:val="ListParagraph"/>
              <w:numPr>
                <w:ilvl w:val="0"/>
                <w:numId w:val="2"/>
              </w:numPr>
              <w:spacing w:after="40"/>
            </w:pPr>
            <w:r>
              <w:rPr>
                <w:b/>
                <w:bCs/>
                <w:sz w:val="19"/>
                <w:szCs w:val="19"/>
              </w:rPr>
              <w:t xml:space="preserve">Servicios informáticos:</w:t>
            </w:r>
            <w:r>
              <w:rPr>
                <w:sz w:val="19"/>
                <w:szCs w:val="19"/>
              </w:rPr>
              <w:t xml:space="preserve"> actividades de programación, consultoría informática y servicios relacionados. En el CEP XXI corresponden a una rama del clasificador CLAE.</w:t>
            </w:r>
          </w:p>
          <w:p>
            <w:pPr>
              <w:pStyle w:val="ListParagraph"/>
              <w:numPr>
                <w:ilvl w:val="0"/>
                <w:numId w:val="2"/>
              </w:numPr>
              <w:spacing w:after="40"/>
            </w:pPr>
            <w:r>
              <w:rPr>
                <w:b/>
                <w:bCs/>
                <w:sz w:val="19"/>
                <w:szCs w:val="19"/>
              </w:rPr>
              <w:t xml:space="preserve">CLAE:</w:t>
            </w:r>
            <w:r>
              <w:rPr>
                <w:sz w:val="19"/>
                <w:szCs w:val="19"/>
              </w:rPr>
              <w:t xml:space="preserve"> Clasificador de Actividades Económicas, que agrupa a las empresas según su actividad principal.</w:t>
            </w:r>
          </w:p>
          <w:p>
            <w:pPr>
              <w:pStyle w:val="ListParagraph"/>
              <w:numPr>
                <w:ilvl w:val="0"/>
                <w:numId w:val="2"/>
              </w:numPr>
              <w:spacing w:after="40"/>
            </w:pPr>
            <w:r>
              <w:rPr>
                <w:b/>
                <w:bCs/>
                <w:sz w:val="19"/>
                <w:szCs w:val="19"/>
              </w:rPr>
              <w:t xml:space="preserve">Puesto de trabajo asalariado registrado:</w:t>
            </w:r>
            <w:r>
              <w:rPr>
                <w:sz w:val="19"/>
                <w:szCs w:val="19"/>
              </w:rPr>
              <w:t xml:space="preserve"> empleo en relación de dependencia declarado ante la seguridad social. No incluye monotributistas ni trabajo informal.</w:t>
            </w:r>
          </w:p>
          <w:p>
            <w:pPr>
              <w:pStyle w:val="ListParagraph"/>
              <w:numPr>
                <w:ilvl w:val="0"/>
                <w:numId w:val="2"/>
              </w:numPr>
              <w:spacing w:after="40"/>
            </w:pPr>
            <w:r>
              <w:rPr>
                <w:b/>
                <w:bCs/>
                <w:sz w:val="19"/>
                <w:szCs w:val="19"/>
              </w:rPr>
              <w:t xml:space="preserve">Programas de promoción de la Economía del Conocimiento:</w:t>
            </w:r>
            <w:r>
              <w:rPr>
                <w:sz w:val="19"/>
                <w:szCs w:val="19"/>
              </w:rPr>
              <w:t xml:space="preserve"> programas nacionales que otorgaron fondos a proyectos del sector entre 2020 y 2023 aproximadamente:</w:t>
            </w:r>
          </w:p>
          <w:p>
            <w:pPr>
              <w:pStyle w:val="ListParagraph"/>
              <w:numPr>
                <w:ilvl w:val="0"/>
                <w:numId w:val="2"/>
              </w:numPr>
              <w:spacing w:after="40"/>
            </w:pPr>
            <w:r>
              <w:rPr>
                <w:b/>
                <w:bCs/>
                <w:sz w:val="19"/>
                <w:szCs w:val="19"/>
              </w:rPr>
              <w:t xml:space="preserve">SOLUCIONA y SOLUCIONA II:</w:t>
            </w:r>
            <w:r>
              <w:rPr>
                <w:sz w:val="19"/>
                <w:szCs w:val="19"/>
              </w:rPr>
              <w:t xml:space="preserve"> aportes no reembolsables a proyectos de empresas que desarrollan o implementan soluciones de la Economía del Conocimiento.</w:t>
            </w:r>
          </w:p>
          <w:p>
            <w:pPr>
              <w:pStyle w:val="ListParagraph"/>
              <w:numPr>
                <w:ilvl w:val="0"/>
                <w:numId w:val="2"/>
              </w:numPr>
              <w:spacing w:after="40"/>
            </w:pPr>
            <w:r>
              <w:rPr>
                <w:b/>
                <w:bCs/>
                <w:sz w:val="19"/>
                <w:szCs w:val="19"/>
              </w:rPr>
              <w:t xml:space="preserve">SOLUCIONA VERDE:</w:t>
            </w:r>
            <w:r>
              <w:rPr>
                <w:sz w:val="19"/>
                <w:szCs w:val="19"/>
              </w:rPr>
              <w:t xml:space="preserve"> financiamiento a proyectos de la Economía del Conocimiento orientados a la sostenibilidad ambiental.</w:t>
            </w:r>
          </w:p>
          <w:p>
            <w:pPr>
              <w:pStyle w:val="ListParagraph"/>
              <w:numPr>
                <w:ilvl w:val="0"/>
                <w:numId w:val="2"/>
              </w:numPr>
              <w:spacing w:after="40"/>
            </w:pPr>
            <w:r>
              <w:rPr>
                <w:b/>
                <w:bCs/>
                <w:sz w:val="19"/>
                <w:szCs w:val="19"/>
              </w:rPr>
              <w:t xml:space="preserve">NODOS:</w:t>
            </w:r>
            <w:r>
              <w:rPr>
                <w:sz w:val="19"/>
                <w:szCs w:val="19"/>
              </w:rPr>
              <w:t xml:space="preserve"> financiamiento a polos tecnológicos y clústers, principalmente mediante inversión en equipamiento.</w:t>
            </w:r>
          </w:p>
          <w:p>
            <w:pPr>
              <w:pStyle w:val="ListParagraph"/>
              <w:numPr>
                <w:ilvl w:val="0"/>
                <w:numId w:val="2"/>
              </w:numPr>
              <w:spacing w:after="40"/>
            </w:pPr>
            <w:r>
              <w:rPr>
                <w:b/>
                <w:bCs/>
                <w:sz w:val="19"/>
                <w:szCs w:val="19"/>
              </w:rPr>
              <w:t xml:space="preserve">Producción Colaborativa:</w:t>
            </w:r>
            <w:r>
              <w:rPr>
                <w:sz w:val="19"/>
                <w:szCs w:val="19"/>
              </w:rPr>
              <w:t xml:space="preserve"> financiamiento a proyectos innovadores que combinan actividades de varias empresas del sector.</w:t>
            </w:r>
          </w:p>
          <w:p>
            <w:pPr>
              <w:pStyle w:val="ListParagraph"/>
              <w:numPr>
                <w:ilvl w:val="0"/>
                <w:numId w:val="2"/>
              </w:numPr>
              <w:spacing w:after="40"/>
            </w:pPr>
            <w:r>
              <w:rPr>
                <w:b/>
                <w:bCs/>
                <w:sz w:val="19"/>
                <w:szCs w:val="19"/>
              </w:rPr>
              <w:t xml:space="preserve">POTENCIAR Industria del Videojuego y POTENCIAR Satelital:</w:t>
            </w:r>
            <w:r>
              <w:rPr>
                <w:sz w:val="19"/>
                <w:szCs w:val="19"/>
              </w:rPr>
              <w:t xml:space="preserve"> apoyo a subsectores específicos (videojuegos y satelital).</w:t>
            </w:r>
          </w:p>
          <w:p>
            <w:pPr>
              <w:pStyle w:val="ListParagraph"/>
              <w:numPr>
                <w:ilvl w:val="0"/>
                <w:numId w:val="2"/>
              </w:numPr>
              <w:spacing w:after="40"/>
            </w:pPr>
            <w:r>
              <w:rPr>
                <w:b/>
                <w:bCs/>
                <w:sz w:val="19"/>
                <w:szCs w:val="19"/>
              </w:rPr>
              <w:t xml:space="preserve">FORTALECER:</w:t>
            </w:r>
            <w:r>
              <w:rPr>
                <w:sz w:val="19"/>
                <w:szCs w:val="19"/>
              </w:rPr>
              <w:t xml:space="preserve"> asistencia a pymes para acceder al Régimen de Promoción de la Economía del Conocimiento.</w:t>
            </w:r>
          </w:p>
          <w:p>
            <w:pPr>
              <w:pStyle w:val="ListParagraph"/>
              <w:numPr>
                <w:ilvl w:val="0"/>
                <w:numId w:val="2"/>
              </w:numPr>
              <w:spacing w:after="40"/>
            </w:pPr>
            <w:r>
              <w:rPr>
                <w:b/>
                <w:bCs/>
                <w:sz w:val="19"/>
                <w:szCs w:val="19"/>
              </w:rPr>
              <w:t xml:space="preserve">Capacitación 4.0:</w:t>
            </w:r>
            <w:r>
              <w:rPr>
                <w:sz w:val="19"/>
                <w:szCs w:val="19"/>
              </w:rPr>
              <w:t xml:space="preserve"> financiamiento a gobiernos provinciales y municipales para proyectos de capacitación en el sector.</w:t>
            </w:r>
          </w:p>
          <w:p>
            <w:pPr>
              <w:pStyle w:val="ListParagraph"/>
              <w:numPr>
                <w:ilvl w:val="0"/>
                <w:numId w:val="2"/>
              </w:numPr>
              <w:spacing w:after="40"/>
            </w:pPr>
            <w:r>
              <w:rPr>
                <w:b/>
                <w:bCs/>
                <w:sz w:val="19"/>
                <w:szCs w:val="19"/>
              </w:rPr>
              <w:t xml:space="preserve">ETL (Extracción, Transformación y Carga):</w:t>
            </w:r>
            <w:r>
              <w:rPr>
                <w:sz w:val="19"/>
                <w:szCs w:val="19"/>
              </w:rPr>
              <w:t xml:space="preserve"> proceso que obtiene datos de distintas fuentes, los limpia y unifica, y los carga en un destino común para su análisis.</w:t>
            </w:r>
          </w:p>
          <w:p>
            <w:pPr>
              <w:pStyle w:val="ListParagraph"/>
              <w:numPr>
                <w:ilvl w:val="0"/>
                <w:numId w:val="2"/>
              </w:numPr>
              <w:spacing w:after="40"/>
            </w:pPr>
            <w:r>
              <w:rPr>
                <w:b/>
                <w:bCs/>
                <w:sz w:val="19"/>
                <w:szCs w:val="19"/>
              </w:rPr>
              <w:t xml:space="preserve">Aporte no reembolsable (ANR):</w:t>
            </w:r>
            <w:r>
              <w:rPr>
                <w:sz w:val="19"/>
                <w:szCs w:val="19"/>
              </w:rPr>
              <w:t xml:space="preserve"> dinero que el Estado entrega a un proyecto y que no debe devolverse.</w:t>
            </w:r>
          </w:p>
          <w:p>
            <w:pPr>
              <w:pStyle w:val="ListParagraph"/>
              <w:numPr>
                <w:ilvl w:val="0"/>
                <w:numId w:val="2"/>
              </w:numPr>
              <w:spacing w:after="40"/>
            </w:pPr>
            <w:r>
              <w:rPr>
                <w:b/>
                <w:bCs/>
                <w:sz w:val="19"/>
                <w:szCs w:val="19"/>
              </w:rPr>
              <w:t xml:space="preserve">Monto adjudicado:</w:t>
            </w:r>
            <w:r>
              <w:rPr>
                <w:sz w:val="19"/>
                <w:szCs w:val="19"/>
              </w:rPr>
              <w:t xml:space="preserve"> dinero aprobado para entregar a un proyecto dentro de un programa.</w:t>
            </w:r>
          </w:p>
          <w:p>
            <w:pPr>
              <w:pStyle w:val="ListParagraph"/>
              <w:numPr>
                <w:ilvl w:val="0"/>
                <w:numId w:val="2"/>
              </w:numPr>
              <w:spacing w:after="40"/>
            </w:pPr>
            <w:r>
              <w:rPr>
                <w:b/>
                <w:bCs/>
                <w:sz w:val="19"/>
                <w:szCs w:val="19"/>
              </w:rPr>
              <w:t xml:space="preserve">FONPEC:</w:t>
            </w:r>
            <w:r>
              <w:rPr>
                <w:sz w:val="19"/>
                <w:szCs w:val="19"/>
              </w:rPr>
              <w:t xml:space="preserve"> Fondo Fiduciario para la Promoción de la Economía del Conocimiento, que financia los programas del sector.</w:t>
            </w:r>
          </w:p>
          <w:p>
            <w:pPr>
              <w:pStyle w:val="ListParagraph"/>
              <w:numPr>
                <w:ilvl w:val="0"/>
                <w:numId w:val="2"/>
              </w:numPr>
              <w:spacing w:after="40"/>
            </w:pPr>
            <w:r>
              <w:rPr>
                <w:b/>
                <w:bCs/>
                <w:sz w:val="19"/>
                <w:szCs w:val="19"/>
              </w:rPr>
              <w:t xml:space="preserve">Seniority:</w:t>
            </w:r>
            <w:r>
              <w:rPr>
                <w:sz w:val="19"/>
                <w:szCs w:val="19"/>
              </w:rPr>
              <w:t xml:space="preserve"> nivel de experiencia de un trabajador (junior, semi senior, senior).</w:t>
            </w:r>
          </w:p>
          <w:p>
            <w:pPr>
              <w:pStyle w:val="ListParagraph"/>
              <w:numPr>
                <w:ilvl w:val="0"/>
                <w:numId w:val="2"/>
              </w:numPr>
              <w:spacing w:after="40"/>
            </w:pPr>
            <w:r>
              <w:rPr>
                <w:b/>
                <w:bCs/>
                <w:sz w:val="19"/>
                <w:szCs w:val="19"/>
              </w:rPr>
              <w:t xml:space="preserve">Mediana:</w:t>
            </w:r>
            <w:r>
              <w:rPr>
                <w:sz w:val="19"/>
                <w:szCs w:val="19"/>
              </w:rPr>
              <w:t xml:space="preserve"> valor que divide un conjunto de datos ordenados en dos mitades iguales. Es más representativa que el promedio cuando hay valores extremos.</w:t>
            </w:r>
          </w:p>
          <w:p>
            <w:pPr>
              <w:pStyle w:val="ListParagraph"/>
              <w:numPr>
                <w:ilvl w:val="0"/>
                <w:numId w:val="2"/>
              </w:numPr>
              <w:spacing w:after="40"/>
            </w:pPr>
            <w:r>
              <w:rPr>
                <w:b/>
                <w:bCs/>
                <w:sz w:val="19"/>
                <w:szCs w:val="19"/>
              </w:rPr>
              <w:t xml:space="preserve">Valor atípico (outlier):</w:t>
            </w:r>
            <w:r>
              <w:rPr>
                <w:sz w:val="19"/>
                <w:szCs w:val="19"/>
              </w:rPr>
              <w:t xml:space="preserve"> dato muy alejado del resto, que puede ser un error de carga o un caso real excepcional.</w:t>
            </w:r>
          </w:p>
        </w:tc>
      </w:tr>
      <w:tr>
        <w:tc>
          <w:tcPr>
            <w:tcW w:type="dxa" w:w="1700"/>
            <w:vMerge w:val="restart"/>
            <w:tcBorders>
              <w:top w:val="single" w:color="000000" w:sz="4"/>
              <w:left w:val="single" w:color="000000" w:sz="4"/>
              <w:bottom w:val="single" w:color="000000" w:sz="4"/>
              <w:right w:val="single" w:color="000000" w:sz="4"/>
            </w:tcBorders>
            <w:shd w:fill="D9E2F3" w:color="auto" w:val="clear"/>
            <w:tcMar>
              <w:top w:type="dxa" w:w="80"/>
              <w:left w:type="dxa" w:w="110"/>
              <w:bottom w:type="dxa" w:w="80"/>
              <w:right w:type="dxa" w:w="110"/>
            </w:tcMar>
            <w:vAlign w:val="center"/>
          </w:tcPr>
          <w:p>
            <w:r>
              <w:rPr>
                <w:b/>
                <w:bCs/>
                <w:sz w:val="19"/>
                <w:szCs w:val="19"/>
              </w:rPr>
              <w:t xml:space="preserve">Análisis de Datos</w:t>
            </w:r>
          </w:p>
        </w:tc>
        <w:tc>
          <w:tcPr>
            <w:tcW w:type="dxa" w:w="2000"/>
            <w:tcBorders>
              <w:top w:val="single" w:color="000000" w:sz="4"/>
              <w:left w:val="single" w:color="000000" w:sz="4"/>
              <w:bottom w:val="single" w:color="000000" w:sz="4"/>
              <w:right w:val="single" w:color="000000" w:sz="4"/>
            </w:tcBorders>
            <w:shd w:fill="F2F2F2" w:color="auto" w:val="clear"/>
            <w:tcMar>
              <w:top w:type="dxa" w:w="80"/>
              <w:left w:type="dxa" w:w="110"/>
              <w:bottom w:type="dxa" w:w="80"/>
              <w:right w:type="dxa" w:w="110"/>
            </w:tcMar>
            <w:vAlign w:val="top"/>
          </w:tcPr>
          <w:p>
            <w:r>
              <w:rPr>
                <w:b/>
                <w:bCs/>
                <w:sz w:val="19"/>
                <w:szCs w:val="19"/>
              </w:rPr>
              <w:t xml:space="preserve">Diccionario Semántico</w:t>
            </w:r>
          </w:p>
        </w:tc>
        <w:tc>
          <w:tcPr>
            <w:tcW w:type="dxa" w:w="5938"/>
            <w:tcBorders>
              <w:top w:val="single" w:color="000000" w:sz="4"/>
              <w:left w:val="single" w:color="000000" w:sz="4"/>
              <w:bottom w:val="single" w:color="000000" w:sz="4"/>
              <w:right w:val="single" w:color="000000" w:sz="4"/>
            </w:tcBorders>
            <w:tcMar>
              <w:top w:type="dxa" w:w="80"/>
              <w:left w:type="dxa" w:w="110"/>
              <w:bottom w:type="dxa" w:w="80"/>
              <w:right w:type="dxa" w:w="110"/>
            </w:tcMar>
            <w:vAlign w:val="top"/>
          </w:tcPr>
          <w:p>
            <w:pPr>
              <w:spacing w:after="60"/>
            </w:pPr>
            <w:r>
              <w:rPr>
                <w:b/>
                <w:bCs/>
                <w:sz w:val="19"/>
                <w:szCs w:val="19"/>
              </w:rPr>
              <w:t xml:space="preserve">Encuesta de sueldos Sysarmy:</w:t>
            </w:r>
          </w:p>
          <w:p>
            <w:pPr>
              <w:pStyle w:val="ListParagraph"/>
              <w:numPr>
                <w:ilvl w:val="0"/>
                <w:numId w:val="2"/>
              </w:numPr>
              <w:spacing w:after="40"/>
            </w:pPr>
            <w:r>
              <w:rPr>
                <w:b/>
                <w:bCs/>
                <w:sz w:val="19"/>
                <w:szCs w:val="19"/>
              </w:rPr>
              <w:t xml:space="preserve">Puesto:</w:t>
            </w:r>
            <w:r>
              <w:rPr>
                <w:sz w:val="19"/>
                <w:szCs w:val="19"/>
              </w:rPr>
              <w:t xml:space="preserve"> rol que la persona declara ocupar en su trabajo (por ejemplo, desarrollador, data scientist, ingeniero de machine learning).</w:t>
            </w:r>
          </w:p>
          <w:p>
            <w:pPr>
              <w:pStyle w:val="ListParagraph"/>
              <w:numPr>
                <w:ilvl w:val="0"/>
                <w:numId w:val="2"/>
              </w:numPr>
              <w:spacing w:after="40"/>
            </w:pPr>
            <w:r>
              <w:rPr>
                <w:b/>
                <w:bCs/>
                <w:sz w:val="19"/>
                <w:szCs w:val="19"/>
              </w:rPr>
              <w:t xml:space="preserve">Salario:</w:t>
            </w:r>
            <w:r>
              <w:rPr>
                <w:sz w:val="19"/>
                <w:szCs w:val="19"/>
              </w:rPr>
              <w:t xml:space="preserve"> dinero que la persona declara cobrar por mes por su trabajo.</w:t>
            </w:r>
          </w:p>
          <w:p>
            <w:pPr>
              <w:pStyle w:val="ListParagraph"/>
              <w:numPr>
                <w:ilvl w:val="0"/>
                <w:numId w:val="2"/>
              </w:numPr>
              <w:spacing w:after="40"/>
            </w:pPr>
            <w:r>
              <w:rPr>
                <w:b/>
                <w:bCs/>
                <w:sz w:val="19"/>
                <w:szCs w:val="19"/>
              </w:rPr>
              <w:t xml:space="preserve">Seniority:</w:t>
            </w:r>
            <w:r>
              <w:rPr>
                <w:sz w:val="19"/>
                <w:szCs w:val="19"/>
              </w:rPr>
              <w:t xml:space="preserve"> nivel de experiencia que la persona se asigna a sí misma.</w:t>
            </w:r>
          </w:p>
          <w:p>
            <w:pPr>
              <w:pStyle w:val="ListParagraph"/>
              <w:numPr>
                <w:ilvl w:val="0"/>
                <w:numId w:val="2"/>
              </w:numPr>
              <w:spacing w:after="40"/>
            </w:pPr>
            <w:r>
              <w:rPr>
                <w:b/>
                <w:bCs/>
                <w:sz w:val="19"/>
                <w:szCs w:val="19"/>
              </w:rPr>
              <w:t xml:space="preserve">Género:</w:t>
            </w:r>
            <w:r>
              <w:rPr>
                <w:sz w:val="19"/>
                <w:szCs w:val="19"/>
              </w:rPr>
              <w:t xml:space="preserve"> identidad de género declarada por quien responde.</w:t>
            </w:r>
          </w:p>
          <w:p>
            <w:pPr>
              <w:pStyle w:val="ListParagraph"/>
              <w:numPr>
                <w:ilvl w:val="0"/>
                <w:numId w:val="2"/>
              </w:numPr>
              <w:spacing w:after="40"/>
            </w:pPr>
            <w:r>
              <w:rPr>
                <w:b/>
                <w:bCs/>
                <w:sz w:val="19"/>
                <w:szCs w:val="19"/>
              </w:rPr>
              <w:t xml:space="preserve">Modalidad:</w:t>
            </w:r>
            <w:r>
              <w:rPr>
                <w:sz w:val="19"/>
                <w:szCs w:val="19"/>
              </w:rPr>
              <w:t xml:space="preserve"> si trabaja de forma remota, híbrida o presencial.</w:t>
            </w:r>
          </w:p>
          <w:p>
            <w:pPr>
              <w:spacing w:after="60"/>
            </w:pPr>
            <w:r>
              <w:rPr>
                <w:b/>
                <w:bCs/>
                <w:sz w:val="19"/>
                <w:szCs w:val="19"/>
              </w:rPr>
              <w:t xml:space="preserve">Programas de promoción (SOLUCIONA, SOLUCIONA II, NODOS, Producción Colaborativa, POTENCIAR, SOLUCIONA VERDE, FORTALECER, Capacitación 4.0):</w:t>
            </w:r>
          </w:p>
          <w:p>
            <w:pPr>
              <w:pStyle w:val="ListParagraph"/>
              <w:numPr>
                <w:ilvl w:val="0"/>
                <w:numId w:val="2"/>
              </w:numPr>
              <w:spacing w:after="40"/>
            </w:pPr>
            <w:r>
              <w:rPr>
                <w:b/>
                <w:bCs/>
                <w:sz w:val="19"/>
                <w:szCs w:val="19"/>
              </w:rPr>
              <w:t xml:space="preserve">Programa:</w:t>
            </w:r>
            <w:r>
              <w:rPr>
                <w:sz w:val="19"/>
                <w:szCs w:val="19"/>
              </w:rPr>
              <w:t xml:space="preserve"> nombre del programa que otorgó el financiamiento.</w:t>
            </w:r>
          </w:p>
          <w:p>
            <w:pPr>
              <w:pStyle w:val="ListParagraph"/>
              <w:numPr>
                <w:ilvl w:val="0"/>
                <w:numId w:val="2"/>
              </w:numPr>
              <w:spacing w:after="40"/>
            </w:pPr>
            <w:r>
              <w:rPr>
                <w:b/>
                <w:bCs/>
                <w:sz w:val="19"/>
                <w:szCs w:val="19"/>
              </w:rPr>
              <w:t xml:space="preserve">Tipo de beneficiario:</w:t>
            </w:r>
            <w:r>
              <w:rPr>
                <w:sz w:val="19"/>
                <w:szCs w:val="19"/>
              </w:rPr>
              <w:t xml:space="preserve"> si el beneficiario es una empresa, un polo o clúster, o un gobierno provincial o municipal.</w:t>
            </w:r>
          </w:p>
          <w:p>
            <w:pPr>
              <w:pStyle w:val="ListParagraph"/>
              <w:numPr>
                <w:ilvl w:val="0"/>
                <w:numId w:val="2"/>
              </w:numPr>
              <w:spacing w:after="40"/>
            </w:pPr>
            <w:r>
              <w:rPr>
                <w:b/>
                <w:bCs/>
                <w:sz w:val="19"/>
                <w:szCs w:val="19"/>
              </w:rPr>
              <w:t xml:space="preserve">Proyecto:</w:t>
            </w:r>
            <w:r>
              <w:rPr>
                <w:sz w:val="19"/>
                <w:szCs w:val="19"/>
              </w:rPr>
              <w:t xml:space="preserve"> iniciativa de una empresa que fue aprobada para recibir fondos.</w:t>
            </w:r>
          </w:p>
          <w:p>
            <w:pPr>
              <w:pStyle w:val="ListParagraph"/>
              <w:numPr>
                <w:ilvl w:val="0"/>
                <w:numId w:val="2"/>
              </w:numPr>
              <w:spacing w:after="40"/>
            </w:pPr>
            <w:r>
              <w:rPr>
                <w:b/>
                <w:bCs/>
                <w:sz w:val="19"/>
                <w:szCs w:val="19"/>
              </w:rPr>
              <w:t xml:space="preserve">Provincia:</w:t>
            </w:r>
            <w:r>
              <w:rPr>
                <w:sz w:val="19"/>
                <w:szCs w:val="19"/>
              </w:rPr>
              <w:t xml:space="preserve"> jurisdicción donde se ubica la empresa o el proyecto beneficiario.</w:t>
            </w:r>
          </w:p>
          <w:p>
            <w:pPr>
              <w:pStyle w:val="ListParagraph"/>
              <w:numPr>
                <w:ilvl w:val="0"/>
                <w:numId w:val="2"/>
              </w:numPr>
              <w:spacing w:after="40"/>
            </w:pPr>
            <w:r>
              <w:rPr>
                <w:b/>
                <w:bCs/>
                <w:sz w:val="19"/>
                <w:szCs w:val="19"/>
              </w:rPr>
              <w:t xml:space="preserve">Monto adjudicado:</w:t>
            </w:r>
            <w:r>
              <w:rPr>
                <w:sz w:val="19"/>
                <w:szCs w:val="19"/>
              </w:rPr>
              <w:t xml:space="preserve"> dinero que el Estado aprobó entregar a ese proyecto.</w:t>
            </w:r>
          </w:p>
          <w:p>
            <w:pPr>
              <w:pStyle w:val="ListParagraph"/>
              <w:numPr>
                <w:ilvl w:val="0"/>
                <w:numId w:val="2"/>
              </w:numPr>
              <w:spacing w:after="40"/>
            </w:pPr>
            <w:r>
              <w:rPr>
                <w:b/>
                <w:bCs/>
                <w:sz w:val="19"/>
                <w:szCs w:val="19"/>
              </w:rPr>
              <w:t xml:space="preserve">Año:</w:t>
            </w:r>
            <w:r>
              <w:rPr>
                <w:sz w:val="19"/>
                <w:szCs w:val="19"/>
              </w:rPr>
              <w:t xml:space="preserve"> año de la convocatoria o de la adjudicación del proyecto.</w:t>
            </w:r>
          </w:p>
          <w:p>
            <w:pPr>
              <w:spacing w:after="60"/>
            </w:pPr>
            <w:r>
              <w:rPr>
                <w:b/>
                <w:bCs/>
                <w:sz w:val="19"/>
                <w:szCs w:val="19"/>
              </w:rPr>
              <w:t xml:space="preserve">CEP XXI – Puestos de trabajo:</w:t>
            </w:r>
          </w:p>
          <w:p>
            <w:pPr>
              <w:pStyle w:val="ListParagraph"/>
              <w:numPr>
                <w:ilvl w:val="0"/>
                <w:numId w:val="2"/>
              </w:numPr>
              <w:spacing w:after="40"/>
            </w:pPr>
            <w:r>
              <w:rPr>
                <w:b/>
                <w:bCs/>
                <w:sz w:val="19"/>
                <w:szCs w:val="19"/>
              </w:rPr>
              <w:t xml:space="preserve">Departamento / provincia:</w:t>
            </w:r>
            <w:r>
              <w:rPr>
                <w:sz w:val="19"/>
                <w:szCs w:val="19"/>
              </w:rPr>
              <w:t xml:space="preserve"> lugar donde se registra el puesto de trabajo.</w:t>
            </w:r>
          </w:p>
          <w:p>
            <w:pPr>
              <w:pStyle w:val="ListParagraph"/>
              <w:numPr>
                <w:ilvl w:val="0"/>
                <w:numId w:val="2"/>
              </w:numPr>
              <w:spacing w:after="40"/>
            </w:pPr>
            <w:r>
              <w:rPr>
                <w:b/>
                <w:bCs/>
                <w:sz w:val="19"/>
                <w:szCs w:val="19"/>
              </w:rPr>
              <w:t xml:space="preserve">Rama de actividad (CLAE2):</w:t>
            </w:r>
            <w:r>
              <w:rPr>
                <w:sz w:val="19"/>
                <w:szCs w:val="19"/>
              </w:rPr>
              <w:t xml:space="preserve"> actividad económica principal de la empresa empleadora.</w:t>
            </w:r>
          </w:p>
          <w:p>
            <w:pPr>
              <w:pStyle w:val="ListParagraph"/>
              <w:numPr>
                <w:ilvl w:val="0"/>
                <w:numId w:val="2"/>
              </w:numPr>
              <w:spacing w:after="40"/>
            </w:pPr>
            <w:r>
              <w:rPr>
                <w:b/>
                <w:bCs/>
                <w:sz w:val="19"/>
                <w:szCs w:val="19"/>
              </w:rPr>
              <w:t xml:space="preserve">Puestos de trabajo:</w:t>
            </w:r>
            <w:r>
              <w:rPr>
                <w:sz w:val="19"/>
                <w:szCs w:val="19"/>
              </w:rPr>
              <w:t xml:space="preserve"> cantidad de empleos asalariados registrados en el sector privado en ese lugar, rama y período.</w:t>
            </w:r>
          </w:p>
          <w:p>
            <w:pPr>
              <w:spacing w:after="60"/>
            </w:pPr>
            <w:r>
              <w:rPr>
                <w:sz w:val="19"/>
                <w:szCs w:val="19"/>
              </w:rPr>
              <w:t xml:space="preserve">Los nombres exactos de las columnas pueden variar entre programas. Se confirmarán al descargar cada archivo, se unificarán en el proceso ETL y se registrarán en el diccionario de datos.</w:t>
            </w:r>
          </w:p>
        </w:tc>
      </w:tr>
      <w:tr>
        <w:tc>
          <w:tcPr>
            <w:vMerge w:val="continue"/>
            <w:tcBorders>
              <w:top w:val="single" w:color="000000" w:sz="4"/>
              <w:left w:val="single" w:color="000000" w:sz="4"/>
              <w:bottom w:val="single" w:color="000000" w:sz="4"/>
              <w:right w:val="single" w:color="000000" w:sz="4"/>
            </w:tcBorders>
          </w:tcPr>
          <w:p/>
        </w:tc>
        <w:tc>
          <w:tcPr>
            <w:tcW w:type="dxa" w:w="2000"/>
            <w:tcBorders>
              <w:top w:val="single" w:color="000000" w:sz="4"/>
              <w:left w:val="single" w:color="000000" w:sz="4"/>
              <w:bottom w:val="single" w:color="000000" w:sz="4"/>
              <w:right w:val="single" w:color="000000" w:sz="4"/>
            </w:tcBorders>
            <w:shd w:fill="F2F2F2" w:color="auto" w:val="clear"/>
            <w:tcMar>
              <w:top w:type="dxa" w:w="80"/>
              <w:left w:type="dxa" w:w="110"/>
              <w:bottom w:type="dxa" w:w="80"/>
              <w:right w:type="dxa" w:w="110"/>
            </w:tcMar>
            <w:vAlign w:val="top"/>
          </w:tcPr>
          <w:p>
            <w:r>
              <w:rPr>
                <w:b/>
                <w:bCs/>
                <w:sz w:val="19"/>
                <w:szCs w:val="19"/>
              </w:rPr>
              <w:t xml:space="preserve">Factores Externos</w:t>
            </w:r>
          </w:p>
        </w:tc>
        <w:tc>
          <w:tcPr>
            <w:tcW w:type="dxa" w:w="5938"/>
            <w:tcBorders>
              <w:top w:val="single" w:color="000000" w:sz="4"/>
              <w:left w:val="single" w:color="000000" w:sz="4"/>
              <w:bottom w:val="single" w:color="000000" w:sz="4"/>
              <w:right w:val="single" w:color="000000" w:sz="4"/>
            </w:tcBorders>
            <w:tcMar>
              <w:top w:type="dxa" w:w="80"/>
              <w:left w:type="dxa" w:w="110"/>
              <w:bottom w:type="dxa" w:w="80"/>
              <w:right w:type="dxa" w:w="110"/>
            </w:tcMar>
            <w:vAlign w:val="top"/>
          </w:tcPr>
          <w:p>
            <w:pPr>
              <w:spacing w:after="60"/>
            </w:pPr>
            <w:r>
              <w:rPr>
                <w:sz w:val="19"/>
                <w:szCs w:val="19"/>
              </w:rPr>
              <w:t xml:space="preserve">Eventos que pueden alterar los valores de los datos (no implican causalidad):</w:t>
            </w:r>
          </w:p>
          <w:p>
            <w:pPr>
              <w:pStyle w:val="ListParagraph"/>
              <w:numPr>
                <w:ilvl w:val="0"/>
                <w:numId w:val="2"/>
              </w:numPr>
              <w:spacing w:after="40"/>
            </w:pPr>
            <w:r>
              <w:rPr>
                <w:b/>
                <w:bCs/>
                <w:sz w:val="19"/>
                <w:szCs w:val="19"/>
              </w:rPr>
              <w:t xml:space="preserve">Inflación:</w:t>
            </w:r>
            <w:r>
              <w:rPr>
                <w:sz w:val="19"/>
                <w:szCs w:val="19"/>
              </w:rPr>
              <w:t xml:space="preserve"> los montos en pesos de distintos años no son directamente comparables.</w:t>
            </w:r>
          </w:p>
          <w:p>
            <w:pPr>
              <w:pStyle w:val="ListParagraph"/>
              <w:numPr>
                <w:ilvl w:val="0"/>
                <w:numId w:val="2"/>
              </w:numPr>
              <w:spacing w:after="40"/>
            </w:pPr>
            <w:r>
              <w:rPr>
                <w:b/>
                <w:bCs/>
                <w:sz w:val="19"/>
                <w:szCs w:val="19"/>
              </w:rPr>
              <w:t xml:space="preserve">Tipo de cambio:</w:t>
            </w:r>
            <w:r>
              <w:rPr>
                <w:sz w:val="19"/>
                <w:szCs w:val="19"/>
              </w:rPr>
              <w:t xml:space="preserve"> influye en el valor de los salarios del sector, especialmente en los pagados en dólares o dolarizados.</w:t>
            </w:r>
          </w:p>
          <w:p>
            <w:pPr>
              <w:pStyle w:val="ListParagraph"/>
              <w:numPr>
                <w:ilvl w:val="0"/>
                <w:numId w:val="2"/>
              </w:numPr>
              <w:spacing w:after="40"/>
            </w:pPr>
            <w:r>
              <w:rPr>
                <w:b/>
                <w:bCs/>
                <w:sz w:val="19"/>
                <w:szCs w:val="19"/>
              </w:rPr>
              <w:t xml:space="preserve">Pandemia de COVID-19 (2020-2021):</w:t>
            </w:r>
            <w:r>
              <w:rPr>
                <w:sz w:val="19"/>
                <w:szCs w:val="19"/>
              </w:rPr>
              <w:t xml:space="preserve"> varios programas, como SOLUCIONA, se lanzaron en ese contexto como herramientas de reactivación de la Economía del Conocimiento.</w:t>
            </w:r>
          </w:p>
          <w:p>
            <w:pPr>
              <w:pStyle w:val="ListParagraph"/>
              <w:numPr>
                <w:ilvl w:val="0"/>
                <w:numId w:val="2"/>
              </w:numPr>
              <w:spacing w:after="40"/>
            </w:pPr>
            <w:r>
              <w:rPr>
                <w:b/>
                <w:bCs/>
                <w:sz w:val="19"/>
                <w:szCs w:val="19"/>
              </w:rPr>
              <w:t xml:space="preserve">Auge de la IA generativa (desde fines de 2022):</w:t>
            </w:r>
            <w:r>
              <w:rPr>
                <w:sz w:val="19"/>
                <w:szCs w:val="19"/>
              </w:rPr>
              <w:t xml:space="preserve"> puede modificar la demanda y los salarios de los perfiles de datos e IA.</w:t>
            </w:r>
          </w:p>
          <w:p>
            <w:pPr>
              <w:pStyle w:val="ListParagraph"/>
              <w:numPr>
                <w:ilvl w:val="0"/>
                <w:numId w:val="2"/>
              </w:numPr>
              <w:spacing w:after="40"/>
            </w:pPr>
            <w:r>
              <w:rPr>
                <w:b/>
                <w:bCs/>
                <w:sz w:val="19"/>
                <w:szCs w:val="19"/>
              </w:rPr>
              <w:t xml:space="preserve">Trabajo remoto para empresas del exterior:</w:t>
            </w:r>
            <w:r>
              <w:rPr>
                <w:sz w:val="19"/>
                <w:szCs w:val="19"/>
              </w:rPr>
              <w:t xml:space="preserve"> parte del talento IT trabaja para el exterior y puede no aparecer en el empleo registrado del CEP XXI.</w:t>
            </w:r>
          </w:p>
          <w:p>
            <w:pPr>
              <w:pStyle w:val="ListParagraph"/>
              <w:numPr>
                <w:ilvl w:val="0"/>
                <w:numId w:val="2"/>
              </w:numPr>
              <w:spacing w:after="40"/>
            </w:pPr>
            <w:r>
              <w:rPr>
                <w:b/>
                <w:bCs/>
                <w:sz w:val="19"/>
                <w:szCs w:val="19"/>
              </w:rPr>
              <w:t xml:space="preserve">Cambio de gestión de gobierno (diciembre de 2023) y reorganización del área:</w:t>
            </w:r>
            <w:r>
              <w:rPr>
                <w:sz w:val="19"/>
                <w:szCs w:val="19"/>
              </w:rPr>
              <w:t xml:space="preserve"> desde entonces no se registran nuevas convocatorias de los programas de aportes ni actualizaciones de sus datos abiertos.</w:t>
            </w:r>
          </w:p>
          <w:p>
            <w:pPr>
              <w:pStyle w:val="ListParagraph"/>
              <w:numPr>
                <w:ilvl w:val="0"/>
                <w:numId w:val="2"/>
              </w:numPr>
              <w:spacing w:after="40"/>
            </w:pPr>
            <w:r>
              <w:rPr>
                <w:b/>
                <w:bCs/>
                <w:sz w:val="19"/>
                <w:szCs w:val="19"/>
              </w:rPr>
              <w:t xml:space="preserve">Programa KIT 4.0 (Resolución 8/2026):</w:t>
            </w:r>
            <w:r>
              <w:rPr>
                <w:sz w:val="19"/>
                <w:szCs w:val="19"/>
              </w:rPr>
              <w:t xml:space="preserve"> programa vigente que cofinancia hasta el 50 % de servicios de industria 4.0 para pymes industriales. Desde la Disposición 106/2026 incluye servicios de analítica e inteligencia artificial.</w:t>
            </w:r>
          </w:p>
        </w:tc>
      </w:tr>
      <w:tr>
        <w:tc>
          <w:tcPr>
            <w:tcW w:type="dxa" w:w="1700"/>
            <w:vMerge w:val="restart"/>
            <w:tcBorders>
              <w:top w:val="single" w:color="000000" w:sz="4"/>
              <w:left w:val="single" w:color="000000" w:sz="4"/>
              <w:bottom w:val="single" w:color="000000" w:sz="4"/>
              <w:right w:val="single" w:color="000000" w:sz="4"/>
            </w:tcBorders>
            <w:shd w:fill="D9E2F3" w:color="auto" w:val="clear"/>
            <w:tcMar>
              <w:top w:type="dxa" w:w="80"/>
              <w:left w:type="dxa" w:w="110"/>
              <w:bottom w:type="dxa" w:w="80"/>
              <w:right w:type="dxa" w:w="110"/>
            </w:tcMar>
            <w:vAlign w:val="center"/>
          </w:tcPr>
          <w:p>
            <w:r>
              <w:rPr>
                <w:b/>
                <w:bCs/>
                <w:sz w:val="19"/>
                <w:szCs w:val="19"/>
              </w:rPr>
              <w:t xml:space="preserve">Preguntas de análisis</w:t>
            </w:r>
          </w:p>
        </w:tc>
        <w:tc>
          <w:tcPr>
            <w:tcW w:type="dxa" w:w="2000"/>
            <w:tcBorders>
              <w:top w:val="single" w:color="000000" w:sz="4"/>
              <w:left w:val="single" w:color="000000" w:sz="4"/>
              <w:bottom w:val="single" w:color="000000" w:sz="4"/>
              <w:right w:val="single" w:color="000000" w:sz="4"/>
            </w:tcBorders>
            <w:shd w:fill="F2F2F2" w:color="auto" w:val="clear"/>
            <w:tcMar>
              <w:top w:type="dxa" w:w="80"/>
              <w:left w:type="dxa" w:w="110"/>
              <w:bottom w:type="dxa" w:w="80"/>
              <w:right w:type="dxa" w:w="110"/>
            </w:tcMar>
            <w:vAlign w:val="top"/>
          </w:tcPr>
          <w:p>
            <w:r>
              <w:rPr>
                <w:b/>
                <w:bCs/>
                <w:sz w:val="19"/>
                <w:szCs w:val="19"/>
              </w:rPr>
              <w:t xml:space="preserve">Pregunta Análisis</w:t>
            </w:r>
          </w:p>
        </w:tc>
        <w:tc>
          <w:tcPr>
            <w:tcW w:type="dxa" w:w="5938"/>
            <w:tcBorders>
              <w:top w:val="single" w:color="000000" w:sz="4"/>
              <w:left w:val="single" w:color="000000" w:sz="4"/>
              <w:bottom w:val="single" w:color="000000" w:sz="4"/>
              <w:right w:val="single" w:color="000000" w:sz="4"/>
            </w:tcBorders>
            <w:tcMar>
              <w:top w:type="dxa" w:w="80"/>
              <w:left w:type="dxa" w:w="110"/>
              <w:bottom w:type="dxa" w:w="80"/>
              <w:right w:type="dxa" w:w="110"/>
            </w:tcMar>
            <w:vAlign w:val="top"/>
          </w:tcPr>
          <w:p>
            <w:pPr>
              <w:spacing w:after="60"/>
            </w:pPr>
            <w:r>
              <w:rPr>
                <w:sz w:val="19"/>
                <w:szCs w:val="19"/>
              </w:rPr>
              <w:t xml:space="preserve">1. ¿Cuánto cobran los puestos vinculados a datos e inteligencia artificial en comparación con el resto de los puestos IT?</w:t>
            </w:r>
          </w:p>
          <w:p>
            <w:pPr>
              <w:spacing w:after="60"/>
            </w:pPr>
            <w:r>
              <w:rPr>
                <w:sz w:val="19"/>
                <w:szCs w:val="19"/>
              </w:rPr>
              <w:t xml:space="preserve">2. ¿Qué provincias recibieron los mayores montos adjudicados en los programas de promoción de la Economía del Conocimiento (SOLUCIONA, SOLUCIONA II, NODOS, Producción Colaborativa, POTENCIAR y otros) y cuántos proyectos tuvo cada una?</w:t>
            </w:r>
          </w:p>
          <w:p>
            <w:pPr>
              <w:spacing w:after="60"/>
            </w:pPr>
            <w:r>
              <w:rPr>
                <w:sz w:val="19"/>
                <w:szCs w:val="19"/>
              </w:rPr>
              <w:t xml:space="preserve">3. ¿Las provincias que reciben más fondos son las que tienen más empleo en servicios informáticos?</w:t>
            </w:r>
          </w:p>
        </w:tc>
      </w:tr>
      <w:tr>
        <w:tc>
          <w:tcPr>
            <w:vMerge w:val="continue"/>
            <w:tcBorders>
              <w:top w:val="single" w:color="000000" w:sz="4"/>
              <w:left w:val="single" w:color="000000" w:sz="4"/>
              <w:bottom w:val="single" w:color="000000" w:sz="4"/>
              <w:right w:val="single" w:color="000000" w:sz="4"/>
            </w:tcBorders>
          </w:tcPr>
          <w:p/>
        </w:tc>
        <w:tc>
          <w:tcPr>
            <w:tcW w:type="dxa" w:w="2000"/>
            <w:tcBorders>
              <w:top w:val="single" w:color="000000" w:sz="4"/>
              <w:left w:val="single" w:color="000000" w:sz="4"/>
              <w:bottom w:val="single" w:color="000000" w:sz="4"/>
              <w:right w:val="single" w:color="000000" w:sz="4"/>
            </w:tcBorders>
            <w:shd w:fill="F2F2F2" w:color="auto" w:val="clear"/>
            <w:tcMar>
              <w:top w:type="dxa" w:w="80"/>
              <w:left w:type="dxa" w:w="110"/>
              <w:bottom w:type="dxa" w:w="80"/>
              <w:right w:type="dxa" w:w="110"/>
            </w:tcMar>
            <w:vAlign w:val="top"/>
          </w:tcPr>
          <w:p>
            <w:r>
              <w:rPr>
                <w:b/>
                <w:bCs/>
                <w:sz w:val="19"/>
                <w:szCs w:val="19"/>
              </w:rPr>
              <w:t xml:space="preserve">Aporte de valor</w:t>
            </w:r>
          </w:p>
        </w:tc>
        <w:tc>
          <w:tcPr>
            <w:tcW w:type="dxa" w:w="5938"/>
            <w:tcBorders>
              <w:top w:val="single" w:color="000000" w:sz="4"/>
              <w:left w:val="single" w:color="000000" w:sz="4"/>
              <w:bottom w:val="single" w:color="000000" w:sz="4"/>
              <w:right w:val="single" w:color="000000" w:sz="4"/>
            </w:tcBorders>
            <w:tcMar>
              <w:top w:type="dxa" w:w="80"/>
              <w:left w:type="dxa" w:w="110"/>
              <w:bottom w:type="dxa" w:w="80"/>
              <w:right w:type="dxa" w:w="110"/>
            </w:tcMar>
            <w:vAlign w:val="top"/>
          </w:tcPr>
          <w:p>
            <w:pPr>
              <w:spacing w:after="60"/>
            </w:pPr>
            <w:r>
              <w:rPr>
                <w:sz w:val="19"/>
                <w:szCs w:val="19"/>
              </w:rPr>
              <w:t xml:space="preserve">Permite conocer cómo se valora el talento en inteligencia artificial dentro del sector y si los fondos públicos de promoción se dirigieron a las provincias donde se concentra el empleo en servicios informáticos. Esta información puede ser útil para estudiantes y profesionales que buscan orientarse en el mercado laboral, y para entender cómo se distribuyen territorialmente los recursos del sector.</w:t>
            </w:r>
          </w:p>
        </w:tc>
      </w:tr>
      <w:tr>
        <w:tc>
          <w:tcPr>
            <w:vMerge w:val="continue"/>
            <w:tcBorders>
              <w:top w:val="single" w:color="000000" w:sz="4"/>
              <w:left w:val="single" w:color="000000" w:sz="4"/>
              <w:bottom w:val="single" w:color="000000" w:sz="4"/>
              <w:right w:val="single" w:color="000000" w:sz="4"/>
            </w:tcBorders>
          </w:tcPr>
          <w:p/>
        </w:tc>
        <w:tc>
          <w:tcPr>
            <w:tcW w:type="dxa" w:w="2000"/>
            <w:tcBorders>
              <w:top w:val="single" w:color="000000" w:sz="4"/>
              <w:left w:val="single" w:color="000000" w:sz="4"/>
              <w:bottom w:val="single" w:color="000000" w:sz="4"/>
              <w:right w:val="single" w:color="000000" w:sz="4"/>
            </w:tcBorders>
            <w:shd w:fill="F2F2F2" w:color="auto" w:val="clear"/>
            <w:tcMar>
              <w:top w:type="dxa" w:w="80"/>
              <w:left w:type="dxa" w:w="110"/>
              <w:bottom w:type="dxa" w:w="80"/>
              <w:right w:type="dxa" w:w="110"/>
            </w:tcMar>
            <w:vAlign w:val="top"/>
          </w:tcPr>
          <w:p>
            <w:r>
              <w:rPr>
                <w:b/>
                <w:bCs/>
                <w:sz w:val="19"/>
                <w:szCs w:val="19"/>
              </w:rPr>
              <w:t xml:space="preserve">Alcance</w:t>
            </w:r>
          </w:p>
        </w:tc>
        <w:tc>
          <w:tcPr>
            <w:tcW w:type="dxa" w:w="5938"/>
            <w:tcBorders>
              <w:top w:val="single" w:color="000000" w:sz="4"/>
              <w:left w:val="single" w:color="000000" w:sz="4"/>
              <w:bottom w:val="single" w:color="000000" w:sz="4"/>
              <w:right w:val="single" w:color="000000" w:sz="4"/>
            </w:tcBorders>
            <w:tcMar>
              <w:top w:type="dxa" w:w="80"/>
              <w:left w:type="dxa" w:w="110"/>
              <w:bottom w:type="dxa" w:w="80"/>
              <w:right w:type="dxa" w:w="110"/>
            </w:tcMar>
            <w:vAlign w:val="top"/>
          </w:tcPr>
          <w:p>
            <w:pPr>
              <w:pStyle w:val="ListParagraph"/>
              <w:numPr>
                <w:ilvl w:val="0"/>
                <w:numId w:val="2"/>
              </w:numPr>
              <w:spacing w:after="40"/>
            </w:pPr>
            <w:r>
              <w:rPr>
                <w:b/>
                <w:bCs/>
                <w:sz w:val="19"/>
                <w:szCs w:val="19"/>
              </w:rPr>
              <w:t xml:space="preserve">Territorial:</w:t>
            </w:r>
            <w:r>
              <w:rPr>
                <w:sz w:val="19"/>
                <w:szCs w:val="19"/>
              </w:rPr>
              <w:t xml:space="preserve"> Argentina, con desagregación por provincia.</w:t>
            </w:r>
          </w:p>
          <w:p>
            <w:pPr>
              <w:pStyle w:val="ListParagraph"/>
              <w:numPr>
                <w:ilvl w:val="0"/>
                <w:numId w:val="2"/>
              </w:numPr>
              <w:spacing w:after="40"/>
            </w:pPr>
            <w:r>
              <w:rPr>
                <w:b/>
                <w:bCs/>
                <w:sz w:val="19"/>
                <w:szCs w:val="19"/>
              </w:rPr>
              <w:t xml:space="preserve">Temporal:</w:t>
            </w:r>
            <w:r>
              <w:rPr>
                <w:sz w:val="19"/>
                <w:szCs w:val="19"/>
              </w:rPr>
              <w:t xml:space="preserve"> salarios del primer semestre de 2026 (Sysarmy 2026.1); fondos de 2020 a 2023 aproximadamente (programas de promoción); empleo del mismo período que los fondos (CEP XXI), para que la comparación sea coherente.</w:t>
            </w:r>
          </w:p>
          <w:p>
            <w:pPr>
              <w:pStyle w:val="ListParagraph"/>
              <w:numPr>
                <w:ilvl w:val="0"/>
                <w:numId w:val="2"/>
              </w:numPr>
              <w:spacing w:after="40"/>
            </w:pPr>
            <w:r>
              <w:rPr>
                <w:b/>
                <w:bCs/>
                <w:sz w:val="19"/>
                <w:szCs w:val="19"/>
              </w:rPr>
              <w:t xml:space="preserve">Sectorial:</w:t>
            </w:r>
            <w:r>
              <w:rPr>
                <w:sz w:val="19"/>
                <w:szCs w:val="19"/>
              </w:rPr>
              <w:t xml:space="preserve"> software, servicios informáticos e industria 4.0.</w:t>
            </w:r>
          </w:p>
          <w:p>
            <w:pPr>
              <w:pStyle w:val="ListParagraph"/>
              <w:numPr>
                <w:ilvl w:val="0"/>
                <w:numId w:val="2"/>
              </w:numPr>
              <w:spacing w:after="40"/>
            </w:pPr>
            <w:r>
              <w:rPr>
                <w:b/>
                <w:bCs/>
                <w:sz w:val="19"/>
                <w:szCs w:val="19"/>
              </w:rPr>
              <w:t xml:space="preserve">Poblacional:</w:t>
            </w:r>
            <w:r>
              <w:rPr>
                <w:sz w:val="19"/>
                <w:szCs w:val="19"/>
              </w:rPr>
              <w:t xml:space="preserve"> trabajadores IT que respondieron la encuesta, beneficiarios de los programas de promoción (empresas, polos y gobiernos) y puestos asalariados registrados del sector privado.</w:t>
            </w:r>
          </w:p>
        </w:tc>
      </w:tr>
      <w:tr>
        <w:tc>
          <w:tcPr>
            <w:vMerge w:val="continue"/>
            <w:tcBorders>
              <w:top w:val="single" w:color="000000" w:sz="4"/>
              <w:left w:val="single" w:color="000000" w:sz="4"/>
              <w:bottom w:val="single" w:color="000000" w:sz="4"/>
              <w:right w:val="single" w:color="000000" w:sz="4"/>
            </w:tcBorders>
          </w:tcPr>
          <w:p/>
        </w:tc>
        <w:tc>
          <w:tcPr>
            <w:tcW w:type="dxa" w:w="2000"/>
            <w:tcBorders>
              <w:top w:val="single" w:color="000000" w:sz="4"/>
              <w:left w:val="single" w:color="000000" w:sz="4"/>
              <w:bottom w:val="single" w:color="000000" w:sz="4"/>
              <w:right w:val="single" w:color="000000" w:sz="4"/>
            </w:tcBorders>
            <w:shd w:fill="F2F2F2" w:color="auto" w:val="clear"/>
            <w:tcMar>
              <w:top w:type="dxa" w:w="80"/>
              <w:left w:type="dxa" w:w="110"/>
              <w:bottom w:type="dxa" w:w="80"/>
              <w:right w:type="dxa" w:w="110"/>
            </w:tcMar>
            <w:vAlign w:val="top"/>
          </w:tcPr>
          <w:p>
            <w:r>
              <w:rPr>
                <w:b/>
                <w:bCs/>
                <w:sz w:val="19"/>
                <w:szCs w:val="19"/>
              </w:rPr>
              <w:t xml:space="preserve">Enfoque</w:t>
            </w:r>
          </w:p>
        </w:tc>
        <w:tc>
          <w:tcPr>
            <w:tcW w:type="dxa" w:w="5938"/>
            <w:tcBorders>
              <w:top w:val="single" w:color="000000" w:sz="4"/>
              <w:left w:val="single" w:color="000000" w:sz="4"/>
              <w:bottom w:val="single" w:color="000000" w:sz="4"/>
              <w:right w:val="single" w:color="000000" w:sz="4"/>
            </w:tcBorders>
            <w:tcMar>
              <w:top w:type="dxa" w:w="80"/>
              <w:left w:type="dxa" w:w="110"/>
              <w:bottom w:type="dxa" w:w="80"/>
              <w:right w:type="dxa" w:w="110"/>
            </w:tcMar>
            <w:vAlign w:val="top"/>
          </w:tcPr>
          <w:p>
            <w:pPr>
              <w:spacing w:after="60"/>
            </w:pPr>
            <w:r>
              <w:rPr>
                <w:sz w:val="19"/>
                <w:szCs w:val="19"/>
              </w:rPr>
              <w:t xml:space="preserve">Enfoque descriptivo: se analizan distribuciones, rankings y comparaciones entre grupos y provincias, mediante medidas de resumen (mediana, mínimo, máximo) y visualizaciones. No se realizan predicciones ni se atribuyen causas. Se espera comprender las diferencias salariales de los perfiles de IA y si la distribución de los fondos coincide con la del empleo del sector.</w:t>
            </w:r>
          </w:p>
        </w:tc>
      </w:tr>
      <w:tr>
        <w:tc>
          <w:tcPr>
            <w:tcW w:type="dxa" w:w="1700"/>
            <w:tcBorders>
              <w:top w:val="single" w:color="000000" w:sz="4"/>
              <w:left w:val="single" w:color="000000" w:sz="4"/>
              <w:bottom w:val="single" w:color="000000" w:sz="4"/>
              <w:right w:val="single" w:color="000000" w:sz="4"/>
            </w:tcBorders>
            <w:shd w:fill="D9E2F3" w:color="auto" w:val="clear"/>
            <w:tcMar>
              <w:top w:type="dxa" w:w="80"/>
              <w:left w:type="dxa" w:w="110"/>
              <w:bottom w:type="dxa" w:w="80"/>
              <w:right w:type="dxa" w:w="110"/>
            </w:tcMar>
            <w:vAlign w:val="center"/>
          </w:tcPr>
          <w:p>
            <w:r>
              <w:rPr>
                <w:b/>
                <w:bCs/>
                <w:sz w:val="19"/>
                <w:szCs w:val="19"/>
              </w:rPr>
              <w:t xml:space="preserve">Observaciones</w:t>
            </w:r>
          </w:p>
        </w:tc>
        <w:tc>
          <w:tcPr>
            <w:tcW w:type="dxa" w:w="2000"/>
            <w:tcBorders>
              <w:top w:val="single" w:color="000000" w:sz="4"/>
              <w:left w:val="single" w:color="000000" w:sz="4"/>
              <w:bottom w:val="single" w:color="000000" w:sz="4"/>
              <w:right w:val="single" w:color="000000" w:sz="4"/>
            </w:tcBorders>
            <w:shd w:fill="F2F2F2" w:color="auto" w:val="clear"/>
            <w:tcMar>
              <w:top w:type="dxa" w:w="80"/>
              <w:left w:type="dxa" w:w="110"/>
              <w:bottom w:type="dxa" w:w="80"/>
              <w:right w:type="dxa" w:w="110"/>
            </w:tcMar>
            <w:vAlign w:val="top"/>
          </w:tcPr>
          <w:p>
            <w:r>
              <w:rPr>
                <w:b/>
                <w:bCs/>
                <w:sz w:val="19"/>
                <w:szCs w:val="19"/>
              </w:rPr>
              <w:t xml:space="preserve">Limitaciones Identificadas</w:t>
            </w:r>
          </w:p>
        </w:tc>
        <w:tc>
          <w:tcPr>
            <w:tcW w:type="dxa" w:w="5938"/>
            <w:tcBorders>
              <w:top w:val="single" w:color="000000" w:sz="4"/>
              <w:left w:val="single" w:color="000000" w:sz="4"/>
              <w:bottom w:val="single" w:color="000000" w:sz="4"/>
              <w:right w:val="single" w:color="000000" w:sz="4"/>
            </w:tcBorders>
            <w:tcMar>
              <w:top w:type="dxa" w:w="80"/>
              <w:left w:type="dxa" w:w="110"/>
              <w:bottom w:type="dxa" w:w="80"/>
              <w:right w:type="dxa" w:w="110"/>
            </w:tcMar>
            <w:vAlign w:val="top"/>
          </w:tcPr>
          <w:p>
            <w:pPr>
              <w:pStyle w:val="ListParagraph"/>
              <w:numPr>
                <w:ilvl w:val="0"/>
                <w:numId w:val="2"/>
              </w:numPr>
              <w:spacing w:after="40"/>
            </w:pPr>
            <w:r>
              <w:rPr>
                <w:sz w:val="19"/>
                <w:szCs w:val="19"/>
              </w:rPr>
              <w:t xml:space="preserve">La encuesta de Sysarmy es voluntaria y autodeclarada, por lo que puede no representar a todo el sector (sesgo de autoselección).</w:t>
            </w:r>
          </w:p>
          <w:p>
            <w:pPr>
              <w:pStyle w:val="ListParagraph"/>
              <w:numPr>
                <w:ilvl w:val="0"/>
                <w:numId w:val="2"/>
              </w:numPr>
              <w:spacing w:after="40"/>
            </w:pPr>
            <w:r>
              <w:rPr>
                <w:sz w:val="19"/>
                <w:szCs w:val="19"/>
              </w:rPr>
              <w:t xml:space="preserve">El CEP XXI solo incluye empleo asalariado registrado: no contempla monotributistas, trabajo informal ni a quienes trabajan para empresas del exterior.</w:t>
            </w:r>
          </w:p>
          <w:p>
            <w:pPr>
              <w:pStyle w:val="ListParagraph"/>
              <w:numPr>
                <w:ilvl w:val="0"/>
                <w:numId w:val="2"/>
              </w:numPr>
              <w:spacing w:after="40"/>
            </w:pPr>
            <w:r>
              <w:rPr>
                <w:sz w:val="19"/>
                <w:szCs w:val="19"/>
              </w:rPr>
              <w:t xml:space="preserve">Los datos de los programas corresponden a 2020-2023 aproximadamente y no reflejan la situación actual del financiamiento.</w:t>
            </w:r>
          </w:p>
          <w:p>
            <w:pPr>
              <w:pStyle w:val="ListParagraph"/>
              <w:numPr>
                <w:ilvl w:val="0"/>
                <w:numId w:val="2"/>
              </w:numPr>
              <w:spacing w:after="40"/>
            </w:pPr>
            <w:r>
              <w:rPr>
                <w:sz w:val="19"/>
                <w:szCs w:val="19"/>
              </w:rPr>
              <w:t xml:space="preserve">Cada programa publica sus datos con columnas y formatos distintos; unificarlos requiere decisiones de transformación en el ETL que quedarán documentadas.</w:t>
            </w:r>
          </w:p>
          <w:p>
            <w:pPr>
              <w:pStyle w:val="ListParagraph"/>
              <w:numPr>
                <w:ilvl w:val="0"/>
                <w:numId w:val="2"/>
              </w:numPr>
              <w:spacing w:after="40"/>
            </w:pPr>
            <w:r>
              <w:rPr>
                <w:sz w:val="19"/>
                <w:szCs w:val="19"/>
              </w:rPr>
              <w:t xml:space="preserve">Los montos están en pesos de distintos años: por la inflación, no son directamente comparables. Se analizarán por programa y año, o se ajustarán con el Índice de Precios al Consumidor (IPC) del INDEC.</w:t>
            </w:r>
          </w:p>
          <w:p>
            <w:pPr>
              <w:pStyle w:val="ListParagraph"/>
              <w:numPr>
                <w:ilvl w:val="0"/>
                <w:numId w:val="2"/>
              </w:numPr>
              <w:spacing w:after="40"/>
            </w:pPr>
            <w:r>
              <w:rPr>
                <w:sz w:val="19"/>
                <w:szCs w:val="19"/>
              </w:rPr>
              <w:t xml:space="preserve">Los programas tienen distintos tipos de beneficiarios. Para la comparación con el empleo se excluyen los que financian a gobiernos (Capacitación 4.0).</w:t>
            </w:r>
          </w:p>
          <w:p>
            <w:pPr>
              <w:pStyle w:val="ListParagraph"/>
              <w:numPr>
                <w:ilvl w:val="0"/>
                <w:numId w:val="2"/>
              </w:numPr>
              <w:spacing w:after="40"/>
            </w:pPr>
            <w:r>
              <w:rPr>
                <w:sz w:val="19"/>
                <w:szCs w:val="19"/>
              </w:rPr>
              <w:t xml:space="preserve">No hay datos abiertos del programa vigente (KIT 4.0).</w:t>
            </w:r>
          </w:p>
          <w:p>
            <w:pPr>
              <w:pStyle w:val="ListParagraph"/>
              <w:numPr>
                <w:ilvl w:val="0"/>
                <w:numId w:val="2"/>
              </w:numPr>
              <w:spacing w:after="40"/>
            </w:pPr>
            <w:r>
              <w:rPr>
                <w:sz w:val="19"/>
                <w:szCs w:val="19"/>
              </w:rPr>
              <w:t xml:space="preserve">Los datos de salarios (2026) y de fondos (2020-2023) pertenecen a períodos distintos, por lo que no se combinan en una misma comparación.</w:t>
            </w:r>
          </w:p>
          <w:p>
            <w:pPr>
              <w:pStyle w:val="ListParagraph"/>
              <w:numPr>
                <w:ilvl w:val="0"/>
                <w:numId w:val="2"/>
              </w:numPr>
              <w:spacing w:after="40"/>
            </w:pPr>
            <w:r>
              <w:rPr>
                <w:sz w:val="19"/>
                <w:szCs w:val="19"/>
              </w:rPr>
              <w:t xml:space="preserve">La comparación entre fondos y empleo describe coincidencias entre rankings, pero no permite afirmar que los fondos hayan generado empleo. Para eso se necesitaría una evaluación de impacto con datos por empresa, que no son públicos.</w:t>
            </w:r>
          </w:p>
          <w:p>
            <w:pPr>
              <w:pStyle w:val="ListParagraph"/>
              <w:numPr>
                <w:ilvl w:val="0"/>
                <w:numId w:val="2"/>
              </w:numPr>
              <w:spacing w:after="40"/>
            </w:pPr>
            <w:r>
              <w:rPr>
                <w:sz w:val="19"/>
                <w:szCs w:val="19"/>
              </w:rPr>
              <w:t xml:space="preserve">La clasificación de los puestos como "vinculados a datos e IA" depende de un criterio que definirá el equipo y quedará documentado.</w:t>
            </w:r>
          </w:p>
        </w:tc>
      </w:tr>
    </w:tbl>
    <w:p>
      <w:pPr>
        <w:spacing w:after="120" w:before="280"/>
      </w:pPr>
      <w:r>
        <w:rPr>
          <w:b/>
          <w:bCs/>
          <w:sz w:val="22"/>
          <w:szCs w:val="22"/>
        </w:rPr>
        <w:t xml:space="preserve">Anexo: fuentes de datos y herramientas del proceso ETL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100"/>
        <w:gridCol w:w="3838"/>
      </w:tblGrid>
      <w:tr>
        <w:trPr>
          <w:tblHeader/>
        </w:trPr>
        <w:tc>
          <w:tcPr>
            <w:tcW w:type="dxa" w:w="2700"/>
            <w:tcBorders>
              <w:top w:val="single" w:color="000000" w:sz="4"/>
              <w:left w:val="single" w:color="000000" w:sz="4"/>
              <w:bottom w:val="single" w:color="000000" w:sz="4"/>
              <w:right w:val="single" w:color="000000" w:sz="4"/>
            </w:tcBorders>
            <w:shd w:fill="1F3864" w:color="auto" w:val="clear"/>
            <w:tcMar>
              <w:top w:type="dxa" w:w="60"/>
              <w:left w:type="dxa" w:w="100"/>
              <w:bottom w:type="dxa" w:w="60"/>
              <w:right w:type="dxa" w:w="100"/>
            </w:tcMar>
          </w:tcPr>
          <w:p>
            <w:r>
              <w:rPr>
                <w:b/>
                <w:bCs/>
                <w:color w:val="FFFFFF"/>
                <w:sz w:val="17"/>
                <w:szCs w:val="17"/>
              </w:rPr>
              <w:t xml:space="preserve">Fuente / herramienta</w:t>
            </w:r>
          </w:p>
        </w:tc>
        <w:tc>
          <w:tcPr>
            <w:tcW w:type="dxa" w:w="3100"/>
            <w:tcBorders>
              <w:top w:val="single" w:color="000000" w:sz="4"/>
              <w:left w:val="single" w:color="000000" w:sz="4"/>
              <w:bottom w:val="single" w:color="000000" w:sz="4"/>
              <w:right w:val="single" w:color="000000" w:sz="4"/>
            </w:tcBorders>
            <w:shd w:fill="1F3864" w:color="auto" w:val="clear"/>
            <w:tcMar>
              <w:top w:type="dxa" w:w="60"/>
              <w:left w:type="dxa" w:w="100"/>
              <w:bottom w:type="dxa" w:w="60"/>
              <w:right w:type="dxa" w:w="100"/>
            </w:tcMar>
          </w:tcPr>
          <w:p>
            <w:r>
              <w:rPr>
                <w:b/>
                <w:bCs/>
                <w:color w:val="FFFFFF"/>
                <w:sz w:val="17"/>
                <w:szCs w:val="17"/>
              </w:rPr>
              <w:t xml:space="preserve">Uso en el proyecto</w:t>
            </w:r>
          </w:p>
        </w:tc>
        <w:tc>
          <w:tcPr>
            <w:tcW w:type="dxa" w:w="3838"/>
            <w:tcBorders>
              <w:top w:val="single" w:color="000000" w:sz="4"/>
              <w:left w:val="single" w:color="000000" w:sz="4"/>
              <w:bottom w:val="single" w:color="000000" w:sz="4"/>
              <w:right w:val="single" w:color="000000" w:sz="4"/>
            </w:tcBorders>
            <w:shd w:fill="1F3864" w:color="auto" w:val="clear"/>
            <w:tcMar>
              <w:top w:type="dxa" w:w="60"/>
              <w:left w:type="dxa" w:w="100"/>
              <w:bottom w:type="dxa" w:w="60"/>
              <w:right w:type="dxa" w:w="100"/>
            </w:tcMar>
          </w:tcPr>
          <w:p>
            <w:r>
              <w:rPr>
                <w:b/>
                <w:bCs/>
                <w:color w:val="FFFFFF"/>
                <w:sz w:val="17"/>
                <w:szCs w:val="17"/>
              </w:rPr>
              <w:t xml:space="preserve">Enlace</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sz w:val="17"/>
                <w:szCs w:val="17"/>
              </w:rPr>
              <w:t xml:space="preserve">SOLUCIONA</w:t>
            </w:r>
          </w:p>
        </w:tc>
        <w:tc>
          <w:tcPr>
            <w:tcW w:type="dxa" w:w="31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sz w:val="17"/>
                <w:szCs w:val="17"/>
              </w:rPr>
              <w:t xml:space="preserve">Fondos por provincia (preguntas 2 y 3)</w:t>
            </w:r>
          </w:p>
        </w:tc>
        <w:tc>
          <w:tcPr>
            <w:tcW w:type="dxa" w:w="3838"/>
            <w:tcBorders>
              <w:top w:val="single" w:color="000000" w:sz="4"/>
              <w:left w:val="single" w:color="000000" w:sz="4"/>
              <w:bottom w:val="single" w:color="000000" w:sz="4"/>
              <w:right w:val="single" w:color="000000" w:sz="4"/>
            </w:tcBorders>
            <w:tcMar>
              <w:top w:type="dxa" w:w="50"/>
              <w:left w:type="dxa" w:w="100"/>
              <w:bottom w:type="dxa" w:w="50"/>
              <w:right w:type="dxa" w:w="100"/>
            </w:tcMar>
          </w:tcPr>
          <w:p>
            <w:hyperlink w:history="1" r:id="rIdzvoodhhbpr71yft_ukudu">
              <w:r>
                <w:rPr>
                  <w:rStyle w:val="Hyperlink"/>
                  <w:color w:val="0563C1"/>
                  <w:sz w:val="16"/>
                  <w:szCs w:val="16"/>
                  <w:u w:val="single"/>
                </w:rPr>
                <w:t xml:space="preserve">datos.gob.ar/dataset/programa-soluciona</w:t>
              </w:r>
            </w:hyperlink>
          </w:p>
        </w:tc>
      </w:tr>
      <w:tr>
        <w:trPr>
          <w:cantSplit/>
        </w:trPr>
        <w:tc>
          <w:tcPr>
            <w:tcW w:type="dxa" w:w="27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sz w:val="17"/>
                <w:szCs w:val="17"/>
              </w:rPr>
              <w:t xml:space="preserve">SOLUCIONA II</w:t>
            </w:r>
          </w:p>
        </w:tc>
        <w:tc>
          <w:tcPr>
            <w:tcW w:type="dxa" w:w="31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sz w:val="17"/>
                <w:szCs w:val="17"/>
              </w:rPr>
              <w:t xml:space="preserve">Fondos por provincia (preguntas 2 y 3)</w:t>
            </w:r>
          </w:p>
        </w:tc>
        <w:tc>
          <w:tcPr>
            <w:tcW w:type="dxa" w:w="3838"/>
            <w:tcBorders>
              <w:top w:val="single" w:color="000000" w:sz="4"/>
              <w:left w:val="single" w:color="000000" w:sz="4"/>
              <w:bottom w:val="single" w:color="000000" w:sz="4"/>
              <w:right w:val="single" w:color="000000" w:sz="4"/>
            </w:tcBorders>
            <w:tcMar>
              <w:top w:type="dxa" w:w="50"/>
              <w:left w:type="dxa" w:w="100"/>
              <w:bottom w:type="dxa" w:w="50"/>
              <w:right w:type="dxa" w:w="100"/>
            </w:tcMar>
          </w:tcPr>
          <w:p>
            <w:hyperlink w:history="1" r:id="rIdmnwe7gnbeoqnwciajqada">
              <w:r>
                <w:rPr>
                  <w:rStyle w:val="Hyperlink"/>
                  <w:color w:val="0563C1"/>
                  <w:sz w:val="16"/>
                  <w:szCs w:val="16"/>
                  <w:u w:val="single"/>
                </w:rPr>
                <w:t xml:space="preserve">datos.gob.ar/dataset/programa-soluciona-ii</w:t>
              </w:r>
            </w:hyperlink>
          </w:p>
        </w:tc>
      </w:tr>
      <w:tr>
        <w:trPr>
          <w:cantSplit/>
        </w:trPr>
        <w:tc>
          <w:tcPr>
            <w:tcW w:type="dxa" w:w="27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sz w:val="17"/>
                <w:szCs w:val="17"/>
              </w:rPr>
              <w:t xml:space="preserve">NODOS</w:t>
            </w:r>
          </w:p>
        </w:tc>
        <w:tc>
          <w:tcPr>
            <w:tcW w:type="dxa" w:w="31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sz w:val="17"/>
                <w:szCs w:val="17"/>
              </w:rPr>
              <w:t xml:space="preserve">Fondos por provincia (preguntas 2 y 3)</w:t>
            </w:r>
          </w:p>
        </w:tc>
        <w:tc>
          <w:tcPr>
            <w:tcW w:type="dxa" w:w="3838"/>
            <w:tcBorders>
              <w:top w:val="single" w:color="000000" w:sz="4"/>
              <w:left w:val="single" w:color="000000" w:sz="4"/>
              <w:bottom w:val="single" w:color="000000" w:sz="4"/>
              <w:right w:val="single" w:color="000000" w:sz="4"/>
            </w:tcBorders>
            <w:tcMar>
              <w:top w:type="dxa" w:w="50"/>
              <w:left w:type="dxa" w:w="100"/>
              <w:bottom w:type="dxa" w:w="50"/>
              <w:right w:type="dxa" w:w="100"/>
            </w:tcMar>
          </w:tcPr>
          <w:p>
            <w:hyperlink w:history="1" r:id="rIdyt_1ejizelt03d-0srfmp">
              <w:r>
                <w:rPr>
                  <w:rStyle w:val="Hyperlink"/>
                  <w:color w:val="0563C1"/>
                  <w:sz w:val="16"/>
                  <w:szCs w:val="16"/>
                  <w:u w:val="single"/>
                </w:rPr>
                <w:t xml:space="preserve">datos.gob.ar/dataset/programa-nodos-de-la-economia-del-conocimiento</w:t>
              </w:r>
            </w:hyperlink>
          </w:p>
        </w:tc>
      </w:tr>
      <w:tr>
        <w:trPr>
          <w:cantSplit/>
        </w:trPr>
        <w:tc>
          <w:tcPr>
            <w:tcW w:type="dxa" w:w="27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sz w:val="17"/>
                <w:szCs w:val="17"/>
              </w:rPr>
              <w:t xml:space="preserve">Producción Colaborativa</w:t>
            </w:r>
          </w:p>
        </w:tc>
        <w:tc>
          <w:tcPr>
            <w:tcW w:type="dxa" w:w="31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sz w:val="17"/>
                <w:szCs w:val="17"/>
              </w:rPr>
              <w:t xml:space="preserve">Fondos por provincia (preguntas 2 y 3)</w:t>
            </w:r>
          </w:p>
        </w:tc>
        <w:tc>
          <w:tcPr>
            <w:tcW w:type="dxa" w:w="3838"/>
            <w:tcBorders>
              <w:top w:val="single" w:color="000000" w:sz="4"/>
              <w:left w:val="single" w:color="000000" w:sz="4"/>
              <w:bottom w:val="single" w:color="000000" w:sz="4"/>
              <w:right w:val="single" w:color="000000" w:sz="4"/>
            </w:tcBorders>
            <w:tcMar>
              <w:top w:type="dxa" w:w="50"/>
              <w:left w:type="dxa" w:w="100"/>
              <w:bottom w:type="dxa" w:w="50"/>
              <w:right w:type="dxa" w:w="100"/>
            </w:tcMar>
          </w:tcPr>
          <w:p>
            <w:hyperlink w:history="1" r:id="rIdcbdm3_ktoyjvkyu6g-g1h">
              <w:r>
                <w:rPr>
                  <w:rStyle w:val="Hyperlink"/>
                  <w:color w:val="0563C1"/>
                  <w:sz w:val="16"/>
                  <w:szCs w:val="16"/>
                  <w:u w:val="single"/>
                </w:rPr>
                <w:t xml:space="preserve">datos.gob.ar/dataset/programa-produccion-colaborativa-de-economia-del-conocimiento</w:t>
              </w:r>
            </w:hyperlink>
          </w:p>
        </w:tc>
      </w:tr>
      <w:tr>
        <w:trPr>
          <w:cantSplit/>
        </w:trPr>
        <w:tc>
          <w:tcPr>
            <w:tcW w:type="dxa" w:w="27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sz w:val="17"/>
                <w:szCs w:val="17"/>
              </w:rPr>
              <w:t xml:space="preserve">POTENCIAR Industria del Videojuego</w:t>
            </w:r>
          </w:p>
        </w:tc>
        <w:tc>
          <w:tcPr>
            <w:tcW w:type="dxa" w:w="31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sz w:val="17"/>
                <w:szCs w:val="17"/>
              </w:rPr>
              <w:t xml:space="preserve">Fondos por provincia (preguntas 2 y 3)</w:t>
            </w:r>
          </w:p>
        </w:tc>
        <w:tc>
          <w:tcPr>
            <w:tcW w:type="dxa" w:w="3838"/>
            <w:tcBorders>
              <w:top w:val="single" w:color="000000" w:sz="4"/>
              <w:left w:val="single" w:color="000000" w:sz="4"/>
              <w:bottom w:val="single" w:color="000000" w:sz="4"/>
              <w:right w:val="single" w:color="000000" w:sz="4"/>
            </w:tcBorders>
            <w:tcMar>
              <w:top w:type="dxa" w:w="50"/>
              <w:left w:type="dxa" w:w="100"/>
              <w:bottom w:type="dxa" w:w="50"/>
              <w:right w:type="dxa" w:w="100"/>
            </w:tcMar>
          </w:tcPr>
          <w:p>
            <w:hyperlink w:history="1" r:id="rId5aayoylvbu6g0kcx1mfba">
              <w:r>
                <w:rPr>
                  <w:rStyle w:val="Hyperlink"/>
                  <w:color w:val="0563C1"/>
                  <w:sz w:val="16"/>
                  <w:szCs w:val="16"/>
                  <w:u w:val="single"/>
                </w:rPr>
                <w:t xml:space="preserve">datos.gob.ar/dataset/programa-potenciar-industria-del-videojuego</w:t>
              </w:r>
            </w:hyperlink>
          </w:p>
        </w:tc>
      </w:tr>
      <w:tr>
        <w:trPr>
          <w:cantSplit/>
        </w:trPr>
        <w:tc>
          <w:tcPr>
            <w:tcW w:type="dxa" w:w="27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sz w:val="17"/>
                <w:szCs w:val="17"/>
              </w:rPr>
              <w:t xml:space="preserve">POTENCIAR Satelital</w:t>
            </w:r>
          </w:p>
        </w:tc>
        <w:tc>
          <w:tcPr>
            <w:tcW w:type="dxa" w:w="31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sz w:val="17"/>
                <w:szCs w:val="17"/>
              </w:rPr>
              <w:t xml:space="preserve">Fondos por provincia (preguntas 2 y 3)</w:t>
            </w:r>
          </w:p>
        </w:tc>
        <w:tc>
          <w:tcPr>
            <w:tcW w:type="dxa" w:w="3838"/>
            <w:tcBorders>
              <w:top w:val="single" w:color="000000" w:sz="4"/>
              <w:left w:val="single" w:color="000000" w:sz="4"/>
              <w:bottom w:val="single" w:color="000000" w:sz="4"/>
              <w:right w:val="single" w:color="000000" w:sz="4"/>
            </w:tcBorders>
            <w:tcMar>
              <w:top w:type="dxa" w:w="50"/>
              <w:left w:type="dxa" w:w="100"/>
              <w:bottom w:type="dxa" w:w="50"/>
              <w:right w:type="dxa" w:w="100"/>
            </w:tcMar>
          </w:tcPr>
          <w:p>
            <w:hyperlink w:history="1" r:id="rIda2l7hxl8wlnnbyw--dz8i">
              <w:r>
                <w:rPr>
                  <w:rStyle w:val="Hyperlink"/>
                  <w:color w:val="0563C1"/>
                  <w:sz w:val="16"/>
                  <w:szCs w:val="16"/>
                  <w:u w:val="single"/>
                </w:rPr>
                <w:t xml:space="preserve">datos.gob.ar/dataset/programa-potenciar-satelital</w:t>
              </w:r>
            </w:hyperlink>
          </w:p>
        </w:tc>
      </w:tr>
      <w:tr>
        <w:trPr>
          <w:cantSplit/>
        </w:trPr>
        <w:tc>
          <w:tcPr>
            <w:tcW w:type="dxa" w:w="27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sz w:val="17"/>
                <w:szCs w:val="17"/>
              </w:rPr>
              <w:t xml:space="preserve">SOLUCIONA VERDE</w:t>
            </w:r>
          </w:p>
        </w:tc>
        <w:tc>
          <w:tcPr>
            <w:tcW w:type="dxa" w:w="31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sz w:val="17"/>
                <w:szCs w:val="17"/>
              </w:rPr>
              <w:t xml:space="preserve">Fondos por provincia (preguntas 2 y 3)</w:t>
            </w:r>
          </w:p>
        </w:tc>
        <w:tc>
          <w:tcPr>
            <w:tcW w:type="dxa" w:w="3838"/>
            <w:tcBorders>
              <w:top w:val="single" w:color="000000" w:sz="4"/>
              <w:left w:val="single" w:color="000000" w:sz="4"/>
              <w:bottom w:val="single" w:color="000000" w:sz="4"/>
              <w:right w:val="single" w:color="000000" w:sz="4"/>
            </w:tcBorders>
            <w:tcMar>
              <w:top w:type="dxa" w:w="50"/>
              <w:left w:type="dxa" w:w="100"/>
              <w:bottom w:type="dxa" w:w="50"/>
              <w:right w:type="dxa" w:w="100"/>
            </w:tcMar>
          </w:tcPr>
          <w:p>
            <w:hyperlink w:history="1" r:id="rId0dqjuskn1uocsmqxr26jl">
              <w:r>
                <w:rPr>
                  <w:rStyle w:val="Hyperlink"/>
                  <w:color w:val="0563C1"/>
                  <w:sz w:val="16"/>
                  <w:szCs w:val="16"/>
                  <w:u w:val="single"/>
                </w:rPr>
                <w:t xml:space="preserve">datos.gob.ar/dataset/programa-soluciona-verde</w:t>
              </w:r>
            </w:hyperlink>
          </w:p>
        </w:tc>
      </w:tr>
      <w:tr>
        <w:trPr>
          <w:cantSplit/>
        </w:trPr>
        <w:tc>
          <w:tcPr>
            <w:tcW w:type="dxa" w:w="27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sz w:val="17"/>
                <w:szCs w:val="17"/>
              </w:rPr>
              <w:t xml:space="preserve">FORTALECER (julio a diciembre de 2021)</w:t>
            </w:r>
          </w:p>
        </w:tc>
        <w:tc>
          <w:tcPr>
            <w:tcW w:type="dxa" w:w="31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sz w:val="17"/>
                <w:szCs w:val="17"/>
              </w:rPr>
              <w:t xml:space="preserve">Fondos por provincia (preguntas 2 y 3). Descarga: beneficios-aprobados-fortalecer-202301.xlsx</w:t>
            </w:r>
          </w:p>
        </w:tc>
        <w:tc>
          <w:tcPr>
            <w:tcW w:type="dxa" w:w="3838"/>
            <w:tcBorders>
              <w:top w:val="single" w:color="000000" w:sz="4"/>
              <w:left w:val="single" w:color="000000" w:sz="4"/>
              <w:bottom w:val="single" w:color="000000" w:sz="4"/>
              <w:right w:val="single" w:color="000000" w:sz="4"/>
            </w:tcBorders>
            <w:tcMar>
              <w:top w:type="dxa" w:w="50"/>
              <w:left w:type="dxa" w:w="100"/>
              <w:bottom w:type="dxa" w:w="50"/>
              <w:right w:type="dxa" w:w="100"/>
            </w:tcMar>
          </w:tcPr>
          <w:p>
            <w:hyperlink w:history="1" r:id="rIdlwtd5_n7mz8pemfm0tpys">
              <w:r>
                <w:rPr>
                  <w:rStyle w:val="Hyperlink"/>
                  <w:color w:val="0563C1"/>
                  <w:sz w:val="16"/>
                  <w:szCs w:val="16"/>
                  <w:u w:val="single"/>
                </w:rPr>
                <w:t xml:space="preserve">datos.produccion.gob.ar/dataset/1ef8d11b-117b-477d-b513-6c8ddf00185c/resource/c34427c9-5b4f-418f-85ae-f1ee7ec8396c/download/beneficios-aprobados-fortalecer-202301.xlsx</w:t>
              </w:r>
            </w:hyperlink>
          </w:p>
        </w:tc>
      </w:tr>
      <w:tr>
        <w:trPr>
          <w:cantSplit/>
        </w:trPr>
        <w:tc>
          <w:tcPr>
            <w:tcW w:type="dxa" w:w="27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sz w:val="17"/>
                <w:szCs w:val="17"/>
              </w:rPr>
              <w:t xml:space="preserve">Capacitación 4.0</w:t>
            </w:r>
          </w:p>
        </w:tc>
        <w:tc>
          <w:tcPr>
            <w:tcW w:type="dxa" w:w="31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sz w:val="17"/>
                <w:szCs w:val="17"/>
              </w:rPr>
              <w:t xml:space="preserve">Panorama de fondos (pregunta 2); se excluye de la comparación con el empleo</w:t>
            </w:r>
          </w:p>
        </w:tc>
        <w:tc>
          <w:tcPr>
            <w:tcW w:type="dxa" w:w="3838"/>
            <w:tcBorders>
              <w:top w:val="single" w:color="000000" w:sz="4"/>
              <w:left w:val="single" w:color="000000" w:sz="4"/>
              <w:bottom w:val="single" w:color="000000" w:sz="4"/>
              <w:right w:val="single" w:color="000000" w:sz="4"/>
            </w:tcBorders>
            <w:tcMar>
              <w:top w:type="dxa" w:w="50"/>
              <w:left w:type="dxa" w:w="100"/>
              <w:bottom w:type="dxa" w:w="50"/>
              <w:right w:type="dxa" w:w="100"/>
            </w:tcMar>
          </w:tcPr>
          <w:p>
            <w:hyperlink w:history="1" r:id="rIdgdioanxfp-bxbmpmwerai">
              <w:r>
                <w:rPr>
                  <w:rStyle w:val="Hyperlink"/>
                  <w:color w:val="0563C1"/>
                  <w:sz w:val="16"/>
                  <w:szCs w:val="16"/>
                  <w:u w:val="single"/>
                </w:rPr>
                <w:t xml:space="preserve">datos.gob.ar/dataset/programa-capacitacion-4-0-y-economia-del-conocimiento-para-gobiernos-subnacionales</w:t>
              </w:r>
            </w:hyperlink>
          </w:p>
        </w:tc>
      </w:tr>
      <w:tr>
        <w:trPr>
          <w:cantSplit/>
        </w:trPr>
        <w:tc>
          <w:tcPr>
            <w:tcW w:type="dxa" w:w="27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sz w:val="17"/>
                <w:szCs w:val="17"/>
              </w:rPr>
              <w:t xml:space="preserve">CEP XXI – Puestos de trabajo por departamento y CLAE2</w:t>
            </w:r>
          </w:p>
        </w:tc>
        <w:tc>
          <w:tcPr>
            <w:tcW w:type="dxa" w:w="31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sz w:val="17"/>
                <w:szCs w:val="17"/>
              </w:rPr>
              <w:t xml:space="preserve">Empleo en servicios informáticos por provincia (pregunta 3)</w:t>
            </w:r>
          </w:p>
        </w:tc>
        <w:tc>
          <w:tcPr>
            <w:tcW w:type="dxa" w:w="3838"/>
            <w:tcBorders>
              <w:top w:val="single" w:color="000000" w:sz="4"/>
              <w:left w:val="single" w:color="000000" w:sz="4"/>
              <w:bottom w:val="single" w:color="000000" w:sz="4"/>
              <w:right w:val="single" w:color="000000" w:sz="4"/>
            </w:tcBorders>
            <w:tcMar>
              <w:top w:type="dxa" w:w="50"/>
              <w:left w:type="dxa" w:w="100"/>
              <w:bottom w:type="dxa" w:w="50"/>
              <w:right w:type="dxa" w:w="100"/>
            </w:tcMar>
          </w:tcPr>
          <w:p>
            <w:hyperlink w:history="1" r:id="rIdb4dsqhrera9npmxxuqyjh">
              <w:r>
                <w:rPr>
                  <w:rStyle w:val="Hyperlink"/>
                  <w:color w:val="0563C1"/>
                  <w:sz w:val="16"/>
                  <w:szCs w:val="16"/>
                  <w:u w:val="single"/>
                </w:rPr>
                <w:t xml:space="preserve">datos.gob.ar/dataset/puestos-de-trabajo-por-departamento-partido-y-sector-de-actividad</w:t>
              </w:r>
            </w:hyperlink>
          </w:p>
        </w:tc>
      </w:tr>
      <w:tr>
        <w:trPr>
          <w:cantSplit/>
        </w:trPr>
        <w:tc>
          <w:tcPr>
            <w:tcW w:type="dxa" w:w="27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sz w:val="17"/>
                <w:szCs w:val="17"/>
              </w:rPr>
              <w:t xml:space="preserve">Encuesta de sueldos Sysarmy 2026.1</w:t>
            </w:r>
          </w:p>
        </w:tc>
        <w:tc>
          <w:tcPr>
            <w:tcW w:type="dxa" w:w="31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sz w:val="17"/>
                <w:szCs w:val="17"/>
              </w:rPr>
              <w:t xml:space="preserve">Salarios de los puestos IT y de IA (pregunta 1)</w:t>
            </w:r>
          </w:p>
        </w:tc>
        <w:tc>
          <w:tcPr>
            <w:tcW w:type="dxa" w:w="3838"/>
            <w:tcBorders>
              <w:top w:val="single" w:color="000000" w:sz="4"/>
              <w:left w:val="single" w:color="000000" w:sz="4"/>
              <w:bottom w:val="single" w:color="000000" w:sz="4"/>
              <w:right w:val="single" w:color="000000" w:sz="4"/>
            </w:tcBorders>
            <w:tcMar>
              <w:top w:type="dxa" w:w="50"/>
              <w:left w:type="dxa" w:w="100"/>
              <w:bottom w:type="dxa" w:w="50"/>
              <w:right w:type="dxa" w:w="100"/>
            </w:tcMar>
          </w:tcPr>
          <w:p>
            <w:hyperlink w:history="1" r:id="rIdnzerkkd8d7kdow_jyghgy">
              <w:r>
                <w:rPr>
                  <w:rStyle w:val="Hyperlink"/>
                  <w:color w:val="0563C1"/>
                  <w:sz w:val="16"/>
                  <w:szCs w:val="16"/>
                  <w:u w:val="single"/>
                </w:rPr>
                <w:t xml:space="preserve">sueldos.openqube.io/encuesta-sueldos-2026.01/</w:t>
              </w:r>
            </w:hyperlink>
          </w:p>
        </w:tc>
      </w:tr>
      <w:tr>
        <w:trPr>
          <w:cantSplit/>
        </w:trPr>
        <w:tc>
          <w:tcPr>
            <w:tcW w:type="dxa" w:w="27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sz w:val="17"/>
                <w:szCs w:val="17"/>
              </w:rPr>
              <w:t xml:space="preserve">IPC – INDEC (opcional)</w:t>
            </w:r>
          </w:p>
        </w:tc>
        <w:tc>
          <w:tcPr>
            <w:tcW w:type="dxa" w:w="31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sz w:val="17"/>
                <w:szCs w:val="17"/>
              </w:rPr>
              <w:t xml:space="preserve">Ajuste de los montos por inflación. Dataset a confirmar: buscar "Índice de Precios al Consumidor" en datos.gob.ar</w:t>
            </w:r>
          </w:p>
        </w:tc>
        <w:tc>
          <w:tcPr>
            <w:tcW w:type="dxa" w:w="3838"/>
            <w:tcBorders>
              <w:top w:val="single" w:color="000000" w:sz="4"/>
              <w:left w:val="single" w:color="000000" w:sz="4"/>
              <w:bottom w:val="single" w:color="000000" w:sz="4"/>
              <w:right w:val="single" w:color="000000" w:sz="4"/>
            </w:tcBorders>
            <w:tcMar>
              <w:top w:type="dxa" w:w="50"/>
              <w:left w:type="dxa" w:w="100"/>
              <w:bottom w:type="dxa" w:w="50"/>
              <w:right w:type="dxa" w:w="100"/>
            </w:tcMar>
          </w:tcPr>
          <w:p>
            <w:hyperlink w:history="1" r:id="rIdaxa9wt2spi_5bdhqnxncn">
              <w:r>
                <w:rPr>
                  <w:rStyle w:val="Hyperlink"/>
                  <w:color w:val="0563C1"/>
                  <w:sz w:val="16"/>
                  <w:szCs w:val="16"/>
                  <w:u w:val="single"/>
                </w:rPr>
                <w:t xml:space="preserve">datos.gob.ar/</w:t>
              </w:r>
            </w:hyperlink>
          </w:p>
        </w:tc>
      </w:tr>
      <w:tr>
        <w:trPr>
          <w:cantSplit/>
        </w:trPr>
        <w:tc>
          <w:tcPr>
            <w:tcW w:type="dxa" w:w="27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sz w:val="17"/>
                <w:szCs w:val="17"/>
              </w:rPr>
              <w:t xml:space="preserve">Pentaho Data Integration (Spoon)</w:t>
            </w:r>
          </w:p>
        </w:tc>
        <w:tc>
          <w:tcPr>
            <w:tcW w:type="dxa" w:w="31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sz w:val="17"/>
                <w:szCs w:val="17"/>
              </w:rPr>
              <w:t xml:space="preserve">Proceso ETL: extracción, limpieza, unificación y carga</w:t>
            </w:r>
          </w:p>
        </w:tc>
        <w:tc>
          <w:tcPr>
            <w:tcW w:type="dxa" w:w="3838"/>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sz w:val="17"/>
                <w:szCs w:val="17"/>
              </w:rPr>
              <w:t xml:space="preserve">—</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sz w:val="17"/>
                <w:szCs w:val="17"/>
              </w:rPr>
              <w:t xml:space="preserve">MySQL / phpMyAdmin</w:t>
            </w:r>
          </w:p>
        </w:tc>
        <w:tc>
          <w:tcPr>
            <w:tcW w:type="dxa" w:w="31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sz w:val="17"/>
                <w:szCs w:val="17"/>
              </w:rPr>
              <w:t xml:space="preserve">Base de datos de destino del ETL</w:t>
            </w:r>
          </w:p>
        </w:tc>
        <w:tc>
          <w:tcPr>
            <w:tcW w:type="dxa" w:w="3838"/>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sz w:val="17"/>
                <w:szCs w:val="17"/>
              </w:rPr>
              <w:t xml:space="preserve">—</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sz w:val="17"/>
                <w:szCs w:val="17"/>
              </w:rPr>
              <w:t xml:space="preserve">Power BI Desktop</w:t>
            </w:r>
          </w:p>
        </w:tc>
        <w:tc>
          <w:tcPr>
            <w:tcW w:type="dxa" w:w="31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sz w:val="17"/>
                <w:szCs w:val="17"/>
              </w:rPr>
              <w:t xml:space="preserve">Visualizaciones y tablero</w:t>
            </w:r>
          </w:p>
        </w:tc>
        <w:tc>
          <w:tcPr>
            <w:tcW w:type="dxa" w:w="3838"/>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sz w:val="17"/>
                <w:szCs w:val="17"/>
              </w:rPr>
              <w:t xml:space="preserve">—</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sz w:val="17"/>
                <w:szCs w:val="17"/>
              </w:rPr>
              <w:t xml:space="preserve">Google Drive y GitHub</w:t>
            </w:r>
          </w:p>
        </w:tc>
        <w:tc>
          <w:tcPr>
            <w:tcW w:type="dxa" w:w="3100"/>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sz w:val="17"/>
                <w:szCs w:val="17"/>
              </w:rPr>
              <w:t xml:space="preserve">Almacenamiento de datos crudos, procesados y archivos del ETL y de Power BI</w:t>
            </w:r>
          </w:p>
        </w:tc>
        <w:tc>
          <w:tcPr>
            <w:tcW w:type="dxa" w:w="3838"/>
            <w:tcBorders>
              <w:top w:val="single" w:color="000000" w:sz="4"/>
              <w:left w:val="single" w:color="000000" w:sz="4"/>
              <w:bottom w:val="single" w:color="000000" w:sz="4"/>
              <w:right w:val="single" w:color="000000" w:sz="4"/>
            </w:tcBorders>
            <w:tcMar>
              <w:top w:type="dxa" w:w="50"/>
              <w:left w:type="dxa" w:w="100"/>
              <w:bottom w:type="dxa" w:w="50"/>
              <w:right w:type="dxa" w:w="100"/>
            </w:tcMar>
          </w:tcPr>
          <w:p>
            <w:r>
              <w:rPr>
                <w:sz w:val="17"/>
                <w:szCs w:val="17"/>
              </w:rPr>
              <w:t xml:space="preserve">—</w:t>
            </w:r>
          </w:p>
        </w:tc>
      </w:tr>
    </w:tbl>
    <w:p>
      <w:pPr>
        <w:spacing w:after="120" w:before="280"/>
      </w:pPr>
      <w:r>
        <w:rPr>
          <w:b/>
          <w:bCs/>
          <w:sz w:val="22"/>
          <w:szCs w:val="22"/>
        </w:rPr>
        <w:t xml:space="preserve">Fuentes consultadas</w:t>
      </w:r>
    </w:p>
    <w:p>
      <w:pPr>
        <w:pStyle w:val="ListParagraph"/>
        <w:numPr>
          <w:ilvl w:val="0"/>
          <w:numId w:val="2"/>
        </w:numPr>
        <w:spacing w:after="40"/>
      </w:pPr>
      <w:r>
        <w:rPr>
          <w:sz w:val="19"/>
          <w:szCs w:val="19"/>
        </w:rPr>
        <w:t xml:space="preserve">Ley 27.506 – Régimen de Promoción de la Economía del Conocimiento (Infoleg): </w:t>
      </w:r>
      <w:hyperlink w:history="1" r:id="rIdf1xfii8jl6gkxin9e2c-y">
        <w:r>
          <w:rPr>
            <w:rStyle w:val="Hyperlink"/>
            <w:color w:val="0563C1"/>
            <w:sz w:val="17"/>
            <w:szCs w:val="17"/>
            <w:u w:val="single"/>
          </w:rPr>
          <w:t xml:space="preserve">https://servicios.infoleg.gob.ar/infolegInternet/verNorma.do?id=324101</w:t>
        </w:r>
      </w:hyperlink>
    </w:p>
    <w:p>
      <w:pPr>
        <w:pStyle w:val="ListParagraph"/>
        <w:numPr>
          <w:ilvl w:val="0"/>
          <w:numId w:val="2"/>
        </w:numPr>
        <w:spacing w:after="40"/>
      </w:pPr>
      <w:r>
        <w:rPr>
          <w:sz w:val="19"/>
          <w:szCs w:val="19"/>
        </w:rPr>
        <w:t xml:space="preserve">Ley 27.570 – Modificación del régimen (Boletín Oficial): </w:t>
      </w:r>
      <w:hyperlink w:history="1" r:id="rIdtb0mbppyhw7zuz3x44ixn">
        <w:r>
          <w:rPr>
            <w:rStyle w:val="Hyperlink"/>
            <w:color w:val="0563C1"/>
            <w:sz w:val="17"/>
            <w:szCs w:val="17"/>
            <w:u w:val="single"/>
          </w:rPr>
          <w:t xml:space="preserve">https://www.boletinoficial.gob.ar/detalleAviso/primera/236496/20201026</w:t>
        </w:r>
      </w:hyperlink>
    </w:p>
    <w:p>
      <w:pPr>
        <w:pStyle w:val="ListParagraph"/>
        <w:numPr>
          <w:ilvl w:val="0"/>
          <w:numId w:val="2"/>
        </w:numPr>
        <w:spacing w:after="40"/>
      </w:pPr>
      <w:r>
        <w:rPr>
          <w:sz w:val="19"/>
          <w:szCs w:val="19"/>
        </w:rPr>
        <w:t xml:space="preserve">Resolución 8/2026 – Programa KIT 4.0: </w:t>
      </w:r>
      <w:hyperlink w:history="1" r:id="rIdvh2a3jh2e05sqr6qcfm9j">
        <w:r>
          <w:rPr>
            <w:rStyle w:val="Hyperlink"/>
            <w:color w:val="0563C1"/>
            <w:sz w:val="17"/>
            <w:szCs w:val="17"/>
            <w:u w:val="single"/>
          </w:rPr>
          <w:t xml:space="preserve">https://www.argentina.gob.ar/normativa/nacional/norma-425190/texto</w:t>
        </w:r>
      </w:hyperlink>
    </w:p>
    <w:p>
      <w:pPr>
        <w:pStyle w:val="ListParagraph"/>
        <w:numPr>
          <w:ilvl w:val="0"/>
          <w:numId w:val="2"/>
        </w:numPr>
        <w:spacing w:after="40"/>
      </w:pPr>
      <w:r>
        <w:rPr>
          <w:sz w:val="19"/>
          <w:szCs w:val="19"/>
        </w:rPr>
        <w:t xml:space="preserve">Disposición 106/2026 – Ampliación del catálogo KIT 4.0: </w:t>
      </w:r>
      <w:hyperlink w:history="1" r:id="rId10k2izmdr2uke9udbgxjg">
        <w:r>
          <w:rPr>
            <w:rStyle w:val="Hyperlink"/>
            <w:color w:val="0563C1"/>
            <w:sz w:val="17"/>
            <w:szCs w:val="17"/>
            <w:u w:val="single"/>
          </w:rPr>
          <w:t xml:space="preserve">https://www.boletinoficial.gob.ar/detalleAviso/primera/347979/20260925</w:t>
        </w:r>
      </w:hyperlink>
    </w:p>
    <w:p>
      <w:pPr>
        <w:pStyle w:val="ListParagraph"/>
        <w:numPr>
          <w:ilvl w:val="0"/>
          <w:numId w:val="2"/>
        </w:numPr>
        <w:spacing w:after="40"/>
      </w:pPr>
      <w:r>
        <w:rPr>
          <w:sz w:val="19"/>
          <w:szCs w:val="19"/>
        </w:rPr>
        <w:t xml:space="preserve">Encuesta de sueldos Sysarmy 2026.1: </w:t>
      </w:r>
      <w:hyperlink w:history="1" r:id="rId_hf7coozvvds4i1-ovngn">
        <w:r>
          <w:rPr>
            <w:rStyle w:val="Hyperlink"/>
            <w:color w:val="0563C1"/>
            <w:sz w:val="17"/>
            <w:szCs w:val="17"/>
            <w:u w:val="single"/>
          </w:rPr>
          <w:t xml:space="preserve">https://sueldos.openqube.io/encuesta-sueldos-2026.01/</w:t>
        </w:r>
      </w:hyperlink>
    </w:p>
    <w:p>
      <w:pPr>
        <w:pStyle w:val="ListParagraph"/>
        <w:numPr>
          <w:ilvl w:val="0"/>
          <w:numId w:val="2"/>
        </w:numPr>
        <w:spacing w:after="40"/>
      </w:pPr>
      <w:r>
        <w:rPr>
          <w:sz w:val="19"/>
          <w:szCs w:val="19"/>
        </w:rPr>
        <w:t xml:space="preserve">Programa SOLUCIONA (datos.gob.ar): </w:t>
      </w:r>
      <w:hyperlink w:history="1" r:id="rIdvvinrb2mxm4s_fa0jm-it">
        <w:r>
          <w:rPr>
            <w:rStyle w:val="Hyperlink"/>
            <w:color w:val="0563C1"/>
            <w:sz w:val="17"/>
            <w:szCs w:val="17"/>
            <w:u w:val="single"/>
          </w:rPr>
          <w:t xml:space="preserve">https://datos.gob.ar/dataset/programa-soluciona</w:t>
        </w:r>
      </w:hyperlink>
    </w:p>
    <w:p>
      <w:pPr>
        <w:pStyle w:val="ListParagraph"/>
        <w:numPr>
          <w:ilvl w:val="0"/>
          <w:numId w:val="2"/>
        </w:numPr>
        <w:spacing w:after="40"/>
      </w:pPr>
      <w:r>
        <w:rPr>
          <w:sz w:val="19"/>
          <w:szCs w:val="19"/>
        </w:rPr>
        <w:t xml:space="preserve">CEP XXI – Puestos de trabajo por departamento y sector de actividad: </w:t>
      </w:r>
      <w:hyperlink w:history="1" r:id="rIddb5hlkdmltjucux5bxsot">
        <w:r>
          <w:rPr>
            <w:rStyle w:val="Hyperlink"/>
            <w:color w:val="0563C1"/>
            <w:sz w:val="17"/>
            <w:szCs w:val="17"/>
            <w:u w:val="single"/>
          </w:rPr>
          <w:t xml:space="preserve">https://datos.gob.ar/dataset/puestos-de-trabajo-por-departamento-partido-y-sector-de-actividad</w:t>
        </w:r>
      </w:hyperlink>
    </w:p>
    <w:p>
      <w:pPr>
        <w:pStyle w:val="ListParagraph"/>
        <w:numPr>
          <w:ilvl w:val="0"/>
          <w:numId w:val="2"/>
        </w:numPr>
        <w:spacing w:after="40"/>
      </w:pPr>
      <w:r>
        <w:rPr>
          <w:sz w:val="19"/>
          <w:szCs w:val="19"/>
        </w:rPr>
        <w:t xml:space="preserve">Metodología CEP XXI: </w:t>
      </w:r>
      <w:hyperlink w:history="1" r:id="rIdohpyhae_5lpswuje6tssh">
        <w:r>
          <w:rPr>
            <w:rStyle w:val="Hyperlink"/>
            <w:color w:val="0563C1"/>
            <w:sz w:val="17"/>
            <w:szCs w:val="17"/>
            <w:u w:val="single"/>
          </w:rPr>
          <w:t xml:space="preserve">https://cdn.produccion.gob.ar/cdn-cep/datos-por-departamento/puestos/Metodologia.pdf</w:t>
        </w:r>
      </w:hyperlink>
    </w:p>
    <w:p>
      <w:pPr>
        <w:spacing w:before="200"/>
      </w:pPr>
      <w:r>
        <w:rPr>
          <w:i/>
          <w:iCs/>
          <w:color w:val="595959"/>
          <w:sz w:val="17"/>
          <w:szCs w:val="17"/>
        </w:rPr>
        <w:t xml:space="preserve">Esta ficha es un documento vivo: se actualizará a medida que avance el análisis y se conozcan mejor los datos.</w:t>
      </w:r>
    </w:p>
    <w:sectPr>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voodhhbpr71yft_ukudu" Type="http://schemas.openxmlformats.org/officeDocument/2006/relationships/hyperlink" Target="https://datos.gob.ar/dataset/programa-soluciona" TargetMode="External"/><Relationship Id="rIdmnwe7gnbeoqnwciajqada" Type="http://schemas.openxmlformats.org/officeDocument/2006/relationships/hyperlink" Target="https://datos.gob.ar/dataset/programa-soluciona-ii" TargetMode="External"/><Relationship Id="rIdyt_1ejizelt03d-0srfmp" Type="http://schemas.openxmlformats.org/officeDocument/2006/relationships/hyperlink" Target="https://datos.gob.ar/dataset/programa-nodos-de-la-economia-del-conocimiento" TargetMode="External"/><Relationship Id="rIdcbdm3_ktoyjvkyu6g-g1h" Type="http://schemas.openxmlformats.org/officeDocument/2006/relationships/hyperlink" Target="https://datos.gob.ar/dataset/programa-produccion-colaborativa-de-economia-del-conocimiento" TargetMode="External"/><Relationship Id="rId5aayoylvbu6g0kcx1mfba" Type="http://schemas.openxmlformats.org/officeDocument/2006/relationships/hyperlink" Target="https://datos.gob.ar/dataset/programa-potenciar-industria-del-videojuego" TargetMode="External"/><Relationship Id="rIda2l7hxl8wlnnbyw--dz8i" Type="http://schemas.openxmlformats.org/officeDocument/2006/relationships/hyperlink" Target="https://datos.gob.ar/dataset/programa-potenciar-satelital" TargetMode="External"/><Relationship Id="rId0dqjuskn1uocsmqxr26jl" Type="http://schemas.openxmlformats.org/officeDocument/2006/relationships/hyperlink" Target="https://datos.gob.ar/dataset/programa-soluciona-verde" TargetMode="External"/><Relationship Id="rIdlwtd5_n7mz8pemfm0tpys" Type="http://schemas.openxmlformats.org/officeDocument/2006/relationships/hyperlink" Target="https://datos.produccion.gob.ar/dataset/1ef8d11b-117b-477d-b513-6c8ddf00185c/resource/c34427c9-5b4f-418f-85ae-f1ee7ec8396c/download/beneficios-aprobados-fortalecer-202301.xlsx" TargetMode="External"/><Relationship Id="rIdgdioanxfp-bxbmpmwerai" Type="http://schemas.openxmlformats.org/officeDocument/2006/relationships/hyperlink" Target="https://datos.gob.ar/dataset/programa-capacitacion-4-0-y-economia-del-conocimiento-para-gobiernos-subnacionales" TargetMode="External"/><Relationship Id="rIdb4dsqhrera9npmxxuqyjh" Type="http://schemas.openxmlformats.org/officeDocument/2006/relationships/hyperlink" Target="https://datos.gob.ar/dataset/puestos-de-trabajo-por-departamento-partido-y-sector-de-actividad" TargetMode="External"/><Relationship Id="rIdnzerkkd8d7kdow_jyghgy" Type="http://schemas.openxmlformats.org/officeDocument/2006/relationships/hyperlink" Target="https://sueldos.openqube.io/encuesta-sueldos-2026.01/" TargetMode="External"/><Relationship Id="rIdaxa9wt2spi_5bdhqnxncn" Type="http://schemas.openxmlformats.org/officeDocument/2006/relationships/hyperlink" Target="https://datos.gob.ar/" TargetMode="External"/><Relationship Id="rIdf1xfii8jl6gkxin9e2c-y" Type="http://schemas.openxmlformats.org/officeDocument/2006/relationships/hyperlink" Target="https://servicios.infoleg.gob.ar/infolegInternet/verNorma.do?id=324101" TargetMode="External"/><Relationship Id="rIdtb0mbppyhw7zuz3x44ixn" Type="http://schemas.openxmlformats.org/officeDocument/2006/relationships/hyperlink" Target="https://www.boletinoficial.gob.ar/detalleAviso/primera/236496/20201026" TargetMode="External"/><Relationship Id="rIdvh2a3jh2e05sqr6qcfm9j" Type="http://schemas.openxmlformats.org/officeDocument/2006/relationships/hyperlink" Target="https://www.argentina.gob.ar/normativa/nacional/norma-425190/texto" TargetMode="External"/><Relationship Id="rId10k2izmdr2uke9udbgxjg" Type="http://schemas.openxmlformats.org/officeDocument/2006/relationships/hyperlink" Target="https://www.boletinoficial.gob.ar/detalleAviso/primera/347979/20260925" TargetMode="External"/><Relationship Id="rId_hf7coozvvds4i1-ovngn" Type="http://schemas.openxmlformats.org/officeDocument/2006/relationships/hyperlink" Target="https://sueldos.openqube.io/encuesta-sueldos-2026.01/" TargetMode="External"/><Relationship Id="rIdvvinrb2mxm4s_fa0jm-it" Type="http://schemas.openxmlformats.org/officeDocument/2006/relationships/hyperlink" Target="https://datos.gob.ar/dataset/programa-soluciona" TargetMode="External"/><Relationship Id="rIddb5hlkdmltjucux5bxsot" Type="http://schemas.openxmlformats.org/officeDocument/2006/relationships/hyperlink" Target="https://datos.gob.ar/dataset/puestos-de-trabajo-por-departamento-partido-y-sector-de-actividad" TargetMode="External"/><Relationship Id="rIdohpyhae_5lpswuje6tssh" Type="http://schemas.openxmlformats.org/officeDocument/2006/relationships/hyperlink" Target="https://cdn.produccion.gob.ar/cdn-cep/datos-por-departamento/puestos/Metodologia.pdf" TargetMode="Externa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2026-10-03T00:07:29.366Z</dcterms:created>
  <dcterms:modified xsi:type="dcterms:W3CDTF">2026-10-03T00:07:29.366Z</dcterms:modified>
</cp:coreProperties>
</file>

<file path=docProps/custom.xml><?xml version="1.0" encoding="utf-8"?>
<Properties xmlns="http://schemas.openxmlformats.org/officeDocument/2006/custom-properties" xmlns:vt="http://schemas.openxmlformats.org/officeDocument/2006/docPropsVTypes"/>
</file>