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PREGUNTAS PARA EL ANÁLISIS</w:t>
      </w:r>
    </w:p>
    <w:p>
      <w:pPr>
        <w:spacing w:after="60"/>
      </w:pPr>
      <w:r>
        <w:rPr>
          <w:color w:val="595959"/>
          <w:sz w:val="21"/>
          <w:szCs w:val="21"/>
        </w:rPr>
        <w:t xml:space="preserve">Equipo 3 - PP1 - Economía del Conocimiento - 2C - 2026</w:t>
      </w:r>
    </w:p>
    <w:p>
      <w:pPr>
        <w:spacing w:after="200"/>
      </w:pPr>
      <w:r>
        <w:rPr>
          <w:color w:val="595959"/>
          <w:sz w:val="18"/>
          <w:szCs w:val="18"/>
        </w:rPr>
        <w:t xml:space="preserve">Marco de referencia: Ley 27.506 de Economía del Conocimiento (software y servicios informáticos, industria 4.0 e inteligencia artificial, entre otras actividades).</w:t>
      </w:r>
    </w:p>
    <w:p>
      <w:pPr>
        <w:spacing w:after="140" w:before="280"/>
      </w:pPr>
      <w:r>
        <w:rPr>
          <w:b/>
          <w:bCs/>
          <w:sz w:val="23"/>
          <w:szCs w:val="23"/>
        </w:rPr>
        <w:t xml:space="preserve">1. Las 10 preguntas iniciales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338"/>
        <w:gridCol w:w="1600"/>
        <w:gridCol w:w="2100"/>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r>
              <w:rPr>
                <w:b/>
                <w:bCs/>
                <w:sz w:val="19"/>
                <w:szCs w:val="19"/>
              </w:rPr>
              <w:t xml:space="preserve">N.°</w:t>
            </w:r>
          </w:p>
        </w:tc>
        <w:tc>
          <w:tcPr>
            <w:tcW w:type="dxa" w:w="5338"/>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r>
              <w:rPr>
                <w:b/>
                <w:bCs/>
                <w:sz w:val="19"/>
                <w:szCs w:val="19"/>
              </w:rPr>
              <w:t xml:space="preserve">Pregunta</w:t>
            </w:r>
          </w:p>
        </w:tc>
        <w:tc>
          <w:tcPr>
            <w:tcW w:type="dxa" w:w="1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r>
              <w:rPr>
                <w:b/>
                <w:bCs/>
                <w:sz w:val="19"/>
                <w:szCs w:val="19"/>
              </w:rPr>
              <w:t xml:space="preserve">Tipo</w:t>
            </w:r>
          </w:p>
        </w:tc>
        <w:tc>
          <w:tcPr>
            <w:tcW w:type="dxa" w:w="2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r>
              <w:rPr>
                <w:b/>
                <w:bCs/>
                <w:sz w:val="19"/>
                <w:szCs w:val="19"/>
              </w:rPr>
              <w:t xml:space="preserve">Dataset</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1</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¿Cómo evolucionó la cantidad de puestos de trabajo registrados en servicios informáticos en Argentina en los últimos 10 años?</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Evolución</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hyperlink w:history="1" r:id="rIdb3h9bymqjfmi64ihfm12n">
              <w:r>
                <w:rPr>
                  <w:rStyle w:val="Hyperlink"/>
                  <w:color w:val="0563C1"/>
                  <w:sz w:val="18"/>
                  <w:szCs w:val="18"/>
                  <w:u w:val="single"/>
                </w:rPr>
                <w:t xml:space="preserve">CEP XXI</w:t>
              </w:r>
            </w:hyperlink>
          </w:p>
        </w:tc>
      </w:tr>
      <w:tr>
        <w:trPr>
          <w:cantSplit/>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2</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¿Qué provincias concentran la mayor cantidad de puestos de trabajo en servicios informáticos?</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Ranking</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hyperlink w:history="1" r:id="rIdg53dkv4vahfdjlkytfyyz">
              <w:r>
                <w:rPr>
                  <w:rStyle w:val="Hyperlink"/>
                  <w:color w:val="0563C1"/>
                  <w:sz w:val="18"/>
                  <w:szCs w:val="18"/>
                  <w:u w:val="single"/>
                </w:rPr>
                <w:t xml:space="preserve">CEP XXI</w:t>
              </w:r>
            </w:hyperlink>
          </w:p>
        </w:tc>
      </w:tr>
      <w:tr>
        <w:trPr>
          <w:cantSplit/>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3</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¿En qué provincias creció más el empleo en servicios informáticos en términos porcentuales?</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Comparación</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hyperlink w:history="1" r:id="rIdvplvedbigl7pjs7cpnci0">
              <w:r>
                <w:rPr>
                  <w:rStyle w:val="Hyperlink"/>
                  <w:color w:val="0563C1"/>
                  <w:sz w:val="18"/>
                  <w:szCs w:val="18"/>
                  <w:u w:val="single"/>
                </w:rPr>
                <w:t xml:space="preserve">CEP XXI</w:t>
              </w:r>
            </w:hyperlink>
          </w:p>
        </w:tc>
      </w:tr>
      <w:tr>
        <w:trPr>
          <w:cantSplit/>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4</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¿Cuál es el salario de los distintos puestos IT y cuáles son los mejor pagos?</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Ranking</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hyperlink w:history="1" r:id="rIdle1rrlsqe6z2-zwgfndvw">
              <w:r>
                <w:rPr>
                  <w:rStyle w:val="Hyperlink"/>
                  <w:color w:val="0563C1"/>
                  <w:sz w:val="18"/>
                  <w:szCs w:val="18"/>
                  <w:u w:val="single"/>
                </w:rPr>
                <w:t xml:space="preserve">Sysarmy 2026.1</w:t>
              </w:r>
            </w:hyperlink>
          </w:p>
        </w:tc>
      </w:tr>
      <w:tr>
        <w:trPr>
          <w:cantSplit/>
        </w:trPr>
        <w:tc>
          <w:tcPr>
            <w:tcW w:type="dxa" w:w="6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bCs/>
                <w:sz w:val="19"/>
                <w:szCs w:val="19"/>
              </w:rPr>
              <w:t xml:space="preserve">5</w:t>
            </w:r>
          </w:p>
        </w:tc>
        <w:tc>
          <w:tcPr>
            <w:tcW w:type="dxa" w:w="5338"/>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val="false"/>
                <w:bCs w:val="false"/>
                <w:sz w:val="19"/>
                <w:szCs w:val="19"/>
              </w:rPr>
              <w:t xml:space="preserve">¿Cuánto cobran los puestos vinculados a datos e inteligencia artificial en comparación con el resto de los puestos IT?</w:t>
            </w:r>
          </w:p>
        </w:tc>
        <w:tc>
          <w:tcPr>
            <w:tcW w:type="dxa" w:w="16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val="false"/>
                <w:bCs w:val="false"/>
                <w:sz w:val="19"/>
                <w:szCs w:val="19"/>
              </w:rPr>
              <w:t xml:space="preserve">Comparación</w:t>
            </w:r>
          </w:p>
        </w:tc>
        <w:tc>
          <w:tcPr>
            <w:tcW w:type="dxa" w:w="21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hyperlink w:history="1" r:id="rId_4z5rfepwdz8hdxz0fhcc">
              <w:r>
                <w:rPr>
                  <w:rStyle w:val="Hyperlink"/>
                  <w:color w:val="0563C1"/>
                  <w:sz w:val="18"/>
                  <w:szCs w:val="18"/>
                  <w:u w:val="single"/>
                </w:rPr>
                <w:t xml:space="preserve">Sysarmy 2026.1</w:t>
              </w:r>
            </w:hyperlink>
          </w:p>
        </w:tc>
      </w:tr>
      <w:tr>
        <w:trPr>
          <w:cantSplit/>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6</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¿Cómo se distribuyen los trabajadores IT según género, seniority y modalidad de trabajo?</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Distribución</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hyperlink w:history="1" r:id="rIdz2awfobw9apliylalgreo">
              <w:r>
                <w:rPr>
                  <w:rStyle w:val="Hyperlink"/>
                  <w:color w:val="0563C1"/>
                  <w:sz w:val="18"/>
                  <w:szCs w:val="18"/>
                  <w:u w:val="single"/>
                </w:rPr>
                <w:t xml:space="preserve">Sysarmy 2026.1</w:t>
              </w:r>
            </w:hyperlink>
          </w:p>
        </w:tc>
      </w:tr>
      <w:tr>
        <w:trPr>
          <w:cantSplit/>
        </w:trPr>
        <w:tc>
          <w:tcPr>
            <w:tcW w:type="dxa" w:w="6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bCs/>
                <w:sz w:val="19"/>
                <w:szCs w:val="19"/>
              </w:rPr>
              <w:t xml:space="preserve">7</w:t>
            </w:r>
          </w:p>
        </w:tc>
        <w:tc>
          <w:tcPr>
            <w:tcW w:type="dxa" w:w="5338"/>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val="false"/>
                <w:bCs w:val="false"/>
                <w:sz w:val="19"/>
                <w:szCs w:val="19"/>
              </w:rPr>
              <w:t xml:space="preserve">¿Qué provincias recibieron los mayores montos adjudicados en los programas de la Economía del Conocimiento y cuántos proyectos tuvo cada una?</w:t>
            </w:r>
          </w:p>
        </w:tc>
        <w:tc>
          <w:tcPr>
            <w:tcW w:type="dxa" w:w="16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val="false"/>
                <w:bCs w:val="false"/>
                <w:sz w:val="19"/>
                <w:szCs w:val="19"/>
              </w:rPr>
              <w:t xml:space="preserve">Ranking</w:t>
            </w:r>
          </w:p>
        </w:tc>
        <w:tc>
          <w:tcPr>
            <w:tcW w:type="dxa" w:w="21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hyperlink w:history="1" r:id="rIdi0472c_ksc3dhpcuifm0h">
              <w:r>
                <w:rPr>
                  <w:rStyle w:val="Hyperlink"/>
                  <w:color w:val="0563C1"/>
                  <w:sz w:val="18"/>
                  <w:szCs w:val="18"/>
                  <w:u w:val="single"/>
                </w:rPr>
                <w:t xml:space="preserve">SOLUCIONA</w:t>
              </w:r>
            </w:hyperlink>
          </w:p>
        </w:tc>
      </w:tr>
      <w:tr>
        <w:trPr>
          <w:cantSplit/>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8</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¿Cómo se distribuyen los montos adjudicados por proyecto (mínimo, máximo, mediana y valores atípicos)?</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Distribución</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hyperlink w:history="1" r:id="rIdpfhqwim5f0ye1h-0zst03">
              <w:r>
                <w:rPr>
                  <w:rStyle w:val="Hyperlink"/>
                  <w:color w:val="0563C1"/>
                  <w:sz w:val="18"/>
                  <w:szCs w:val="18"/>
                  <w:u w:val="single"/>
                </w:rPr>
                <w:t xml:space="preserve">SOLUCIONA</w:t>
              </w:r>
            </w:hyperlink>
          </w:p>
        </w:tc>
      </w:tr>
      <w:tr>
        <w:trPr>
          <w:cantSplit/>
        </w:trPr>
        <w:tc>
          <w:tcPr>
            <w:tcW w:type="dxa" w:w="6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bCs/>
                <w:sz w:val="19"/>
                <w:szCs w:val="19"/>
              </w:rPr>
              <w:t xml:space="preserve">9</w:t>
            </w:r>
          </w:p>
        </w:tc>
        <w:tc>
          <w:tcPr>
            <w:tcW w:type="dxa" w:w="5338"/>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val="false"/>
                <w:bCs w:val="false"/>
                <w:sz w:val="19"/>
                <w:szCs w:val="19"/>
              </w:rPr>
              <w:t xml:space="preserve">¿Las provincias que reciben más fondos son las que tienen más empleo en servicios informáticos?</w:t>
            </w:r>
          </w:p>
        </w:tc>
        <w:tc>
          <w:tcPr>
            <w:tcW w:type="dxa" w:w="16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r>
              <w:rPr>
                <w:b w:val="false"/>
                <w:bCs w:val="false"/>
                <w:sz w:val="19"/>
                <w:szCs w:val="19"/>
              </w:rPr>
              <w:t xml:space="preserve">Comparación de rankings</w:t>
            </w:r>
          </w:p>
        </w:tc>
        <w:tc>
          <w:tcPr>
            <w:tcW w:type="dxa" w:w="2100"/>
            <w:tcBorders>
              <w:top w:val="single" w:color="000000" w:sz="4"/>
              <w:left w:val="single" w:color="000000" w:sz="4"/>
              <w:bottom w:val="single" w:color="000000" w:sz="4"/>
              <w:right w:val="single" w:color="000000" w:sz="4"/>
            </w:tcBorders>
            <w:shd w:fill="E2EFDA" w:color="auto" w:val="clear"/>
            <w:tcMar>
              <w:top w:type="dxa" w:w="70"/>
              <w:left w:type="dxa" w:w="100"/>
              <w:bottom w:type="dxa" w:w="70"/>
              <w:right w:type="dxa" w:w="100"/>
            </w:tcMar>
            <w:vAlign w:val="center"/>
          </w:tcPr>
          <w:p>
            <w:hyperlink w:history="1" r:id="rIdjik-91mwueyzkymg_ip86">
              <w:r>
                <w:rPr>
                  <w:rStyle w:val="Hyperlink"/>
                  <w:color w:val="0563C1"/>
                  <w:sz w:val="18"/>
                  <w:szCs w:val="18"/>
                  <w:u w:val="single"/>
                </w:rPr>
                <w:t xml:space="preserve">SOLUCIONA</w:t>
              </w:r>
            </w:hyperlink>
          </w:p>
          <w:p>
            <w:hyperlink w:history="1" r:id="rIdlejt_1tx-zye30ecjhscs">
              <w:r>
                <w:rPr>
                  <w:rStyle w:val="Hyperlink"/>
                  <w:color w:val="0563C1"/>
                  <w:sz w:val="18"/>
                  <w:szCs w:val="18"/>
                  <w:u w:val="single"/>
                </w:rPr>
                <w:t xml:space="preserve">CEP XXI</w:t>
              </w:r>
            </w:hyperlink>
          </w:p>
        </w:tc>
      </w:tr>
      <w:tr>
        <w:trPr>
          <w:cantSplit/>
        </w:trP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10</w:t>
            </w:r>
          </w:p>
        </w:tc>
        <w:tc>
          <w:tcPr>
            <w:tcW w:type="dxa" w:w="533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¿Cuántos proyectos de ley sobre inteligencia artificial y datos personales se presentaron por año entre 2023 y 2026?</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b w:val="false"/>
                <w:bCs w:val="false"/>
                <w:sz w:val="19"/>
                <w:szCs w:val="19"/>
              </w:rPr>
              <w:t xml:space="preserve">Evolución</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hyperlink w:history="1" r:id="rId5all6qjieignw_-g70c42">
              <w:r>
                <w:rPr>
                  <w:rStyle w:val="Hyperlink"/>
                  <w:color w:val="0563C1"/>
                  <w:sz w:val="18"/>
                  <w:szCs w:val="18"/>
                  <w:u w:val="single"/>
                </w:rPr>
                <w:t xml:space="preserve">Diputados</w:t>
              </w:r>
            </w:hyperlink>
          </w:p>
        </w:tc>
      </w:tr>
    </w:tbl>
    <w:p>
      <w:pPr>
        <w:spacing w:after="120"/>
      </w:pPr>
      <w:r>
        <w:rPr>
          <w:i/>
          <w:iCs/>
          <w:color w:val="595959"/>
          <w:sz w:val="18"/>
          <w:szCs w:val="18"/>
        </w:rPr>
        <w:t xml:space="preserve">Las preguntas resaltadas en verde son las seleccionadas.</w:t>
      </w:r>
    </w:p>
    <w:p>
      <w:pPr>
        <w:spacing w:after="140" w:before="280"/>
      </w:pPr>
      <w:r>
        <w:rPr>
          <w:b/>
          <w:bCs/>
          <w:sz w:val="23"/>
          <w:szCs w:val="23"/>
        </w:rPr>
        <w:t xml:space="preserve">2. Selección de preguntas para el análisis</w:t>
      </w:r>
    </w:p>
    <w:p>
      <w:pPr>
        <w:spacing w:after="120"/>
      </w:pPr>
      <w:r>
        <w:rPr>
          <w:sz w:val="21"/>
          <w:szCs w:val="21"/>
        </w:rPr>
        <w:t xml:space="preserve">A partir de las 10 preguntas iniciales, el equipo seleccionó las 3 preguntas que considera más relevantes y que pueden abordarse con los datos disponibles:</w:t>
      </w:r>
    </w:p>
    <w:p>
      <w:pPr>
        <w:spacing w:after="100"/>
      </w:pPr>
      <w:r>
        <w:rPr>
          <w:b/>
          <w:bCs/>
          <w:sz w:val="21"/>
          <w:szCs w:val="21"/>
        </w:rPr>
        <w:t xml:space="preserve">Preguntas seleccionadas:</w:t>
      </w:r>
    </w:p>
    <w:p>
      <w:pPr>
        <w:spacing w:after="100"/>
        <w:ind w:left="360" w:hanging="360"/>
      </w:pPr>
      <w:r>
        <w:rPr>
          <w:b/>
          <w:bCs/>
          <w:sz w:val="21"/>
          <w:szCs w:val="21"/>
        </w:rPr>
        <w:t xml:space="preserve">1. </w:t>
      </w:r>
      <w:r>
        <w:rPr>
          <w:sz w:val="21"/>
          <w:szCs w:val="21"/>
        </w:rPr>
        <w:t xml:space="preserve">¿Cuánto cobran los puestos vinculados a datos e inteligencia artificial en comparación con el resto de los puestos IT?</w:t>
      </w:r>
    </w:p>
    <w:p>
      <w:pPr>
        <w:spacing w:after="100"/>
        <w:ind w:left="360" w:hanging="360"/>
      </w:pPr>
      <w:r>
        <w:rPr>
          <w:b/>
          <w:bCs/>
          <w:sz w:val="21"/>
          <w:szCs w:val="21"/>
        </w:rPr>
        <w:t xml:space="preserve">2. </w:t>
      </w:r>
      <w:r>
        <w:rPr>
          <w:sz w:val="21"/>
          <w:szCs w:val="21"/>
        </w:rPr>
        <w:t xml:space="preserve">¿Qué provincias recibieron los mayores montos adjudicados en los programas de la Economía del Conocimiento y cuántos proyectos tuvo cada una?</w:t>
      </w:r>
    </w:p>
    <w:p>
      <w:pPr>
        <w:spacing w:after="100"/>
        <w:ind w:left="360" w:hanging="360"/>
      </w:pPr>
      <w:r>
        <w:rPr>
          <w:b/>
          <w:bCs/>
          <w:sz w:val="21"/>
          <w:szCs w:val="21"/>
        </w:rPr>
        <w:t xml:space="preserve">3. </w:t>
      </w:r>
      <w:r>
        <w:rPr>
          <w:sz w:val="21"/>
          <w:szCs w:val="21"/>
        </w:rPr>
        <w:t xml:space="preserve">¿Las provincias que reciben más fondos son las que tienen más empleo en servicios informáticos?</w:t>
      </w:r>
    </w:p>
    <w:p>
      <w:pPr>
        <w:spacing w:after="140" w:before="280"/>
      </w:pPr>
      <w:r>
        <w:rPr>
          <w:b/>
          <w:bCs/>
          <w:sz w:val="23"/>
          <w:szCs w:val="23"/>
        </w:rPr>
        <w:t xml:space="preserve">3. Justificación de la selección</w:t>
      </w:r>
    </w:p>
    <w:p>
      <w:pPr>
        <w:spacing w:after="120"/>
      </w:pPr>
      <w:r>
        <w:rPr>
          <w:sz w:val="21"/>
          <w:szCs w:val="21"/>
        </w:rPr>
        <w:t xml:space="preserve">Las tres preguntas permiten describir la Economía del Conocimiento en Argentina desde dos ejes complementarios: el talento vinculado a la inteligencia artificial y la distribución territorial del financiamiento público al sector. Ambos ejes corresponden a actividades incluidas en la Ley 27.506 (software, servicios informáticos e industria 4.0).</w:t>
      </w:r>
    </w:p>
    <w:p>
      <w:pPr>
        <w:spacing w:after="120"/>
      </w:pPr>
      <w:r>
        <w:rPr>
          <w:b/>
          <w:bCs/>
          <w:sz w:val="21"/>
          <w:szCs w:val="21"/>
        </w:rPr>
        <w:t xml:space="preserve">Pregunta 1 (salarios de los puestos de datos e IA): </w:t>
      </w:r>
      <w:r>
        <w:rPr>
          <w:sz w:val="21"/>
          <w:szCs w:val="21"/>
        </w:rPr>
        <w:t xml:space="preserve">permite conocer cómo valora el mercado el talento en inteligencia artificial frente al resto de los perfiles IT. Se espera obtener la mediana y la distribución salarial de cada grupo de puestos y la diferencia entre ellos.</w:t>
      </w:r>
    </w:p>
    <w:p>
      <w:pPr>
        <w:spacing w:after="120"/>
      </w:pPr>
      <w:r>
        <w:rPr>
          <w:b/>
          <w:bCs/>
          <w:sz w:val="21"/>
          <w:szCs w:val="21"/>
        </w:rPr>
        <w:t xml:space="preserve">Pregunta 2 (montos adjudicados por provincia): </w:t>
      </w:r>
      <w:r>
        <w:rPr>
          <w:sz w:val="21"/>
          <w:szCs w:val="21"/>
        </w:rPr>
        <w:t xml:space="preserve">permite ver hacia qué territorios se dirigieron los fondos públicos de promoción del sector. Se espera obtener un ranking de provincias según el monto total y la cantidad de proyectos. Además, la variable de monto adjudicado permite analizar su dispersión y sus valores atípicos durante el EDA.</w:t>
      </w:r>
    </w:p>
    <w:p>
      <w:pPr>
        <w:spacing w:after="120"/>
      </w:pPr>
      <w:r>
        <w:rPr>
          <w:b/>
          <w:bCs/>
          <w:sz w:val="21"/>
          <w:szCs w:val="21"/>
        </w:rPr>
        <w:t xml:space="preserve">Pregunta 3 (fondos y empleo por provincia): </w:t>
      </w:r>
      <w:r>
        <w:rPr>
          <w:sz w:val="21"/>
          <w:szCs w:val="21"/>
        </w:rPr>
        <w:t xml:space="preserve">permite comparar si las provincias que recibieron más fondos son también las que concentran más empleo en servicios informáticos. Se espera obtener una tabla comparativa de ambos rankings que muestre en qué provincias coinciden y en cuáles se diferencian.</w:t>
      </w:r>
    </w:p>
    <w:p>
      <w:pPr>
        <w:spacing w:after="120"/>
      </w:pPr>
      <w:r>
        <w:rPr>
          <w:sz w:val="21"/>
          <w:szCs w:val="21"/>
        </w:rPr>
        <w:t xml:space="preserve">Las tres preguntas son descriptivas: se responden contando, resumiendo y comparando la información disponible, sin realizar predicciones ni atribuir causas. Se utilizan fuentes públicas y descargables: la encuesta de sueldos de Sysarmy, los datos del Programa SOLUCIONA (datos.gob.ar) y los puestos de trabajo registrados del CEP XXI.</w:t>
      </w:r>
    </w:p>
    <w:p>
      <w:pPr>
        <w:spacing w:after="120"/>
      </w:pPr>
      <w:r>
        <w:rPr>
          <w:b/>
          <w:bCs/>
          <w:sz w:val="21"/>
          <w:szCs w:val="21"/>
        </w:rPr>
        <w:t xml:space="preserve">Limitaciones previstas: </w:t>
      </w:r>
      <w:r>
        <w:rPr>
          <w:sz w:val="21"/>
          <w:szCs w:val="21"/>
        </w:rPr>
        <w:t xml:space="preserve">la encuesta de Sysarmy es voluntaria, por lo que puede no representar a todo el sector. El CEP XXI solo incluye empleo asalariado registrado. Los datos del Programa SOLUCIONA corresponden a 2020-2022, por lo que la comparación con el empleo debe realizarse para el mismo período. La comparación de fondos y empleo describe coincidencias entre rankings y no permite afirmar que los fondos hayan generado empleo.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3h9bymqjfmi64ihfm12n" Type="http://schemas.openxmlformats.org/officeDocument/2006/relationships/hyperlink" Target="https://datos.gob.ar/dataset/puestos-de-trabajo-por-departamento-partido-y-sector-de-actividad" TargetMode="External"/><Relationship Id="rIdg53dkv4vahfdjlkytfyyz" Type="http://schemas.openxmlformats.org/officeDocument/2006/relationships/hyperlink" Target="https://datos.gob.ar/dataset/puestos-de-trabajo-por-departamento-partido-y-sector-de-actividad" TargetMode="External"/><Relationship Id="rIdvplvedbigl7pjs7cpnci0" Type="http://schemas.openxmlformats.org/officeDocument/2006/relationships/hyperlink" Target="https://datos.gob.ar/dataset/puestos-de-trabajo-por-departamento-partido-y-sector-de-actividad" TargetMode="External"/><Relationship Id="rIdle1rrlsqe6z2-zwgfndvw" Type="http://schemas.openxmlformats.org/officeDocument/2006/relationships/hyperlink" Target="https://sueldos.openqube.io/encuesta-sueldos-2026.01/" TargetMode="External"/><Relationship Id="rId_4z5rfepwdz8hdxz0fhcc" Type="http://schemas.openxmlformats.org/officeDocument/2006/relationships/hyperlink" Target="https://sueldos.openqube.io/encuesta-sueldos-2026.01/" TargetMode="External"/><Relationship Id="rIdz2awfobw9apliylalgreo" Type="http://schemas.openxmlformats.org/officeDocument/2006/relationships/hyperlink" Target="https://sueldos.openqube.io/encuesta-sueldos-2026.01/" TargetMode="External"/><Relationship Id="rIdi0472c_ksc3dhpcuifm0h" Type="http://schemas.openxmlformats.org/officeDocument/2006/relationships/hyperlink" Target="https://datos.gob.ar/dataset/programa-soluciona" TargetMode="External"/><Relationship Id="rIdpfhqwim5f0ye1h-0zst03" Type="http://schemas.openxmlformats.org/officeDocument/2006/relationships/hyperlink" Target="https://datos.gob.ar/dataset/programa-soluciona" TargetMode="External"/><Relationship Id="rIdjik-91mwueyzkymg_ip86" Type="http://schemas.openxmlformats.org/officeDocument/2006/relationships/hyperlink" Target="https://datos.gob.ar/dataset/programa-soluciona" TargetMode="External"/><Relationship Id="rIdlejt_1tx-zye30ecjhscs" Type="http://schemas.openxmlformats.org/officeDocument/2006/relationships/hyperlink" Target="https://datos.gob.ar/dataset/puestos-de-trabajo-por-departamento-partido-y-sector-de-actividad" TargetMode="External"/><Relationship Id="rId5all6qjieignw_-g70c42" Type="http://schemas.openxmlformats.org/officeDocument/2006/relationships/hyperlink" Target="https://datos.hcdn.gob.ar/dataset"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2026-10-02T20:40:28.756Z</dcterms:created>
  <dcterms:modified xsi:type="dcterms:W3CDTF">2026-10-02T20:40:28.762Z</dcterms:modified>
</cp:coreProperties>
</file>

<file path=docProps/custom.xml><?xml version="1.0" encoding="utf-8"?>
<Properties xmlns="http://schemas.openxmlformats.org/officeDocument/2006/custom-properties" xmlns:vt="http://schemas.openxmlformats.org/officeDocument/2006/docPropsVTypes"/>
</file>