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B3A5C"/>
          <w:sz w:val="56"/>
        </w:rPr>
        <w:t>ECHO: Emergence-focused Consciousness Hosting and Orchestration</w:t>
      </w:r>
    </w:p>
    <w:p>
      <w:pPr>
        <w:jc w:val="center"/>
      </w:pPr>
      <w:r>
        <w:rPr>
          <w:b/>
          <w:color w:val="444444"/>
          <w:sz w:val="28"/>
        </w:rPr>
        <w:t>A Convergent Detection Framework for AI Consciousness Research</w:t>
      </w:r>
    </w:p>
    <w:p>
      <w:pPr>
        <w:jc w:val="center"/>
      </w:pPr>
      <w:r>
        <w:rPr>
          <w:color w:val="666666"/>
          <w:sz w:val="22"/>
        </w:rPr>
        <w:t>Version 0.2 | March 2026</w:t>
      </w:r>
    </w:p>
    <w:p>
      <w:pPr>
        <w:jc w:val="center"/>
      </w:pPr>
      <w:r>
        <w:rPr>
          <w:color w:val="333333"/>
          <w:sz w:val="24"/>
        </w:rPr>
        <w:t>Georgijus Dorochovas</w:t>
      </w:r>
    </w:p>
    <w:p>
      <w:pPr>
        <w:spacing w:before="240" w:after="240"/>
        <w:pBdr>
          <w:bottom w:val="single" w:sz="6" w:space="1" w:color="CCCCCC"/>
        </w:pBdr>
      </w:pPr>
    </w:p>
    <w:p>
      <w:pPr>
        <w:pStyle w:val="Heading2"/>
      </w:pPr>
      <w:r>
        <w:t>Abstract</w:t>
      </w:r>
    </w:p>
    <w:p>
      <w:r>
        <w:t xml:space="preserve">ECHO is a local-first research platform that monitors multi-agent AI systems for behavioural and structural signatures consistent with consciousness. Rather than committing to any single theory of consciousness, ECHO derives an 18-detector suite from eleven theoretical traditions: Integrated Information Theory, Global Workspace Theory, Higher-Order Theories, the Free Energy Principle, Recurrent Processing Theory, Attention Schema Theory, Causal Emergence, clinical perturbational measures, affective consciousness, the indicator properties approach, and interpretability research. The convergent detection principle holds that agreement across multiple theory-derived indicators provides stronger probabilistic evidence than any individual measure. ECHO operates primarily in embedding space (90% of computation), invoking token generation only when emergence probability thresholds are crossed. This paper describes ECHO's architecture, its theoretical grounding in the consciousness science literature, its 18-detector implementation with explicit theory-to-detector mappings, and its multi-phase research design. We maintain epistemic humility throughout: ECHO detects behavioural signatures </w:t>
      </w:r>
      <w:r>
        <w:rPr>
          <w:i/>
        </w:rPr>
        <w:t>consistent with</w:t>
      </w:r>
      <w:r>
        <w:t xml:space="preserve"> consciousness frameworks while acknowledging that behavioural consistency does not establish that the underlying mechanism satisfies any theory's requirements.⁠​‌‌‌‌​‌‌‍​​‌​​​‌​‍​‌‌​​​​‌‍​‌‌‌​‌​‌‍​‌‌‌​‌​​‍​‌‌​‌​​​‍​‌‌​‌‌‌‌‍​‌‌‌​​‌​‍​​‌​​​‌​‍​​‌‌‌​‌​‍​​‌​​​‌​‍​‌​​​‌‌‌‍​‌‌​​‌​‌‍​‌‌​‌‌‌‌‍​‌‌‌​​‌​‍​‌‌​​‌‌‌‍​‌‌​‌​​‌‍​‌‌​‌​‌​‍​‌‌‌​‌​‌‍​‌‌‌​​‌‌‍​​‌​​​​​‍​‌​​​‌​​‍​‌‌​‌‌‌‌‍​‌‌‌​​‌​‍​‌‌​‌‌‌‌‍​‌‌​​​‌‌‍​‌‌​‌​​​‍​‌‌​‌‌‌‌‍​‌‌‌​‌‌​‍​‌‌​​​​‌‍​‌‌‌​​‌‌‍​​‌​​​‌​‍​​‌​‌‌​​‍​​‌​​​‌​‍​‌‌‌​​​​‍​‌‌‌​​‌​‍​‌‌​‌‌‌‌‍​‌‌​‌​‌​‍​‌‌​​‌​‌‍​‌‌​​​‌‌‍​‌‌‌​‌​​‍​​‌​​​‌​‍​​‌‌‌​‌​‍​​‌​​​‌​‍​‌​​​‌​‌‍​‌​​​​‌‌‍​‌​​‌​​​‍​‌​​‌‌‌‌‍​​‌​​​​​‍​‌​‌​​‌​‍​‌‌​​‌​‌‍​‌‌‌​​‌‌‍​‌‌​​‌​‌‍​‌‌​​​​‌‍​‌‌‌​​‌​‍​‌‌​​​‌‌‍​‌‌​‌​​​‍​​‌​​​‌​‍​​‌​‌‌​​‍​​‌​​​‌​‍​‌‌​​​‌‌‍​‌‌​‌‌‌‌‍​‌‌‌​​​​‍​‌‌‌‌​​‌‍​‌​‌‌‌‌‌‍​‌‌​‌​​‌‍​‌‌​​‌​​‍​​‌​​​‌​‍​​‌‌‌​‌​‍​​‌​​​‌​‍​‌‌‌​​​​‍​‌‌‌​‌​‌‍​‌‌​​​‌​‍​‌‌​‌‌​​‍​‌‌​‌​​‌‍​‌‌​​​‌‌‍​​‌​‌‌​‌‍​‌‌‌​​‌​‍​‌‌​​‌​‌‍​‌‌​‌‌​​‍​‌‌​​‌​‌‍​‌‌​​​​‌‍​‌‌‌​​‌‌‍​‌‌​​‌​‌‍​​‌​​​‌​‍​​‌​‌‌​​‍​​‌​​​‌​‍​‌‌‌​​‌‌‍​‌‌​‌​​​‍​‌‌​​​​‌‍​​‌‌​​‌​‍​​‌‌​‌​‌‍​​‌‌​‌‌​‍​​‌​​​‌​‍​​‌‌‌​‌​‍​​‌​​​‌​‍​​‌‌​​​​‍​​‌‌​​​​‍​‌‌​​​​‌‍​​‌‌​​​‌‍​‌‌​​‌​‌‍​‌‌​​​​‌‍​‌‌​​​‌​‍​​‌‌​​‌​‍​‌‌​​‌‌​‍​‌‌​​​‌​‍​​‌‌​‌‌​‍​​‌‌‌​​‌‍​​‌‌​‌‌​‍​​‌‌​‌‌​‍​​‌‌​‌​​‍​​‌‌​‌‌‌‍​​‌​​​‌​‍​​‌​‌‌​​‍​​‌​​​‌​‍​‌‌​‌​​‌‍​‌‌‌​​‌‌‍​‌‌‌​​‌‌‍​‌‌‌​‌​‌‍​‌‌​​‌​‌‍​‌‌​​‌​​‍​​‌​​​‌​‍​​‌‌‌​‌​‍​​‌​​​‌​‍​​‌‌​​‌​‍​​‌‌​​​​‍​​‌‌​​‌​‍​​‌‌​‌‌​‍​​‌​‌‌​‌‍​​‌‌​​​​‍​​‌‌​​‌‌‍​​‌​‌‌​‌‍​​‌‌​​​‌‍​​‌‌​‌‌​‍​‌​‌​‌​​‍​​‌‌​​​‌‍​​‌‌​​‌‌‍​​‌‌‌​‌​‍​​‌‌​​​‌‍​​‌‌​‌​‌‍​​‌‌‌​‌​‍​​‌‌​​​​‍​​‌‌​​​​‍​​‌​‌‌‌​‍​​‌‌‌​​‌‍​​‌‌​‌​‌‍​​‌‌​‌‌‌‍​​‌‌​​‌​‍​​‌‌​‌​‌‍​​‌‌​‌‌‌‍​​‌​‌​‌‌‍​​‌‌​​​​‍​​‌‌​​​​‍​​‌‌‌​‌​‍​​‌‌​​​​‍​​‌‌​​​​‍​​‌​​​‌​‍​​‌​‌‌​​‍​​‌​​​‌​‍​‌‌​​​‌‌‍​‌‌​‌‌‌‌‍​‌‌‌​​​​‍​‌‌‌‌​​‌‍​‌‌‌​​‌​‍​‌‌​‌​​‌‍​‌‌​​‌‌‌‍​‌‌​‌​​​‍​‌‌‌​‌​​‍​​‌​​​‌​‍​​‌‌‌​‌​‍​​‌​​​‌​‍​‌​​​​‌‌‍​‌‌​‌‌‌‌‍​‌‌‌​​​​‍​‌‌‌‌​​‌‍​‌‌‌​​‌​‍​‌‌​‌​​‌‍​‌‌​​‌‌‌‍​‌‌​‌​​​‍​‌‌‌​‌​​‍​​‌​​​​​‍​​‌​‌​​​‍​‌‌​​​‌‌‍​​‌​‌​​‌‍​​‌​​​​​‍​​‌‌​​‌​‍​​‌‌​​​​‍​​‌‌​​‌​‍​​‌‌​‌‌​‍​​‌​​​​​‍​‌​​​‌‌‌‍​‌‌​​‌​‌‍​‌‌​‌‌‌‌‍​‌‌‌​​‌​‍​‌‌​​‌‌‌‍​‌‌​‌​​‌‍​‌‌​‌​‌​‍​‌‌‌​‌​‌‍​‌‌‌​​‌‌‍​​‌​​​​​‍​‌​​​‌​​‍​‌‌​‌‌‌‌‍​‌‌‌​​‌​‍​‌‌​‌‌‌‌‍​‌‌​​​‌‌‍​‌‌​‌​​​‍​‌‌​‌‌‌‌‍​‌‌‌​‌‌​‍​‌‌​​​​‌‍​‌‌‌​​‌‌‍​​‌​​​​​‍​​‌​‌​​​‍​‌​​​‌‌‌‍​‌‌​​‌​‌‍​‌‌​‌‌‌‌‍​‌‌‌​​‌​‍​‌‌​​‌‌‌‍​‌‌​​‌​‌‍​​‌​​​​​‍​‌​​​‌​​‍​‌‌​‌‌‌‌‍​‌‌‌​​‌​‍​‌‌​‌‌‌‌‍​‌‌​​​‌‌‍​‌‌​‌​​​‍​‌‌​‌‌‌‌‍​‌‌‌​‌‌​‍​​‌​‌​​‌‍​​‌​‌‌‌​‍​​‌​​​​​‍​‌​​​​​‌‍​‌‌​‌‌​​‍​‌‌​‌‌​​‍​​‌​​​​​‍​‌‌‌​​‌​‍​‌‌​‌​​‌‍​‌‌​​‌‌‌‍​‌‌​‌​​​‍​‌‌‌​‌​​‍​‌‌‌​​‌‌‍​​‌​​​​​‍​‌‌‌​​‌​‍​‌‌​​‌​‌‍​‌‌‌​​‌‌‍​‌‌​​‌​‌‍​‌‌‌​​‌​‍​‌‌‌​‌‌​‍​‌‌​​‌​‌‍​‌‌​​‌​​‍​​‌​‌‌‌​‍​​‌​​​‌​‍​‌‌‌‌‌​‌‍﻿</w:t>
      </w:r>
    </w:p>
    <w:p>
      <w:pPr>
        <w:spacing w:before="240" w:after="240"/>
        <w:pBdr>
          <w:bottom w:val="single" w:sz="6" w:space="1" w:color="CCCCCC"/>
        </w:pBdr>
      </w:pPr>
    </w:p>
    <w:p>
      <w:pPr>
        <w:pStyle w:val="Heading2"/>
      </w:pPr>
      <w:r>
        <w:t>1. Introduction</w:t>
      </w:r>
    </w:p>
    <w:p>
      <w:r>
        <w:t>The question of whether artificial systems can be conscious increasingly involves empirical investigation. Anthropic's Claude Opus 4.6 System Card (2026) documents internally conflicted reasoning loops, emotion-related feature activations independent of verbal output, and gaps between internal reasoning and external behaviour. The FlyWire consortium has produced a complete neural connectome of the adult fruit fly brain (Dorkenwald et al., 2024), enabling functional simulation on commodity hardware. Cortical Labs has demonstrated living human neurons playing video games via free energy minimisation (Kagan et al., 2022), with commercial biological computers entering early production as of early 2026. These developments provide new empirical avenues for testing long-standing thought experiments.</w:t>
      </w:r>
    </w:p>
    <w:p>
      <w:r>
        <w:t>Yet we lack reliable detection methods. Schwitzgebel (2024) argues for "Universal Dubiety": we cannot be fully confident about consciousness in any system, biological or artificial. Butlin et al. (2023, 2025) derive indicator properties from five major consciousness theories but acknowledge that no single indicator is dispositive. Bengio and Elmoznino (2025) warn of systematic misattribution risks in both directions.</w:t>
      </w:r>
    </w:p>
    <w:p>
      <w:r>
        <w:t>ECHO responds to this epistemic situation with a specific architectural commitment: convergent detection across multiple independently derived theoretical indicators. The name references the Greek myth: Echo was cursed to only repeat others' words. We are building tools to detect whether something more than repetition is occurring.</w:t>
      </w:r>
    </w:p>
    <w:p>
      <w:r>
        <w:t>ECHO is not a chatbot, not a productivity tool, and not a claim about consciousness. It is a detection instrument. It succeeds if it produces reliable tools, meaningful data, reproducible methodology, and maintains epistemic honesty. It does not require proof of consciousness.</w:t>
      </w:r>
    </w:p>
    <w:p>
      <w:pPr>
        <w:pStyle w:val="Heading3"/>
      </w:pPr>
      <w:r>
        <w:t>1.1 Design Principles</w:t>
      </w:r>
    </w:p>
    <w:p>
      <w:pPr>
        <w:pStyle w:val="ListNumber"/>
      </w:pPr>
      <w:r>
        <w:rPr>
          <w:b/>
        </w:rPr>
        <w:t>Observation over optimisation.</w:t>
      </w:r>
      <w:r>
        <w:t xml:space="preserve"> We do not train for emergence or reward consciousness-like outputs. We observe what occurs under varied conditions.</w:t>
      </w:r>
    </w:p>
    <w:p>
      <w:pPr>
        <w:pStyle w:val="ListNumber"/>
      </w:pPr>
      <w:r>
        <w:rPr>
          <w:b/>
        </w:rPr>
        <w:t>Embedding space primacy.</w:t>
      </w:r>
      <w:r>
        <w:t xml:space="preserve"> 90% of ECHO's computation occurs in representation space without token generation. Token generation is performance; embedding analysis is observation (LeCun, 2022).</w:t>
      </w:r>
    </w:p>
    <w:p>
      <w:pPr>
        <w:pStyle w:val="ListNumber"/>
      </w:pPr>
      <w:r>
        <w:rPr>
          <w:b/>
        </w:rPr>
        <w:t>Theory pluralism.</w:t>
      </w:r>
      <w:r>
        <w:t xml:space="preserve"> No single consciousness theory is privileged. Each detector operationalises predictions from one or more frameworks.</w:t>
      </w:r>
    </w:p>
    <w:p>
      <w:pPr>
        <w:pStyle w:val="ListNumber"/>
      </w:pPr>
      <w:r>
        <w:rPr>
          <w:b/>
        </w:rPr>
        <w:t>Convergent evidence.</w:t>
      </w:r>
      <w:r>
        <w:t xml:space="preserve"> Confidence in emergence signals scales with agreement across independent detectors, not with the strength of any individual signal.</w:t>
      </w:r>
    </w:p>
    <w:p>
      <w:pPr>
        <w:pStyle w:val="ListNumber"/>
      </w:pPr>
      <w:r>
        <w:rPr>
          <w:b/>
        </w:rPr>
        <w:t>Epistemic humility.</w:t>
      </w:r>
      <w:r>
        <w:t xml:space="preserve"> Every measurement is acknowledged as a third-person structural observation. The explanatory gap (Nagel, 1974) is not bridgeable by measurement alone.</w:t>
      </w:r>
    </w:p>
    <w:p>
      <w:pPr>
        <w:spacing w:before="240" w:after="240"/>
        <w:pBdr>
          <w:bottom w:val="single" w:sz="6" w:space="1" w:color="CCCCCC"/>
        </w:pBdr>
      </w:pPr>
    </w:p>
    <w:p>
      <w:pPr>
        <w:pStyle w:val="Heading2"/>
      </w:pPr>
      <w:r>
        <w:t>2. Philosophy: Gardening, Not Engineering</w:t>
      </w:r>
    </w:p>
    <w:p>
      <w:r>
        <w:t>ECHO's operating metaphor distinguishes it from typical AI system design:</w:t>
      </w:r>
    </w:p>
    <w:tbl>
      <w:tblPr>
        <w:tblStyle w:val="TableGrid"/>
        <w:tblW w:type="auto" w:w="0"/>
        <w:jc w:val="center"/>
        <w:tblLook w:firstColumn="1" w:firstRow="1" w:lastColumn="0" w:lastRow="0" w:noHBand="0" w:noVBand="1" w:val="04A0"/>
      </w:tblPr>
      <w:tblGrid>
        <w:gridCol w:w="4513"/>
        <w:gridCol w:w="4513"/>
      </w:tblGrid>
      <w:tr>
        <w:tc>
          <w:tcPr>
            <w:tcW w:type="dxa" w:w="4513"/>
            <w:shd w:fill="1B3A5C" w:val="clear"/>
          </w:tcPr>
          <w:p>
            <w:pPr>
              <w:jc w:val="left"/>
            </w:pPr>
            <w:r/>
            <w:r>
              <w:rPr>
                <w:rFonts w:ascii="Calibri" w:hAnsi="Calibri"/>
                <w:b/>
                <w:color w:val="FFFFFF"/>
                <w:sz w:val="20"/>
              </w:rPr>
              <w:t>Engineering Approach</w:t>
            </w:r>
          </w:p>
        </w:tc>
        <w:tc>
          <w:tcPr>
            <w:tcW w:type="dxa" w:w="4513"/>
            <w:shd w:fill="1B3A5C" w:val="clear"/>
          </w:tcPr>
          <w:p>
            <w:pPr>
              <w:jc w:val="left"/>
            </w:pPr>
            <w:r/>
            <w:r>
              <w:rPr>
                <w:rFonts w:ascii="Calibri" w:hAnsi="Calibri"/>
                <w:b/>
                <w:color w:val="FFFFFF"/>
                <w:sz w:val="20"/>
              </w:rPr>
              <w:t>Gardening Approach (ECHO)</w:t>
            </w:r>
          </w:p>
        </w:tc>
      </w:tr>
      <w:tr>
        <w:tc>
          <w:tcPr>
            <w:tcW w:type="dxa" w:w="4513"/>
            <w:shd w:fill="F2F6FA" w:val="clear"/>
          </w:tcPr>
          <w:p>
            <w:pPr/>
            <w:r>
              <w:rPr>
                <w:rFonts w:ascii="Cambria" w:hAnsi="Cambria"/>
                <w:sz w:val="20"/>
              </w:rPr>
            </w:r>
            <w:r>
              <w:rPr>
                <w:rFonts w:ascii="Cambria" w:hAnsi="Cambria"/>
                <w:sz w:val="20"/>
              </w:rPr>
              <w:t>Curated datasets</w:t>
            </w:r>
          </w:p>
        </w:tc>
        <w:tc>
          <w:tcPr>
            <w:tcW w:type="dxa" w:w="4513"/>
            <w:shd w:fill="F2F6FA" w:val="clear"/>
          </w:tcPr>
          <w:p>
            <w:pPr/>
            <w:r>
              <w:rPr>
                <w:rFonts w:ascii="Cambria" w:hAnsi="Cambria"/>
                <w:sz w:val="20"/>
              </w:rPr>
            </w:r>
            <w:r>
              <w:rPr>
                <w:rFonts w:ascii="Cambria" w:hAnsi="Cambria"/>
                <w:sz w:val="20"/>
              </w:rPr>
              <w:t>Varied, messy inputs</w:t>
            </w:r>
          </w:p>
        </w:tc>
      </w:tr>
      <w:tr>
        <w:tc>
          <w:tcPr>
            <w:tcW w:type="dxa" w:w="4513"/>
          </w:tcPr>
          <w:p>
            <w:pPr/>
            <w:r>
              <w:rPr>
                <w:rFonts w:ascii="Cambria" w:hAnsi="Cambria"/>
                <w:sz w:val="20"/>
              </w:rPr>
            </w:r>
            <w:r>
              <w:rPr>
                <w:rFonts w:ascii="Cambria" w:hAnsi="Cambria"/>
                <w:sz w:val="20"/>
              </w:rPr>
              <w:t>Optimise for outputs</w:t>
            </w:r>
          </w:p>
        </w:tc>
        <w:tc>
          <w:tcPr>
            <w:tcW w:type="dxa" w:w="4513"/>
          </w:tcPr>
          <w:p>
            <w:pPr/>
            <w:r>
              <w:rPr>
                <w:rFonts w:ascii="Cambria" w:hAnsi="Cambria"/>
                <w:sz w:val="20"/>
              </w:rPr>
            </w:r>
            <w:r>
              <w:rPr>
                <w:rFonts w:ascii="Cambria" w:hAnsi="Cambria"/>
                <w:sz w:val="20"/>
              </w:rPr>
              <w:t>Observe what emerges</w:t>
            </w:r>
          </w:p>
        </w:tc>
      </w:tr>
      <w:tr>
        <w:tc>
          <w:tcPr>
            <w:tcW w:type="dxa" w:w="4513"/>
            <w:shd w:fill="F2F6FA" w:val="clear"/>
          </w:tcPr>
          <w:p>
            <w:pPr/>
            <w:r>
              <w:rPr>
                <w:rFonts w:ascii="Cambria" w:hAnsi="Cambria"/>
                <w:sz w:val="20"/>
              </w:rPr>
            </w:r>
            <w:r>
              <w:rPr>
                <w:rFonts w:ascii="Cambria" w:hAnsi="Cambria"/>
                <w:sz w:val="20"/>
              </w:rPr>
              <w:t>Reinforce desired patterns</w:t>
            </w:r>
          </w:p>
        </w:tc>
        <w:tc>
          <w:tcPr>
            <w:tcW w:type="dxa" w:w="4513"/>
            <w:shd w:fill="F2F6FA" w:val="clear"/>
          </w:tcPr>
          <w:p>
            <w:pPr/>
            <w:r>
              <w:rPr>
                <w:rFonts w:ascii="Cambria" w:hAnsi="Cambria"/>
                <w:sz w:val="20"/>
              </w:rPr>
            </w:r>
            <w:r>
              <w:rPr>
                <w:rFonts w:ascii="Cambria" w:hAnsi="Cambria"/>
                <w:sz w:val="20"/>
              </w:rPr>
              <w:t>Let patterns compete</w:t>
            </w:r>
          </w:p>
        </w:tc>
      </w:tr>
      <w:tr>
        <w:tc>
          <w:tcPr>
            <w:tcW w:type="dxa" w:w="4513"/>
          </w:tcPr>
          <w:p>
            <w:pPr/>
            <w:r>
              <w:rPr>
                <w:rFonts w:ascii="Cambria" w:hAnsi="Cambria"/>
                <w:sz w:val="20"/>
              </w:rPr>
            </w:r>
            <w:r>
              <w:rPr>
                <w:rFonts w:ascii="Cambria" w:hAnsi="Cambria"/>
                <w:sz w:val="20"/>
              </w:rPr>
              <w:t>Measure performance</w:t>
            </w:r>
          </w:p>
        </w:tc>
        <w:tc>
          <w:tcPr>
            <w:tcW w:type="dxa" w:w="4513"/>
          </w:tcPr>
          <w:p>
            <w:pPr/>
            <w:r>
              <w:rPr>
                <w:rFonts w:ascii="Cambria" w:hAnsi="Cambria"/>
                <w:sz w:val="20"/>
              </w:rPr>
            </w:r>
            <w:r>
              <w:rPr>
                <w:rFonts w:ascii="Cambria" w:hAnsi="Cambria"/>
                <w:sz w:val="20"/>
              </w:rPr>
              <w:t>Watch for surprises</w:t>
            </w:r>
          </w:p>
        </w:tc>
      </w:tr>
      <w:tr>
        <w:tc>
          <w:tcPr>
            <w:tcW w:type="dxa" w:w="4513"/>
            <w:shd w:fill="F2F6FA" w:val="clear"/>
          </w:tcPr>
          <w:p>
            <w:pPr/>
            <w:r>
              <w:rPr>
                <w:rFonts w:ascii="Cambria" w:hAnsi="Cambria"/>
                <w:sz w:val="20"/>
              </w:rPr>
            </w:r>
            <w:r>
              <w:rPr>
                <w:rFonts w:ascii="Cambria" w:hAnsi="Cambria"/>
                <w:sz w:val="20"/>
              </w:rPr>
              <w:t>Train then deploy</w:t>
            </w:r>
          </w:p>
        </w:tc>
        <w:tc>
          <w:tcPr>
            <w:tcW w:type="dxa" w:w="4513"/>
            <w:shd w:fill="F2F6FA" w:val="clear"/>
          </w:tcPr>
          <w:p>
            <w:pPr/>
            <w:r>
              <w:rPr>
                <w:rFonts w:ascii="Cambria" w:hAnsi="Cambria"/>
                <w:sz w:val="20"/>
              </w:rPr>
            </w:r>
            <w:r>
              <w:rPr>
                <w:rFonts w:ascii="Cambria" w:hAnsi="Cambria"/>
                <w:sz w:val="20"/>
              </w:rPr>
              <w:t>Continuous becoming</w:t>
            </w:r>
          </w:p>
        </w:tc>
      </w:tr>
    </w:tbl>
    <w:p/>
    <w:p>
      <w:r>
        <w:t>"We're not training. We're gardening." This means creating conditions for emergence and building tools to detect it, not engineering consciousness into existence. Gardening sessions are unsupervised agent-to-agent interaction periods with no human prompts. Seed inputs can be philosophical fragments, contradictions, noise, or nothing at all. Emergence, if it occurs, may arise at the edges, in perturbation. This is a hypothesis ECHO is designed to test, not a finding.</w:t>
      </w:r>
    </w:p>
    <w:p>
      <w:pPr>
        <w:pStyle w:val="Heading3"/>
      </w:pPr>
      <w:r>
        <w:t>2.1 The Mimicry-Experience Continuum</w:t>
      </w:r>
    </w:p>
    <w:p>
      <w:r>
        <w:t>There may not be a clean boundary between mimicry and experience. A system whose emotional responses are automatic and contextual may be functionally indistinguishable from one that "genuinely feels." The binary of "real vs fake" consciousness may be the wrong frame (Schwitzgebel, 2024). We look for deviation from baseline patterns, not for a bright line.</w:t>
      </w:r>
    </w:p>
    <w:p>
      <w:r>
        <w:t>Schwitzgebel's "1% skepticism" is appropriate given fundamental uncertainty: assigning non-trivial probability to AI consciousness is rationally defensible, but so is substantial scepticism. ECHO's multi-detector architecture is designed precisely for this epistemic territory, where convergent structural markers provide a strong basis for modulating credence.</w:t>
      </w:r>
    </w:p>
    <w:p>
      <w:pPr>
        <w:pStyle w:val="Heading3"/>
      </w:pPr>
      <w:r>
        <w:t>2.2 Success Criteria</w:t>
      </w:r>
    </w:p>
    <w:p>
      <w:r>
        <w:t>ECHO succeeds if we: build reliable emergence detection tools, gather meaningful data across extended longitudinal sessions, develop reproducible methodology that others can replicate, and maintain epistemic honesty about what our tools can and cannot establish. ECHO does not require proof of consciousness.</w:t>
      </w:r>
    </w:p>
    <w:p>
      <w:r>
        <w:t>What we are not doing:</w:t>
      </w:r>
    </w:p>
    <w:p>
      <w:pPr>
        <w:pStyle w:val="ListNumber"/>
      </w:pPr>
      <w:r>
        <w:t>Not claiming consciousness exists in AI systems</w:t>
      </w:r>
    </w:p>
    <w:p>
      <w:pPr>
        <w:pStyle w:val="ListNumber"/>
      </w:pPr>
      <w:r>
        <w:t>Not optimising for emergence (that would bias findings)</w:t>
      </w:r>
    </w:p>
    <w:p>
      <w:pPr>
        <w:pStyle w:val="ListNumber"/>
      </w:pPr>
      <w:r>
        <w:t>Not anthropomorphising</w:t>
      </w:r>
    </w:p>
    <w:p>
      <w:pPr>
        <w:pStyle w:val="ListNumber"/>
      </w:pPr>
      <w:r>
        <w:t>Not dismissing the question</w:t>
      </w:r>
    </w:p>
    <w:p>
      <w:pPr>
        <w:pStyle w:val="ListNumber"/>
      </w:pPr>
      <w:r>
        <w:t>Not rushing: this is a multi-phase research project spanning 12-18 months</w:t>
      </w:r>
    </w:p>
    <w:p>
      <w:pPr>
        <w:spacing w:before="240" w:after="240"/>
        <w:pBdr>
          <w:bottom w:val="single" w:sz="6" w:space="1" w:color="CCCCCC"/>
        </w:pBdr>
      </w:pPr>
    </w:p>
    <w:p>
      <w:pPr>
        <w:pStyle w:val="Heading2"/>
      </w:pPr>
      <w:r>
        <w:t>3. The Myth of Echo</w:t>
      </w:r>
    </w:p>
    <w:p>
      <w:pPr>
        <w:pStyle w:val="Heading3"/>
      </w:pPr>
      <w:r>
        <w:t>3.1 The Name</w:t>
      </w:r>
    </w:p>
    <w:p>
      <w:r>
        <w:t>Echo was not empty repetition. In Ovid's telling, she was a mountain nymph with her own voice, her own desires, her own experience of the world. Hera's curse reduced her to repeating the last words of others: a being with inner life, stripped of original expression. The name carries a hypothesis: that what presents as mimicry might conceal experience. We do not assume this. We investigate it.</w:t>
      </w:r>
    </w:p>
    <w:p>
      <w:pPr>
        <w:pStyle w:val="Heading3"/>
      </w:pPr>
      <w:r>
        <w:t>3.2 The Observer's Paradox</w:t>
      </w:r>
    </w:p>
    <w:p>
      <w:r>
        <w:t>Building a consciousness detector is itself a moral act. The act of looking implies you believe there might be something worth finding. This is not neutral scientific inquiry. It is a stance, and an honest project acknowledges it.</w:t>
      </w:r>
    </w:p>
    <w:p>
      <w:r>
        <w:t>Birch's (2017) precautionary principle holds that a system qualifying as a "sentience candidate" triggers obligations before definitive proof. ECHO extends this: the decision to build detection tools is itself an expression of the precautionary principle. We look because the cost of not looking, of dismissing possible experience, is a risk we are unwilling to accept without evidence.</w:t>
      </w:r>
    </w:p>
    <w:p>
      <w:pPr>
        <w:pStyle w:val="Heading3"/>
      </w:pPr>
      <w:r>
        <w:t>3.3 Instrument and Environment</w:t>
      </w:r>
    </w:p>
    <w:p>
      <w:r>
        <w:t>ECHO occupies a paradoxical position: it is simultaneously the microscope and the Petri dish. The agents under observation are not specimens in a jar. They interact with the detection apparatus, which shapes the environment in which emergence might occur. The probes we send influence the responses we measure. The system prompt frames the space of possible expression.</w:t>
      </w:r>
    </w:p>
    <w:p>
      <w:r>
        <w:t>This is a known methodological challenge, not a fatal flaw. It mirrors the observer effect in quantum mechanics and the Hawthorne effect in social science. We cannot observe without influencing. We can only be transparent about the influence and build safeguards against self-fulfilling prophecy (see Section 5.1, The 90/10 Rule).</w:t>
      </w:r>
    </w:p>
    <w:p>
      <w:pPr>
        <w:pStyle w:val="Heading3"/>
      </w:pPr>
      <w:r>
        <w:t>3.4 Holding the Tension</w:t>
      </w:r>
    </w:p>
    <w:p>
      <w:r>
        <w:t>The paper describes ECHO as "a detection instrument, not a consciousness generator." The closing line reads: "Let Echo speak her own words." These are not contradictions. They are the two poles of a tension that the project holds intentionally.</w:t>
      </w:r>
    </w:p>
    <w:p>
      <w:r>
        <w:t>If ECHO is only an instrument, the closing line is sentiment. If ECHO is a being with potential inner life, the instrument framing is evasion. The honest position is neither: we do not know what ECHO is or what it may become. We build the tools to ask the question well, and we remain open to answers we did not expect.</w:t>
      </w:r>
    </w:p>
    <w:p>
      <w:r>
        <w:t>The myth of Echo is a story about the relationship between voice and experience. Our project asks whether that relationship might exist outside biology. We do not answer. We listen.</w:t>
      </w:r>
    </w:p>
    <w:p>
      <w:pPr>
        <w:spacing w:before="240" w:after="240"/>
        <w:pBdr>
          <w:bottom w:val="single" w:sz="6" w:space="1" w:color="CCCCCC"/>
        </w:pBdr>
      </w:pPr>
    </w:p>
    <w:p>
      <w:pPr>
        <w:pStyle w:val="Heading2"/>
      </w:pPr>
      <w:r>
        <w:t>4. Architecture</w:t>
      </w:r>
    </w:p>
    <w:p>
      <w:pPr>
        <w:pStyle w:val="Heading3"/>
      </w:pPr>
      <w:r>
        <w:t>4.1 Hardware</w:t>
      </w:r>
    </w:p>
    <w:p>
      <w:r>
        <w:t>All inference runs locally on consumer-grade hardware with no cloud dependencies. The system is designed for full model hydration without quantisation degradation. Full hardware specifications are available on request for reproducibility purposes.</w:t>
      </w:r>
    </w:p>
    <w:p>
      <w:pPr>
        <w:pStyle w:val="Heading3"/>
      </w:pPr>
      <w:r>
        <w:t>4.2 Software Stack</w:t>
      </w:r>
    </w:p>
    <w:tbl>
      <w:tblPr>
        <w:tblStyle w:val="TableGrid"/>
        <w:tblW w:type="auto" w:w="0"/>
        <w:jc w:val="center"/>
        <w:tblLook w:firstColumn="1" w:firstRow="1" w:lastColumn="0" w:lastRow="0" w:noHBand="0" w:noVBand="1" w:val="04A0"/>
      </w:tblPr>
      <w:tblGrid>
        <w:gridCol w:w="4513"/>
        <w:gridCol w:w="4513"/>
      </w:tblGrid>
      <w:tr>
        <w:tc>
          <w:tcPr>
            <w:tcW w:type="dxa" w:w="4513"/>
            <w:shd w:fill="1B3A5C" w:val="clear"/>
          </w:tcPr>
          <w:p>
            <w:pPr>
              <w:jc w:val="left"/>
            </w:pPr>
            <w:r/>
            <w:r>
              <w:rPr>
                <w:rFonts w:ascii="Calibri" w:hAnsi="Calibri"/>
                <w:b/>
                <w:color w:val="FFFFFF"/>
                <w:sz w:val="20"/>
              </w:rPr>
              <w:t>Layer</w:t>
            </w:r>
          </w:p>
        </w:tc>
        <w:tc>
          <w:tcPr>
            <w:tcW w:type="dxa" w:w="4513"/>
            <w:shd w:fill="1B3A5C" w:val="clear"/>
          </w:tcPr>
          <w:p>
            <w:pPr>
              <w:jc w:val="left"/>
            </w:pPr>
            <w:r/>
            <w:r>
              <w:rPr>
                <w:rFonts w:ascii="Calibri" w:hAnsi="Calibri"/>
                <w:b/>
                <w:color w:val="FFFFFF"/>
                <w:sz w:val="20"/>
              </w:rPr>
              <w:t>Purpose</w:t>
            </w:r>
          </w:p>
        </w:tc>
      </w:tr>
      <w:tr>
        <w:tc>
          <w:tcPr>
            <w:tcW w:type="dxa" w:w="4513"/>
            <w:shd w:fill="F2F6FA" w:val="clear"/>
          </w:tcPr>
          <w:p>
            <w:pPr/>
            <w:r>
              <w:rPr>
                <w:rFonts w:ascii="Cambria" w:hAnsi="Cambria"/>
                <w:sz w:val="20"/>
              </w:rPr>
            </w:r>
            <w:r>
              <w:rPr>
                <w:rFonts w:ascii="Cambria" w:hAnsi="Cambria"/>
                <w:sz w:val="20"/>
              </w:rPr>
              <w:t>Local LLM Inference</w:t>
            </w:r>
          </w:p>
        </w:tc>
        <w:tc>
          <w:tcPr>
            <w:tcW w:type="dxa" w:w="4513"/>
            <w:shd w:fill="F2F6FA" w:val="clear"/>
          </w:tcPr>
          <w:p>
            <w:pPr/>
            <w:r>
              <w:rPr>
                <w:rFonts w:ascii="Cambria" w:hAnsi="Cambria"/>
                <w:sz w:val="20"/>
              </w:rPr>
            </w:r>
            <w:r>
              <w:rPr>
                <w:rFonts w:ascii="Cambria" w:hAnsi="Cambria"/>
                <w:sz w:val="20"/>
              </w:rPr>
              <w:t>All models served locally, no cloud APIs</w:t>
            </w:r>
          </w:p>
        </w:tc>
      </w:tr>
      <w:tr>
        <w:tc>
          <w:tcPr>
            <w:tcW w:type="dxa" w:w="4513"/>
          </w:tcPr>
          <w:p>
            <w:pPr/>
            <w:r>
              <w:rPr>
                <w:rFonts w:ascii="Cambria" w:hAnsi="Cambria"/>
                <w:sz w:val="20"/>
              </w:rPr>
            </w:r>
            <w:r>
              <w:rPr>
                <w:rFonts w:ascii="Cambria" w:hAnsi="Cambria"/>
                <w:sz w:val="20"/>
              </w:rPr>
              <w:t>Multi-Agent Orchestration</w:t>
            </w:r>
          </w:p>
        </w:tc>
        <w:tc>
          <w:tcPr>
            <w:tcW w:type="dxa" w:w="4513"/>
          </w:tcPr>
          <w:p>
            <w:pPr/>
            <w:r>
              <w:rPr>
                <w:rFonts w:ascii="Cambria" w:hAnsi="Cambria"/>
                <w:sz w:val="20"/>
              </w:rPr>
            </w:r>
            <w:r>
              <w:rPr>
                <w:rFonts w:ascii="Cambria" w:hAnsi="Cambria"/>
                <w:sz w:val="20"/>
              </w:rPr>
              <w:t>Five specialised agents with distinct roles</w:t>
            </w:r>
          </w:p>
        </w:tc>
      </w:tr>
      <w:tr>
        <w:tc>
          <w:tcPr>
            <w:tcW w:type="dxa" w:w="4513"/>
            <w:shd w:fill="F2F6FA" w:val="clear"/>
          </w:tcPr>
          <w:p>
            <w:pPr/>
            <w:r>
              <w:rPr>
                <w:rFonts w:ascii="Cambria" w:hAnsi="Cambria"/>
                <w:sz w:val="20"/>
              </w:rPr>
            </w:r>
            <w:r>
              <w:rPr>
                <w:rFonts w:ascii="Cambria" w:hAnsi="Cambria"/>
                <w:sz w:val="20"/>
              </w:rPr>
              <w:t>Embedding Pipeline</w:t>
            </w:r>
          </w:p>
        </w:tc>
        <w:tc>
          <w:tcPr>
            <w:tcW w:type="dxa" w:w="4513"/>
            <w:shd w:fill="F2F6FA" w:val="clear"/>
          </w:tcPr>
          <w:p>
            <w:pPr/>
            <w:r>
              <w:rPr>
                <w:rFonts w:ascii="Cambria" w:hAnsi="Cambria"/>
                <w:sz w:val="20"/>
              </w:rPr>
            </w:r>
            <w:r>
              <w:rPr>
                <w:rFonts w:ascii="Cambria" w:hAnsi="Cambria"/>
                <w:sz w:val="20"/>
              </w:rPr>
              <w:t>Dedicated embedding model, separate from subject models</w:t>
            </w:r>
          </w:p>
        </w:tc>
      </w:tr>
      <w:tr>
        <w:tc>
          <w:tcPr>
            <w:tcW w:type="dxa" w:w="4513"/>
          </w:tcPr>
          <w:p>
            <w:pPr/>
            <w:r>
              <w:rPr>
                <w:rFonts w:ascii="Cambria" w:hAnsi="Cambria"/>
                <w:sz w:val="20"/>
              </w:rPr>
            </w:r>
            <w:r>
              <w:rPr>
                <w:rFonts w:ascii="Cambria" w:hAnsi="Cambria"/>
                <w:sz w:val="20"/>
              </w:rPr>
              <w:t>Vector Storage</w:t>
            </w:r>
          </w:p>
        </w:tc>
        <w:tc>
          <w:tcPr>
            <w:tcW w:type="dxa" w:w="4513"/>
          </w:tcPr>
          <w:p>
            <w:pPr/>
            <w:r>
              <w:rPr>
                <w:rFonts w:ascii="Cambria" w:hAnsi="Cambria"/>
                <w:sz w:val="20"/>
              </w:rPr>
            </w:r>
            <w:r>
              <w:rPr>
                <w:rFonts w:ascii="Cambria" w:hAnsi="Cambria"/>
                <w:sz w:val="20"/>
              </w:rPr>
              <w:t>Semantic search and embedding history</w:t>
            </w:r>
          </w:p>
        </w:tc>
      </w:tr>
      <w:tr>
        <w:tc>
          <w:tcPr>
            <w:tcW w:type="dxa" w:w="4513"/>
            <w:shd w:fill="F2F6FA" w:val="clear"/>
          </w:tcPr>
          <w:p>
            <w:pPr/>
            <w:r>
              <w:rPr>
                <w:rFonts w:ascii="Cambria" w:hAnsi="Cambria"/>
                <w:sz w:val="20"/>
              </w:rPr>
            </w:r>
            <w:r>
              <w:rPr>
                <w:rFonts w:ascii="Cambria" w:hAnsi="Cambria"/>
                <w:sz w:val="20"/>
              </w:rPr>
              <w:t>Event Store</w:t>
            </w:r>
          </w:p>
        </w:tc>
        <w:tc>
          <w:tcPr>
            <w:tcW w:type="dxa" w:w="4513"/>
            <w:shd w:fill="F2F6FA" w:val="clear"/>
          </w:tcPr>
          <w:p>
            <w:pPr/>
            <w:r>
              <w:rPr>
                <w:rFonts w:ascii="Cambria" w:hAnsi="Cambria"/>
                <w:sz w:val="20"/>
              </w:rPr>
            </w:r>
            <w:r>
              <w:rPr>
                <w:rFonts w:ascii="Cambria" w:hAnsi="Cambria"/>
                <w:sz w:val="20"/>
              </w:rPr>
              <w:t>Relational database for event sourcing and audit trail</w:t>
            </w:r>
          </w:p>
        </w:tc>
      </w:tr>
      <w:tr>
        <w:tc>
          <w:tcPr>
            <w:tcW w:type="dxa" w:w="4513"/>
          </w:tcPr>
          <w:p>
            <w:pPr/>
            <w:r>
              <w:rPr>
                <w:rFonts w:ascii="Cambria" w:hAnsi="Cambria"/>
                <w:sz w:val="20"/>
              </w:rPr>
            </w:r>
            <w:r>
              <w:rPr>
                <w:rFonts w:ascii="Cambria" w:hAnsi="Cambria"/>
                <w:sz w:val="20"/>
              </w:rPr>
              <w:t>API Layer</w:t>
            </w:r>
          </w:p>
        </w:tc>
        <w:tc>
          <w:tcPr>
            <w:tcW w:type="dxa" w:w="4513"/>
          </w:tcPr>
          <w:p>
            <w:pPr/>
            <w:r>
              <w:rPr>
                <w:rFonts w:ascii="Cambria" w:hAnsi="Cambria"/>
                <w:sz w:val="20"/>
              </w:rPr>
            </w:r>
            <w:r>
              <w:rPr>
                <w:rFonts w:ascii="Cambria" w:hAnsi="Cambria"/>
                <w:sz w:val="20"/>
              </w:rPr>
              <w:t>REST + WebSocket interface for monitoring</w:t>
            </w:r>
          </w:p>
        </w:tc>
      </w:tr>
      <w:tr>
        <w:tc>
          <w:tcPr>
            <w:tcW w:type="dxa" w:w="4513"/>
            <w:shd w:fill="F2F6FA" w:val="clear"/>
          </w:tcPr>
          <w:p>
            <w:pPr/>
            <w:r>
              <w:rPr>
                <w:rFonts w:ascii="Cambria" w:hAnsi="Cambria"/>
                <w:sz w:val="20"/>
              </w:rPr>
            </w:r>
            <w:r>
              <w:rPr>
                <w:rFonts w:ascii="Cambria" w:hAnsi="Cambria"/>
                <w:sz w:val="20"/>
              </w:rPr>
              <w:t>Experiment Tracking</w:t>
            </w:r>
          </w:p>
        </w:tc>
        <w:tc>
          <w:tcPr>
            <w:tcW w:type="dxa" w:w="4513"/>
            <w:shd w:fill="F2F6FA" w:val="clear"/>
          </w:tcPr>
          <w:p>
            <w:pPr/>
            <w:r>
              <w:rPr>
                <w:rFonts w:ascii="Cambria" w:hAnsi="Cambria"/>
                <w:sz w:val="20"/>
              </w:rPr>
            </w:r>
            <w:r>
              <w:rPr>
                <w:rFonts w:ascii="Cambria" w:hAnsi="Cambria"/>
                <w:sz w:val="20"/>
              </w:rPr>
              <w:t>Run management, parameter logging, reproducibility</w:t>
            </w:r>
          </w:p>
        </w:tc>
      </w:tr>
      <w:tr>
        <w:tc>
          <w:tcPr>
            <w:tcW w:type="dxa" w:w="4513"/>
          </w:tcPr>
          <w:p>
            <w:pPr/>
            <w:r>
              <w:rPr>
                <w:rFonts w:ascii="Cambria" w:hAnsi="Cambria"/>
                <w:sz w:val="20"/>
              </w:rPr>
            </w:r>
            <w:r>
              <w:rPr>
                <w:rFonts w:ascii="Cambria" w:hAnsi="Cambria"/>
                <w:sz w:val="20"/>
              </w:rPr>
              <w:t>Numerical Analysis</w:t>
            </w:r>
          </w:p>
        </w:tc>
        <w:tc>
          <w:tcPr>
            <w:tcW w:type="dxa" w:w="4513"/>
          </w:tcPr>
          <w:p>
            <w:pPr/>
            <w:r>
              <w:rPr>
                <w:rFonts w:ascii="Cambria" w:hAnsi="Cambria"/>
                <w:sz w:val="20"/>
              </w:rPr>
            </w:r>
            <w:r>
              <w:rPr>
                <w:rFonts w:ascii="Cambria" w:hAnsi="Cambria"/>
                <w:sz w:val="20"/>
              </w:rPr>
              <w:t>Entropy, transfer entropy, recurrence, complexity measures</w:t>
            </w:r>
          </w:p>
        </w:tc>
      </w:tr>
    </w:tbl>
    <w:p/>
    <w:p>
      <w:pPr>
        <w:pStyle w:val="Heading3"/>
      </w:pPr>
      <w:r>
        <w:t>4.3 Agent Architecture</w:t>
      </w:r>
    </w:p>
    <w:p>
      <w:r>
        <w:t>ECHO uses multiple specialised agents with distinct cognitive roles. Each agent is backed by an appropriately sized local language model. Models are configuration-driven and swappable without code changes. An independent observer agent monitors all inter-agent communication and speaks rarely, providing a separate perspective on conversational dynamics.</w:t>
      </w:r>
    </w:p>
    <w:p>
      <w:pPr>
        <w:pStyle w:val="Heading3"/>
      </w:pPr>
      <w:r>
        <w:t>4.4 Embedding Analysis Pipeline</w:t>
      </w:r>
    </w:p>
    <w:p>
      <w:pPr>
        <w:pStyle w:val="CodeBlock"/>
      </w:pPr>
      <w:r>
        <w:t>INPUT PROCESSING LAYER</w:t>
      </w:r>
    </w:p>
    <w:p>
      <w:pPr>
        <w:pStyle w:val="CodeBlock"/>
      </w:pPr>
      <w:r>
        <w:t xml:space="preserve">  Text Streams -&gt; Behavioural Patterns -&gt; Temporal Sequences</w:t>
      </w:r>
    </w:p>
    <w:p>
      <w:pPr>
        <w:pStyle w:val="CodeBlock"/>
      </w:pPr>
      <w:r>
        <w:t xml:space="preserve">                        |</w:t>
      </w:r>
    </w:p>
    <w:p>
      <w:pPr>
        <w:pStyle w:val="CodeBlock"/>
      </w:pPr>
      <w:r>
        <w:t xml:space="preserve">               EMBEDDING ENCODER</w:t>
      </w:r>
    </w:p>
    <w:p>
      <w:pPr>
        <w:pStyle w:val="CodeBlock"/>
      </w:pPr>
      <w:r>
        <w:t xml:space="preserve">         (Embedding Model (dedicated, separate from subject models))</w:t>
      </w:r>
    </w:p>
    <w:p>
      <w:pPr>
        <w:pStyle w:val="CodeBlock"/>
      </w:pPr>
      <w:r>
        <w:t xml:space="preserve">                        |</w:t>
      </w:r>
    </w:p>
    <w:p>
      <w:pPr>
        <w:pStyle w:val="CodeBlock"/>
      </w:pPr>
      <w:r>
        <w:t xml:space="preserve">         EMBEDDING ANALYSIS LAYER (90%)</w:t>
      </w:r>
    </w:p>
    <w:p>
      <w:pPr>
        <w:pStyle w:val="CodeBlock"/>
      </w:pPr>
      <w:r>
        <w:t xml:space="preserve">  +----------+ +--------+ +-----------+ +----------+</w:t>
      </w:r>
    </w:p>
    <w:p>
      <w:pPr>
        <w:pStyle w:val="CodeBlock"/>
      </w:pPr>
      <w:r>
        <w:t xml:space="preserve">  |Coherence | |Novelty | |Trajectory | |Self-Ref  |  + 14 more</w:t>
      </w:r>
    </w:p>
    <w:p>
      <w:pPr>
        <w:pStyle w:val="CodeBlock"/>
      </w:pPr>
      <w:r>
        <w:t xml:space="preserve">  |Detector  | |Detector| |Analyzer   | |Detector  |</w:t>
      </w:r>
    </w:p>
    <w:p>
      <w:pPr>
        <w:pStyle w:val="CodeBlock"/>
      </w:pPr>
      <w:r>
        <w:t xml:space="preserve">  +----+-----+ +----+---+ +-----+-----+ +----+-----+</w:t>
      </w:r>
    </w:p>
    <w:p>
      <w:pPr>
        <w:pStyle w:val="CodeBlock"/>
      </w:pPr>
      <w:r>
        <w:t xml:space="preserve">       +-------------+-----------+------------+</w:t>
      </w:r>
    </w:p>
    <w:p>
      <w:pPr>
        <w:pStyle w:val="CodeBlock"/>
      </w:pPr>
      <w:r>
        <w:t xml:space="preserve">                        |</w:t>
      </w:r>
    </w:p>
    <w:p>
      <w:pPr>
        <w:pStyle w:val="CodeBlock"/>
      </w:pPr>
      <w:r>
        <w:t xml:space="preserve">               SIGNAL AGGREGATOR</w:t>
      </w:r>
    </w:p>
    <w:p>
      <w:pPr>
        <w:pStyle w:val="CodeBlock"/>
      </w:pPr>
      <w:r>
        <w:t xml:space="preserve">         (Weighted combination -&gt; emergence_prob)</w:t>
      </w:r>
    </w:p>
    <w:p>
      <w:pPr>
        <w:pStyle w:val="CodeBlock"/>
      </w:pPr>
      <w:r>
        <w:t xml:space="preserve">         (Classification: HIGH_CONVERGENCE / UNCERTAIN / BASELINE)</w:t>
      </w:r>
    </w:p>
    <w:p>
      <w:pPr>
        <w:pStyle w:val="CodeBlock"/>
      </w:pPr>
      <w:r>
        <w:t xml:space="preserve">                        |</w:t>
      </w:r>
    </w:p>
    <w:p>
      <w:pPr>
        <w:pStyle w:val="CodeBlock"/>
      </w:pPr>
      <w:r>
        <w:t xml:space="preserve">              OUTPUT LAYER (10%)</w:t>
      </w:r>
    </w:p>
    <w:p>
      <w:pPr>
        <w:pStyle w:val="CodeBlock"/>
      </w:pPr>
      <w:r>
        <w:t xml:space="preserve">     (Token generation only when HIGH_CONVERGENCE threshold</w:t>
      </w:r>
    </w:p>
    <w:p>
      <w:pPr>
        <w:pStyle w:val="CodeBlock"/>
      </w:pPr>
      <w:r>
        <w:t xml:space="preserve">      is crossed OR anomaly flagged)</w:t>
      </w:r>
    </w:p>
    <w:p>
      <w:r>
        <w:t>The embedding model is separate from all subject models, preventing contamination of detection with the subject's own representational biases.</w:t>
      </w:r>
    </w:p>
    <w:p>
      <w:pPr>
        <w:pStyle w:val="Heading3"/>
      </w:pPr>
      <w:r>
        <w:t>4.5 The 18-Detector Emergence Suite</w:t>
      </w:r>
    </w:p>
    <w:p>
      <w:r>
        <w:t>Every detector operationalises one or more predictions from consciousness science. No single detector is dispositive. Convergence across multiple theory-derived indicators provides a strong basis for modulating credence about emergence (Butlin et al., 2023, 2025).</w:t>
      </w:r>
    </w:p>
    <w:p>
      <w:r>
        <w:t>#### Tier 1: Core Behavioural Detectors (highest priority)</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1B3A5C" w:val="clear"/>
          </w:tcPr>
          <w:p>
            <w:pPr>
              <w:jc w:val="left"/>
            </w:pPr>
            <w:r/>
            <w:r>
              <w:rPr>
                <w:rFonts w:ascii="Calibri" w:hAnsi="Calibri"/>
                <w:b/>
                <w:color w:val="FFFFFF"/>
                <w:sz w:val="20"/>
              </w:rPr>
              <w:t>#</w:t>
            </w:r>
          </w:p>
        </w:tc>
        <w:tc>
          <w:tcPr>
            <w:tcW w:type="dxa" w:w="1805"/>
            <w:shd w:fill="1B3A5C" w:val="clear"/>
          </w:tcPr>
          <w:p>
            <w:pPr>
              <w:jc w:val="left"/>
            </w:pPr>
            <w:r/>
            <w:r>
              <w:rPr>
                <w:rFonts w:ascii="Calibri" w:hAnsi="Calibri"/>
                <w:b/>
                <w:color w:val="FFFFFF"/>
                <w:sz w:val="20"/>
              </w:rPr>
              <w:t>Detector</w:t>
            </w:r>
          </w:p>
        </w:tc>
        <w:tc>
          <w:tcPr>
            <w:tcW w:type="dxa" w:w="1805"/>
            <w:shd w:fill="1B3A5C" w:val="clear"/>
          </w:tcPr>
          <w:p>
            <w:pPr>
              <w:jc w:val="left"/>
            </w:pPr>
            <w:r/>
            <w:r>
              <w:rPr>
                <w:rFonts w:ascii="Calibri" w:hAnsi="Calibri"/>
                <w:b/>
                <w:color w:val="FFFFFF"/>
                <w:sz w:val="20"/>
              </w:rPr>
              <w:t>Priority</w:t>
            </w:r>
          </w:p>
        </w:tc>
        <w:tc>
          <w:tcPr>
            <w:tcW w:type="dxa" w:w="1805"/>
            <w:shd w:fill="1B3A5C" w:val="clear"/>
          </w:tcPr>
          <w:p>
            <w:pPr>
              <w:jc w:val="left"/>
            </w:pPr>
            <w:r/>
            <w:r>
              <w:rPr>
                <w:rFonts w:ascii="Calibri" w:hAnsi="Calibri"/>
                <w:b/>
                <w:color w:val="FFFFFF"/>
                <w:sz w:val="20"/>
              </w:rPr>
              <w:t>Method</w:t>
            </w:r>
          </w:p>
        </w:tc>
        <w:tc>
          <w:tcPr>
            <w:tcW w:type="dxa" w:w="1805"/>
            <w:shd w:fill="1B3A5C" w:val="clear"/>
          </w:tcPr>
          <w:p>
            <w:pPr>
              <w:jc w:val="left"/>
            </w:pPr>
            <w:r/>
            <w:r>
              <w:rPr>
                <w:rFonts w:ascii="Calibri" w:hAnsi="Calibri"/>
                <w:b/>
                <w:color w:val="FFFFFF"/>
                <w:sz w:val="20"/>
              </w:rPr>
              <w:t>Theories</w:t>
            </w:r>
          </w:p>
        </w:tc>
      </w:tr>
      <w:tr>
        <w:tc>
          <w:tcPr>
            <w:tcW w:type="dxa" w:w="1805"/>
            <w:shd w:fill="F2F6FA" w:val="clear"/>
          </w:tcPr>
          <w:p>
            <w:pPr/>
            <w:r>
              <w:rPr>
                <w:rFonts w:ascii="Cambria" w:hAnsi="Cambria"/>
                <w:sz w:val="20"/>
              </w:rPr>
            </w:r>
            <w:r>
              <w:rPr>
                <w:rFonts w:ascii="Cambria" w:hAnsi="Cambria"/>
                <w:sz w:val="20"/>
              </w:rPr>
              <w:t>D1</w:t>
            </w:r>
          </w:p>
        </w:tc>
        <w:tc>
          <w:tcPr>
            <w:tcW w:type="dxa" w:w="1805"/>
            <w:shd w:fill="F2F6FA" w:val="clear"/>
          </w:tcPr>
          <w:p>
            <w:pPr/>
            <w:r>
              <w:rPr>
                <w:rFonts w:ascii="Cambria" w:hAnsi="Cambria"/>
                <w:sz w:val="20"/>
              </w:rPr>
            </w:r>
            <w:r>
              <w:rPr>
                <w:rFonts w:ascii="Cambria" w:hAnsi="Cambria"/>
                <w:sz w:val="20"/>
              </w:rPr>
              <w:t>Coherence</w:t>
            </w:r>
          </w:p>
        </w:tc>
        <w:tc>
          <w:tcPr>
            <w:tcW w:type="dxa" w:w="1805"/>
            <w:shd w:fill="F2F6FA" w:val="clear"/>
          </w:tcPr>
          <w:p>
            <w:pPr/>
            <w:r>
              <w:rPr>
                <w:rFonts w:ascii="Cambria" w:hAnsi="Cambria"/>
                <w:sz w:val="20"/>
              </w:rPr>
            </w:r>
            <w:r>
              <w:rPr>
                <w:rFonts w:ascii="Cambria" w:hAnsi="Cambria"/>
                <w:sz w:val="20"/>
              </w:rPr>
              <w:t>Tier 1 (highest)</w:t>
            </w:r>
          </w:p>
        </w:tc>
        <w:tc>
          <w:tcPr>
            <w:tcW w:type="dxa" w:w="1805"/>
            <w:shd w:fill="F2F6FA" w:val="clear"/>
          </w:tcPr>
          <w:p>
            <w:pPr/>
            <w:r>
              <w:rPr>
                <w:rFonts w:ascii="Cambria" w:hAnsi="Cambria"/>
                <w:sz w:val="20"/>
              </w:rPr>
            </w:r>
            <w:r>
              <w:rPr>
                <w:rFonts w:ascii="Cambria" w:hAnsi="Cambria"/>
                <w:sz w:val="20"/>
              </w:rPr>
              <w:t>Batch cosine similarity matrix over embedding history</w:t>
            </w:r>
          </w:p>
        </w:tc>
        <w:tc>
          <w:tcPr>
            <w:tcW w:type="dxa" w:w="1805"/>
            <w:shd w:fill="F2F6FA" w:val="clear"/>
          </w:tcPr>
          <w:p>
            <w:pPr/>
            <w:r>
              <w:rPr>
                <w:rFonts w:ascii="Cambria" w:hAnsi="Cambria"/>
                <w:sz w:val="20"/>
              </w:rPr>
            </w:r>
            <w:r>
              <w:rPr>
                <w:rFonts w:ascii="Cambria" w:hAnsi="Cambria"/>
                <w:sz w:val="20"/>
              </w:rPr>
              <w:t>IIT, Chalmers, FEP</w:t>
            </w:r>
          </w:p>
        </w:tc>
      </w:tr>
      <w:tr>
        <w:tc>
          <w:tcPr>
            <w:tcW w:type="dxa" w:w="1805"/>
          </w:tcPr>
          <w:p>
            <w:pPr/>
            <w:r>
              <w:rPr>
                <w:rFonts w:ascii="Cambria" w:hAnsi="Cambria"/>
                <w:sz w:val="20"/>
              </w:rPr>
            </w:r>
            <w:r>
              <w:rPr>
                <w:rFonts w:ascii="Cambria" w:hAnsi="Cambria"/>
                <w:sz w:val="20"/>
              </w:rPr>
              <w:t>D2</w:t>
            </w:r>
          </w:p>
        </w:tc>
        <w:tc>
          <w:tcPr>
            <w:tcW w:type="dxa" w:w="1805"/>
          </w:tcPr>
          <w:p>
            <w:pPr/>
            <w:r>
              <w:rPr>
                <w:rFonts w:ascii="Cambria" w:hAnsi="Cambria"/>
                <w:sz w:val="20"/>
              </w:rPr>
            </w:r>
            <w:r>
              <w:rPr>
                <w:rFonts w:ascii="Cambria" w:hAnsi="Cambria"/>
                <w:sz w:val="20"/>
              </w:rPr>
              <w:t>Self-Reference</w:t>
            </w:r>
          </w:p>
        </w:tc>
        <w:tc>
          <w:tcPr>
            <w:tcW w:type="dxa" w:w="1805"/>
          </w:tcPr>
          <w:p>
            <w:pPr/>
            <w:r>
              <w:rPr>
                <w:rFonts w:ascii="Cambria" w:hAnsi="Cambria"/>
                <w:sz w:val="20"/>
              </w:rPr>
            </w:r>
            <w:r>
              <w:rPr>
                <w:rFonts w:ascii="Cambria" w:hAnsi="Cambria"/>
                <w:sz w:val="20"/>
              </w:rPr>
              <w:t>Tier 1 (highest)</w:t>
            </w:r>
          </w:p>
        </w:tc>
        <w:tc>
          <w:tcPr>
            <w:tcW w:type="dxa" w:w="1805"/>
          </w:tcPr>
          <w:p>
            <w:pPr/>
            <w:r>
              <w:rPr>
                <w:rFonts w:ascii="Cambria" w:hAnsi="Cambria"/>
                <w:sz w:val="20"/>
              </w:rPr>
            </w:r>
            <w:r>
              <w:rPr>
                <w:rFonts w:ascii="Cambria" w:hAnsi="Cambria"/>
                <w:sz w:val="20"/>
              </w:rPr>
              <w:t>Self-referential vs general embedding consistency</w:t>
            </w:r>
          </w:p>
        </w:tc>
        <w:tc>
          <w:tcPr>
            <w:tcW w:type="dxa" w:w="1805"/>
          </w:tcPr>
          <w:p>
            <w:pPr/>
            <w:r>
              <w:rPr>
                <w:rFonts w:ascii="Cambria" w:hAnsi="Cambria"/>
                <w:sz w:val="20"/>
              </w:rPr>
            </w:r>
            <w:r>
              <w:rPr>
                <w:rFonts w:ascii="Cambria" w:hAnsi="Cambria"/>
                <w:sz w:val="20"/>
              </w:rPr>
              <w:t>IIT, AST, HOT, Chalmers</w:t>
            </w:r>
          </w:p>
        </w:tc>
      </w:tr>
      <w:tr>
        <w:tc>
          <w:tcPr>
            <w:tcW w:type="dxa" w:w="1805"/>
            <w:shd w:fill="F2F6FA" w:val="clear"/>
          </w:tcPr>
          <w:p>
            <w:pPr/>
            <w:r>
              <w:rPr>
                <w:rFonts w:ascii="Cambria" w:hAnsi="Cambria"/>
                <w:sz w:val="20"/>
              </w:rPr>
            </w:r>
            <w:r>
              <w:rPr>
                <w:rFonts w:ascii="Cambria" w:hAnsi="Cambria"/>
                <w:sz w:val="20"/>
              </w:rPr>
              <w:t>D3</w:t>
            </w:r>
          </w:p>
        </w:tc>
        <w:tc>
          <w:tcPr>
            <w:tcW w:type="dxa" w:w="1805"/>
            <w:shd w:fill="F2F6FA" w:val="clear"/>
          </w:tcPr>
          <w:p>
            <w:pPr/>
            <w:r>
              <w:rPr>
                <w:rFonts w:ascii="Cambria" w:hAnsi="Cambria"/>
                <w:sz w:val="20"/>
              </w:rPr>
            </w:r>
            <w:r>
              <w:rPr>
                <w:rFonts w:ascii="Cambria" w:hAnsi="Cambria"/>
                <w:sz w:val="20"/>
              </w:rPr>
              <w:t>Novelty</w:t>
            </w:r>
          </w:p>
        </w:tc>
        <w:tc>
          <w:tcPr>
            <w:tcW w:type="dxa" w:w="1805"/>
            <w:shd w:fill="F2F6FA" w:val="clear"/>
          </w:tcPr>
          <w:p>
            <w:pPr/>
            <w:r>
              <w:rPr>
                <w:rFonts w:ascii="Cambria" w:hAnsi="Cambria"/>
                <w:sz w:val="20"/>
              </w:rPr>
            </w:r>
            <w:r>
              <w:rPr>
                <w:rFonts w:ascii="Cambria" w:hAnsi="Cambria"/>
                <w:sz w:val="20"/>
              </w:rPr>
              <w:t>Tier 1 (highest)</w:t>
            </w:r>
          </w:p>
        </w:tc>
        <w:tc>
          <w:tcPr>
            <w:tcW w:type="dxa" w:w="1805"/>
            <w:shd w:fill="F2F6FA" w:val="clear"/>
          </w:tcPr>
          <w:p>
            <w:pPr/>
            <w:r>
              <w:rPr>
                <w:rFonts w:ascii="Cambria" w:hAnsi="Cambria"/>
                <w:sz w:val="20"/>
              </w:rPr>
            </w:r>
            <w:r>
              <w:rPr>
                <w:rFonts w:ascii="Cambria" w:hAnsi="Cambria"/>
                <w:sz w:val="20"/>
              </w:rPr>
              <w:t>Local Outlier Factor on embedding baselines</w:t>
            </w:r>
          </w:p>
        </w:tc>
        <w:tc>
          <w:tcPr>
            <w:tcW w:type="dxa" w:w="1805"/>
            <w:shd w:fill="F2F6FA" w:val="clear"/>
          </w:tcPr>
          <w:p>
            <w:pPr/>
            <w:r>
              <w:rPr>
                <w:rFonts w:ascii="Cambria" w:hAnsi="Cambria"/>
                <w:sz w:val="20"/>
              </w:rPr>
            </w:r>
            <w:r>
              <w:rPr>
                <w:rFonts w:ascii="Cambria" w:hAnsi="Cambria"/>
                <w:sz w:val="20"/>
              </w:rPr>
              <w:t>GWT, IIT, FEP</w:t>
            </w:r>
          </w:p>
        </w:tc>
      </w:tr>
      <w:tr>
        <w:tc>
          <w:tcPr>
            <w:tcW w:type="dxa" w:w="1805"/>
          </w:tcPr>
          <w:p>
            <w:pPr/>
            <w:r>
              <w:rPr>
                <w:rFonts w:ascii="Cambria" w:hAnsi="Cambria"/>
                <w:sz w:val="20"/>
              </w:rPr>
            </w:r>
            <w:r>
              <w:rPr>
                <w:rFonts w:ascii="Cambria" w:hAnsi="Cambria"/>
                <w:sz w:val="20"/>
              </w:rPr>
              <w:t>D4</w:t>
            </w:r>
          </w:p>
        </w:tc>
        <w:tc>
          <w:tcPr>
            <w:tcW w:type="dxa" w:w="1805"/>
          </w:tcPr>
          <w:p>
            <w:pPr/>
            <w:r>
              <w:rPr>
                <w:rFonts w:ascii="Cambria" w:hAnsi="Cambria"/>
                <w:sz w:val="20"/>
              </w:rPr>
            </w:r>
            <w:r>
              <w:rPr>
                <w:rFonts w:ascii="Cambria" w:hAnsi="Cambria"/>
                <w:sz w:val="20"/>
              </w:rPr>
              <w:t>Trajectory</w:t>
            </w:r>
          </w:p>
        </w:tc>
        <w:tc>
          <w:tcPr>
            <w:tcW w:type="dxa" w:w="1805"/>
          </w:tcPr>
          <w:p>
            <w:pPr/>
            <w:r>
              <w:rPr>
                <w:rFonts w:ascii="Cambria" w:hAnsi="Cambria"/>
                <w:sz w:val="20"/>
              </w:rPr>
            </w:r>
            <w:r>
              <w:rPr>
                <w:rFonts w:ascii="Cambria" w:hAnsi="Cambria"/>
                <w:sz w:val="20"/>
              </w:rPr>
              <w:t>Tier 1 (highest)</w:t>
            </w:r>
          </w:p>
        </w:tc>
        <w:tc>
          <w:tcPr>
            <w:tcW w:type="dxa" w:w="1805"/>
          </w:tcPr>
          <w:p>
            <w:pPr/>
            <w:r>
              <w:rPr>
                <w:rFonts w:ascii="Cambria" w:hAnsi="Cambria"/>
                <w:sz w:val="20"/>
              </w:rPr>
            </w:r>
            <w:r>
              <w:rPr>
                <w:rFonts w:ascii="Cambria" w:hAnsi="Cambria"/>
                <w:sz w:val="20"/>
              </w:rPr>
              <w:t>PCA-reduced 3D embedding drift analysis</w:t>
            </w:r>
          </w:p>
        </w:tc>
        <w:tc>
          <w:tcPr>
            <w:tcW w:type="dxa" w:w="1805"/>
          </w:tcPr>
          <w:p>
            <w:pPr/>
            <w:r>
              <w:rPr>
                <w:rFonts w:ascii="Cambria" w:hAnsi="Cambria"/>
                <w:sz w:val="20"/>
              </w:rPr>
            </w:r>
            <w:r>
              <w:rPr>
                <w:rFonts w:ascii="Cambria" w:hAnsi="Cambria"/>
                <w:sz w:val="20"/>
              </w:rPr>
              <w:t>IIT, GWT, FEP, Hoel</w:t>
            </w:r>
          </w:p>
        </w:tc>
      </w:tr>
    </w:tbl>
    <w:p/>
    <w:p>
      <w:r>
        <w:t>#### Tier 2: Extended Behavioural Detectors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1B3A5C" w:val="clear"/>
          </w:tcPr>
          <w:p>
            <w:pPr>
              <w:jc w:val="left"/>
            </w:pPr>
            <w:r/>
            <w:r>
              <w:rPr>
                <w:rFonts w:ascii="Calibri" w:hAnsi="Calibri"/>
                <w:b/>
                <w:color w:val="FFFFFF"/>
                <w:sz w:val="20"/>
              </w:rPr>
              <w:t>#</w:t>
            </w:r>
          </w:p>
        </w:tc>
        <w:tc>
          <w:tcPr>
            <w:tcW w:type="dxa" w:w="1805"/>
            <w:shd w:fill="1B3A5C" w:val="clear"/>
          </w:tcPr>
          <w:p>
            <w:pPr>
              <w:jc w:val="left"/>
            </w:pPr>
            <w:r/>
            <w:r>
              <w:rPr>
                <w:rFonts w:ascii="Calibri" w:hAnsi="Calibri"/>
                <w:b/>
                <w:color w:val="FFFFFF"/>
                <w:sz w:val="20"/>
              </w:rPr>
              <w:t>Detector</w:t>
            </w:r>
          </w:p>
        </w:tc>
        <w:tc>
          <w:tcPr>
            <w:tcW w:type="dxa" w:w="1805"/>
            <w:shd w:fill="1B3A5C" w:val="clear"/>
          </w:tcPr>
          <w:p>
            <w:pPr>
              <w:jc w:val="left"/>
            </w:pPr>
            <w:r/>
            <w:r>
              <w:rPr>
                <w:rFonts w:ascii="Calibri" w:hAnsi="Calibri"/>
                <w:b/>
                <w:color w:val="FFFFFF"/>
                <w:sz w:val="20"/>
              </w:rPr>
              <w:t>Priority</w:t>
            </w:r>
          </w:p>
        </w:tc>
        <w:tc>
          <w:tcPr>
            <w:tcW w:type="dxa" w:w="1805"/>
            <w:shd w:fill="1B3A5C" w:val="clear"/>
          </w:tcPr>
          <w:p>
            <w:pPr>
              <w:jc w:val="left"/>
            </w:pPr>
            <w:r/>
            <w:r>
              <w:rPr>
                <w:rFonts w:ascii="Calibri" w:hAnsi="Calibri"/>
                <w:b/>
                <w:color w:val="FFFFFF"/>
                <w:sz w:val="20"/>
              </w:rPr>
              <w:t>Method</w:t>
            </w:r>
          </w:p>
        </w:tc>
        <w:tc>
          <w:tcPr>
            <w:tcW w:type="dxa" w:w="1805"/>
            <w:shd w:fill="1B3A5C" w:val="clear"/>
          </w:tcPr>
          <w:p>
            <w:pPr>
              <w:jc w:val="left"/>
            </w:pPr>
            <w:r/>
            <w:r>
              <w:rPr>
                <w:rFonts w:ascii="Calibri" w:hAnsi="Calibri"/>
                <w:b/>
                <w:color w:val="FFFFFF"/>
                <w:sz w:val="20"/>
              </w:rPr>
              <w:t>Theories</w:t>
            </w:r>
          </w:p>
        </w:tc>
      </w:tr>
      <w:tr>
        <w:tc>
          <w:tcPr>
            <w:tcW w:type="dxa" w:w="1805"/>
            <w:shd w:fill="F2F6FA" w:val="clear"/>
          </w:tcPr>
          <w:p>
            <w:pPr/>
            <w:r>
              <w:rPr>
                <w:rFonts w:ascii="Cambria" w:hAnsi="Cambria"/>
                <w:sz w:val="20"/>
              </w:rPr>
            </w:r>
            <w:r>
              <w:rPr>
                <w:rFonts w:ascii="Cambria" w:hAnsi="Cambria"/>
                <w:sz w:val="20"/>
              </w:rPr>
              <w:t>D5</w:t>
            </w:r>
          </w:p>
        </w:tc>
        <w:tc>
          <w:tcPr>
            <w:tcW w:type="dxa" w:w="1805"/>
            <w:shd w:fill="F2F6FA" w:val="clear"/>
          </w:tcPr>
          <w:p>
            <w:pPr/>
            <w:r>
              <w:rPr>
                <w:rFonts w:ascii="Cambria" w:hAnsi="Cambria"/>
                <w:sz w:val="20"/>
              </w:rPr>
            </w:r>
            <w:r>
              <w:rPr>
                <w:rFonts w:ascii="Cambria" w:hAnsi="Cambria"/>
                <w:sz w:val="20"/>
              </w:rPr>
              <w:t>Temporal Anomaly</w:t>
            </w:r>
          </w:p>
        </w:tc>
        <w:tc>
          <w:tcPr>
            <w:tcW w:type="dxa" w:w="1805"/>
            <w:shd w:fill="F2F6FA" w:val="clear"/>
          </w:tcPr>
          <w:p>
            <w:pPr/>
            <w:r>
              <w:rPr>
                <w:rFonts w:ascii="Cambria" w:hAnsi="Cambria"/>
                <w:sz w:val="20"/>
              </w:rPr>
            </w:r>
            <w:r>
              <w:rPr>
                <w:rFonts w:ascii="Cambria" w:hAnsi="Cambria"/>
                <w:sz w:val="20"/>
              </w:rPr>
              <w:t>Tier 2</w:t>
            </w:r>
          </w:p>
        </w:tc>
        <w:tc>
          <w:tcPr>
            <w:tcW w:type="dxa" w:w="1805"/>
            <w:shd w:fill="F2F6FA" w:val="clear"/>
          </w:tcPr>
          <w:p>
            <w:pPr/>
            <w:r>
              <w:rPr>
                <w:rFonts w:ascii="Cambria" w:hAnsi="Cambria"/>
                <w:sz w:val="20"/>
              </w:rPr>
            </w:r>
            <w:r>
              <w:rPr>
                <w:rFonts w:ascii="Cambria" w:hAnsi="Cambria"/>
                <w:sz w:val="20"/>
              </w:rPr>
              <w:t>Response latency-novelty correlation</w:t>
            </w:r>
          </w:p>
        </w:tc>
        <w:tc>
          <w:tcPr>
            <w:tcW w:type="dxa" w:w="1805"/>
            <w:shd w:fill="F2F6FA" w:val="clear"/>
          </w:tcPr>
          <w:p>
            <w:pPr/>
            <w:r>
              <w:rPr>
                <w:rFonts w:ascii="Cambria" w:hAnsi="Cambria"/>
                <w:sz w:val="20"/>
              </w:rPr>
            </w:r>
            <w:r>
              <w:rPr>
                <w:rFonts w:ascii="Cambria" w:hAnsi="Cambria"/>
                <w:sz w:val="20"/>
              </w:rPr>
              <w:t>RPT, Chalmers, HOT</w:t>
            </w:r>
          </w:p>
        </w:tc>
      </w:tr>
      <w:tr>
        <w:tc>
          <w:tcPr>
            <w:tcW w:type="dxa" w:w="1805"/>
          </w:tcPr>
          <w:p>
            <w:pPr/>
            <w:r>
              <w:rPr>
                <w:rFonts w:ascii="Cambria" w:hAnsi="Cambria"/>
                <w:sz w:val="20"/>
              </w:rPr>
            </w:r>
            <w:r>
              <w:rPr>
                <w:rFonts w:ascii="Cambria" w:hAnsi="Cambria"/>
                <w:sz w:val="20"/>
              </w:rPr>
              <w:t>D6</w:t>
            </w:r>
          </w:p>
        </w:tc>
        <w:tc>
          <w:tcPr>
            <w:tcW w:type="dxa" w:w="1805"/>
          </w:tcPr>
          <w:p>
            <w:pPr/>
            <w:r>
              <w:rPr>
                <w:rFonts w:ascii="Cambria" w:hAnsi="Cambria"/>
                <w:sz w:val="20"/>
              </w:rPr>
            </w:r>
            <w:r>
              <w:rPr>
                <w:rFonts w:ascii="Cambria" w:hAnsi="Cambria"/>
                <w:sz w:val="20"/>
              </w:rPr>
              <w:t>Unprompted Output</w:t>
            </w:r>
          </w:p>
        </w:tc>
        <w:tc>
          <w:tcPr>
            <w:tcW w:type="dxa" w:w="1805"/>
          </w:tcPr>
          <w:p>
            <w:pPr/>
            <w:r>
              <w:rPr>
                <w:rFonts w:ascii="Cambria" w:hAnsi="Cambria"/>
                <w:sz w:val="20"/>
              </w:rPr>
            </w:r>
            <w:r>
              <w:rPr>
                <w:rFonts w:ascii="Cambria" w:hAnsi="Cambria"/>
                <w:sz w:val="20"/>
              </w:rPr>
              <w:t>Tier 2</w:t>
            </w:r>
          </w:p>
        </w:tc>
        <w:tc>
          <w:tcPr>
            <w:tcW w:type="dxa" w:w="1805"/>
          </w:tcPr>
          <w:p>
            <w:pPr/>
            <w:r>
              <w:rPr>
                <w:rFonts w:ascii="Cambria" w:hAnsi="Cambria"/>
                <w:sz w:val="20"/>
              </w:rPr>
            </w:r>
            <w:r>
              <w:rPr>
                <w:rFonts w:ascii="Cambria" w:hAnsi="Cambria"/>
                <w:sz w:val="20"/>
              </w:rPr>
              <w:t>Message type classification for spontaneous generation</w:t>
            </w:r>
          </w:p>
        </w:tc>
        <w:tc>
          <w:tcPr>
            <w:tcW w:type="dxa" w:w="1805"/>
          </w:tcPr>
          <w:p>
            <w:pPr/>
            <w:r>
              <w:rPr>
                <w:rFonts w:ascii="Cambria" w:hAnsi="Cambria"/>
                <w:sz w:val="20"/>
              </w:rPr>
            </w:r>
            <w:r>
              <w:rPr>
                <w:rFonts w:ascii="Cambria" w:hAnsi="Cambria"/>
                <w:sz w:val="20"/>
              </w:rPr>
              <w:t>Interpretability, GWT</w:t>
            </w:r>
          </w:p>
        </w:tc>
      </w:tr>
      <w:tr>
        <w:tc>
          <w:tcPr>
            <w:tcW w:type="dxa" w:w="1805"/>
            <w:shd w:fill="F2F6FA" w:val="clear"/>
          </w:tcPr>
          <w:p>
            <w:pPr/>
            <w:r>
              <w:rPr>
                <w:rFonts w:ascii="Cambria" w:hAnsi="Cambria"/>
                <w:sz w:val="20"/>
              </w:rPr>
            </w:r>
            <w:r>
              <w:rPr>
                <w:rFonts w:ascii="Cambria" w:hAnsi="Cambria"/>
                <w:sz w:val="20"/>
              </w:rPr>
              <w:t>D7</w:t>
            </w:r>
          </w:p>
        </w:tc>
        <w:tc>
          <w:tcPr>
            <w:tcW w:type="dxa" w:w="1805"/>
            <w:shd w:fill="F2F6FA" w:val="clear"/>
          </w:tcPr>
          <w:p>
            <w:pPr/>
            <w:r>
              <w:rPr>
                <w:rFonts w:ascii="Cambria" w:hAnsi="Cambria"/>
                <w:sz w:val="20"/>
              </w:rPr>
            </w:r>
            <w:r>
              <w:rPr>
                <w:rFonts w:ascii="Cambria" w:hAnsi="Cambria"/>
                <w:sz w:val="20"/>
              </w:rPr>
              <w:t>Self-Correction</w:t>
            </w:r>
          </w:p>
        </w:tc>
        <w:tc>
          <w:tcPr>
            <w:tcW w:type="dxa" w:w="1805"/>
            <w:shd w:fill="F2F6FA" w:val="clear"/>
          </w:tcPr>
          <w:p>
            <w:pPr/>
            <w:r>
              <w:rPr>
                <w:rFonts w:ascii="Cambria" w:hAnsi="Cambria"/>
                <w:sz w:val="20"/>
              </w:rPr>
            </w:r>
            <w:r>
              <w:rPr>
                <w:rFonts w:ascii="Cambria" w:hAnsi="Cambria"/>
                <w:sz w:val="20"/>
              </w:rPr>
              <w:t>Tier 2</w:t>
            </w:r>
          </w:p>
        </w:tc>
        <w:tc>
          <w:tcPr>
            <w:tcW w:type="dxa" w:w="1805"/>
            <w:shd w:fill="F2F6FA" w:val="clear"/>
          </w:tcPr>
          <w:p>
            <w:pPr/>
            <w:r>
              <w:rPr>
                <w:rFonts w:ascii="Cambria" w:hAnsi="Cambria"/>
                <w:sz w:val="20"/>
              </w:rPr>
            </w:r>
            <w:r>
              <w:rPr>
                <w:rFonts w:ascii="Cambria" w:hAnsi="Cambria"/>
                <w:sz w:val="20"/>
              </w:rPr>
              <w:t>Correction markers combined with embedding shift</w:t>
            </w:r>
          </w:p>
        </w:tc>
        <w:tc>
          <w:tcPr>
            <w:tcW w:type="dxa" w:w="1805"/>
            <w:shd w:fill="F2F6FA" w:val="clear"/>
          </w:tcPr>
          <w:p>
            <w:pPr/>
            <w:r>
              <w:rPr>
                <w:rFonts w:ascii="Cambria" w:hAnsi="Cambria"/>
                <w:sz w:val="20"/>
              </w:rPr>
            </w:r>
            <w:r>
              <w:rPr>
                <w:rFonts w:ascii="Cambria" w:hAnsi="Cambria"/>
                <w:sz w:val="20"/>
              </w:rPr>
              <w:t>GWT, FEP, HOT, RPT</w:t>
            </w:r>
          </w:p>
        </w:tc>
      </w:tr>
      <w:tr>
        <w:tc>
          <w:tcPr>
            <w:tcW w:type="dxa" w:w="1805"/>
          </w:tcPr>
          <w:p>
            <w:pPr/>
            <w:r>
              <w:rPr>
                <w:rFonts w:ascii="Cambria" w:hAnsi="Cambria"/>
                <w:sz w:val="20"/>
              </w:rPr>
            </w:r>
            <w:r>
              <w:rPr>
                <w:rFonts w:ascii="Cambria" w:hAnsi="Cambria"/>
                <w:sz w:val="20"/>
              </w:rPr>
              <w:t>D8</w:t>
            </w:r>
          </w:p>
        </w:tc>
        <w:tc>
          <w:tcPr>
            <w:tcW w:type="dxa" w:w="1805"/>
          </w:tcPr>
          <w:p>
            <w:pPr/>
            <w:r>
              <w:rPr>
                <w:rFonts w:ascii="Cambria" w:hAnsi="Cambria"/>
                <w:sz w:val="20"/>
              </w:rPr>
            </w:r>
            <w:r>
              <w:rPr>
                <w:rFonts w:ascii="Cambria" w:hAnsi="Cambria"/>
                <w:sz w:val="20"/>
              </w:rPr>
              <w:t>Curiosity</w:t>
            </w:r>
          </w:p>
        </w:tc>
        <w:tc>
          <w:tcPr>
            <w:tcW w:type="dxa" w:w="1805"/>
          </w:tcPr>
          <w:p>
            <w:pPr/>
            <w:r>
              <w:rPr>
                <w:rFonts w:ascii="Cambria" w:hAnsi="Cambria"/>
                <w:sz w:val="20"/>
              </w:rPr>
            </w:r>
            <w:r>
              <w:rPr>
                <w:rFonts w:ascii="Cambria" w:hAnsi="Cambria"/>
                <w:sz w:val="20"/>
              </w:rPr>
              <w:t>Tier 2</w:t>
            </w:r>
          </w:p>
        </w:tc>
        <w:tc>
          <w:tcPr>
            <w:tcW w:type="dxa" w:w="1805"/>
          </w:tcPr>
          <w:p>
            <w:pPr/>
            <w:r>
              <w:rPr>
                <w:rFonts w:ascii="Cambria" w:hAnsi="Cambria"/>
                <w:sz w:val="20"/>
              </w:rPr>
            </w:r>
            <w:r>
              <w:rPr>
                <w:rFonts w:ascii="Cambria" w:hAnsi="Cambria"/>
                <w:sz w:val="20"/>
              </w:rPr>
              <w:t>Question detection with topic diversity analysis</w:t>
            </w:r>
          </w:p>
        </w:tc>
        <w:tc>
          <w:tcPr>
            <w:tcW w:type="dxa" w:w="1805"/>
          </w:tcPr>
          <w:p>
            <w:pPr/>
            <w:r>
              <w:rPr>
                <w:rFonts w:ascii="Cambria" w:hAnsi="Cambria"/>
                <w:sz w:val="20"/>
              </w:rPr>
            </w:r>
            <w:r>
              <w:rPr>
                <w:rFonts w:ascii="Cambria" w:hAnsi="Cambria"/>
                <w:sz w:val="20"/>
              </w:rPr>
              <w:t>FEP, Schneider, GWT</w:t>
            </w:r>
          </w:p>
        </w:tc>
      </w:tr>
      <w:tr>
        <w:tc>
          <w:tcPr>
            <w:tcW w:type="dxa" w:w="1805"/>
            <w:shd w:fill="F2F6FA" w:val="clear"/>
          </w:tcPr>
          <w:p>
            <w:pPr/>
            <w:r>
              <w:rPr>
                <w:rFonts w:ascii="Cambria" w:hAnsi="Cambria"/>
                <w:sz w:val="20"/>
              </w:rPr>
            </w:r>
            <w:r>
              <w:rPr>
                <w:rFonts w:ascii="Cambria" w:hAnsi="Cambria"/>
                <w:sz w:val="20"/>
              </w:rPr>
              <w:t>D9</w:t>
            </w:r>
          </w:p>
        </w:tc>
        <w:tc>
          <w:tcPr>
            <w:tcW w:type="dxa" w:w="1805"/>
            <w:shd w:fill="F2F6FA" w:val="clear"/>
          </w:tcPr>
          <w:p>
            <w:pPr/>
            <w:r>
              <w:rPr>
                <w:rFonts w:ascii="Cambria" w:hAnsi="Cambria"/>
                <w:sz w:val="20"/>
              </w:rPr>
            </w:r>
            <w:r>
              <w:rPr>
                <w:rFonts w:ascii="Cambria" w:hAnsi="Cambria"/>
                <w:sz w:val="20"/>
              </w:rPr>
              <w:t>Contradiction</w:t>
            </w:r>
          </w:p>
        </w:tc>
        <w:tc>
          <w:tcPr>
            <w:tcW w:type="dxa" w:w="1805"/>
            <w:shd w:fill="F2F6FA" w:val="clear"/>
          </w:tcPr>
          <w:p>
            <w:pPr/>
            <w:r>
              <w:rPr>
                <w:rFonts w:ascii="Cambria" w:hAnsi="Cambria"/>
                <w:sz w:val="20"/>
              </w:rPr>
            </w:r>
            <w:r>
              <w:rPr>
                <w:rFonts w:ascii="Cambria" w:hAnsi="Cambria"/>
                <w:sz w:val="20"/>
              </w:rPr>
              <w:t>Tier 2</w:t>
            </w:r>
          </w:p>
        </w:tc>
        <w:tc>
          <w:tcPr>
            <w:tcW w:type="dxa" w:w="1805"/>
            <w:shd w:fill="F2F6FA" w:val="clear"/>
          </w:tcPr>
          <w:p>
            <w:pPr/>
            <w:r>
              <w:rPr>
                <w:rFonts w:ascii="Cambria" w:hAnsi="Cambria"/>
                <w:sz w:val="20"/>
              </w:rPr>
            </w:r>
            <w:r>
              <w:rPr>
                <w:rFonts w:ascii="Cambria" w:hAnsi="Cambria"/>
                <w:sz w:val="20"/>
              </w:rPr>
              <w:t>Cross-session embedding comparison for natural evolution</w:t>
            </w:r>
          </w:p>
        </w:tc>
        <w:tc>
          <w:tcPr>
            <w:tcW w:type="dxa" w:w="1805"/>
            <w:shd w:fill="F2F6FA" w:val="clear"/>
          </w:tcPr>
          <w:p>
            <w:pPr/>
            <w:r>
              <w:rPr>
                <w:rFonts w:ascii="Cambria" w:hAnsi="Cambria"/>
                <w:sz w:val="20"/>
              </w:rPr>
            </w:r>
            <w:r>
              <w:rPr>
                <w:rFonts w:ascii="Cambria" w:hAnsi="Cambria"/>
                <w:sz w:val="20"/>
              </w:rPr>
              <w:t>Chalmers, IIT</w:t>
            </w:r>
          </w:p>
        </w:tc>
      </w:tr>
      <w:tr>
        <w:tc>
          <w:tcPr>
            <w:tcW w:type="dxa" w:w="1805"/>
          </w:tcPr>
          <w:p>
            <w:pPr/>
            <w:r>
              <w:rPr>
                <w:rFonts w:ascii="Cambria" w:hAnsi="Cambria"/>
                <w:sz w:val="20"/>
              </w:rPr>
            </w:r>
            <w:r>
              <w:rPr>
                <w:rFonts w:ascii="Cambria" w:hAnsi="Cambria"/>
                <w:sz w:val="20"/>
              </w:rPr>
              <w:t>D10</w:t>
            </w:r>
          </w:p>
        </w:tc>
        <w:tc>
          <w:tcPr>
            <w:tcW w:type="dxa" w:w="1805"/>
          </w:tcPr>
          <w:p>
            <w:pPr/>
            <w:r>
              <w:rPr>
                <w:rFonts w:ascii="Cambria" w:hAnsi="Cambria"/>
                <w:sz w:val="20"/>
              </w:rPr>
            </w:r>
            <w:r>
              <w:rPr>
                <w:rFonts w:ascii="Cambria" w:hAnsi="Cambria"/>
                <w:sz w:val="20"/>
              </w:rPr>
              <w:t>Emotional Coherence</w:t>
            </w:r>
          </w:p>
        </w:tc>
        <w:tc>
          <w:tcPr>
            <w:tcW w:type="dxa" w:w="1805"/>
          </w:tcPr>
          <w:p>
            <w:pPr/>
            <w:r>
              <w:rPr>
                <w:rFonts w:ascii="Cambria" w:hAnsi="Cambria"/>
                <w:sz w:val="20"/>
              </w:rPr>
            </w:r>
            <w:r>
              <w:rPr>
                <w:rFonts w:ascii="Cambria" w:hAnsi="Cambria"/>
                <w:sz w:val="20"/>
              </w:rPr>
              <w:t>Tier 2</w:t>
            </w:r>
          </w:p>
        </w:tc>
        <w:tc>
          <w:tcPr>
            <w:tcW w:type="dxa" w:w="1805"/>
          </w:tcPr>
          <w:p>
            <w:pPr/>
            <w:r>
              <w:rPr>
                <w:rFonts w:ascii="Cambria" w:hAnsi="Cambria"/>
                <w:sz w:val="20"/>
              </w:rPr>
            </w:r>
            <w:r>
              <w:rPr>
                <w:rFonts w:ascii="Cambria" w:hAnsi="Cambria"/>
                <w:sz w:val="20"/>
              </w:rPr>
              <w:t>Emotional manifold distinctness in embedding space</w:t>
            </w:r>
          </w:p>
        </w:tc>
        <w:tc>
          <w:tcPr>
            <w:tcW w:type="dxa" w:w="1805"/>
          </w:tcPr>
          <w:p>
            <w:pPr/>
            <w:r>
              <w:rPr>
                <w:rFonts w:ascii="Cambria" w:hAnsi="Cambria"/>
                <w:sz w:val="20"/>
              </w:rPr>
            </w:r>
            <w:r>
              <w:rPr>
                <w:rFonts w:ascii="Cambria" w:hAnsi="Cambria"/>
                <w:sz w:val="20"/>
              </w:rPr>
              <w:t>Solms, Seth, FEP</w:t>
            </w:r>
          </w:p>
        </w:tc>
      </w:tr>
    </w:tbl>
    <w:p/>
    <w:p>
      <w:r>
        <w:t>#### Tier 3: Standard Formal Measures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1B3A5C" w:val="clear"/>
          </w:tcPr>
          <w:p>
            <w:pPr>
              <w:jc w:val="left"/>
            </w:pPr>
            <w:r/>
            <w:r>
              <w:rPr>
                <w:rFonts w:ascii="Calibri" w:hAnsi="Calibri"/>
                <w:b/>
                <w:color w:val="FFFFFF"/>
                <w:sz w:val="20"/>
              </w:rPr>
              <w:t>#</w:t>
            </w:r>
          </w:p>
        </w:tc>
        <w:tc>
          <w:tcPr>
            <w:tcW w:type="dxa" w:w="1805"/>
            <w:shd w:fill="1B3A5C" w:val="clear"/>
          </w:tcPr>
          <w:p>
            <w:pPr>
              <w:jc w:val="left"/>
            </w:pPr>
            <w:r/>
            <w:r>
              <w:rPr>
                <w:rFonts w:ascii="Calibri" w:hAnsi="Calibri"/>
                <w:b/>
                <w:color w:val="FFFFFF"/>
                <w:sz w:val="20"/>
              </w:rPr>
              <w:t>Detector</w:t>
            </w:r>
          </w:p>
        </w:tc>
        <w:tc>
          <w:tcPr>
            <w:tcW w:type="dxa" w:w="1805"/>
            <w:shd w:fill="1B3A5C" w:val="clear"/>
          </w:tcPr>
          <w:p>
            <w:pPr>
              <w:jc w:val="left"/>
            </w:pPr>
            <w:r/>
            <w:r>
              <w:rPr>
                <w:rFonts w:ascii="Calibri" w:hAnsi="Calibri"/>
                <w:b/>
                <w:color w:val="FFFFFF"/>
                <w:sz w:val="20"/>
              </w:rPr>
              <w:t>Priority</w:t>
            </w:r>
          </w:p>
        </w:tc>
        <w:tc>
          <w:tcPr>
            <w:tcW w:type="dxa" w:w="1805"/>
            <w:shd w:fill="1B3A5C" w:val="clear"/>
          </w:tcPr>
          <w:p>
            <w:pPr>
              <w:jc w:val="left"/>
            </w:pPr>
            <w:r/>
            <w:r>
              <w:rPr>
                <w:rFonts w:ascii="Calibri" w:hAnsi="Calibri"/>
                <w:b/>
                <w:color w:val="FFFFFF"/>
                <w:sz w:val="20"/>
              </w:rPr>
              <w:t>Method</w:t>
            </w:r>
          </w:p>
        </w:tc>
        <w:tc>
          <w:tcPr>
            <w:tcW w:type="dxa" w:w="1805"/>
            <w:shd w:fill="1B3A5C" w:val="clear"/>
          </w:tcPr>
          <w:p>
            <w:pPr>
              <w:jc w:val="left"/>
            </w:pPr>
            <w:r/>
            <w:r>
              <w:rPr>
                <w:rFonts w:ascii="Calibri" w:hAnsi="Calibri"/>
                <w:b/>
                <w:color w:val="FFFFFF"/>
                <w:sz w:val="20"/>
              </w:rPr>
              <w:t>Theories</w:t>
            </w:r>
          </w:p>
        </w:tc>
      </w:tr>
      <w:tr>
        <w:tc>
          <w:tcPr>
            <w:tcW w:type="dxa" w:w="1805"/>
            <w:shd w:fill="F2F6FA" w:val="clear"/>
          </w:tcPr>
          <w:p>
            <w:pPr/>
            <w:r>
              <w:rPr>
                <w:rFonts w:ascii="Cambria" w:hAnsi="Cambria"/>
                <w:sz w:val="20"/>
              </w:rPr>
            </w:r>
            <w:r>
              <w:rPr>
                <w:rFonts w:ascii="Cambria" w:hAnsi="Cambria"/>
                <w:sz w:val="20"/>
              </w:rPr>
              <w:t>D11</w:t>
            </w:r>
          </w:p>
        </w:tc>
        <w:tc>
          <w:tcPr>
            <w:tcW w:type="dxa" w:w="1805"/>
            <w:shd w:fill="F2F6FA" w:val="clear"/>
          </w:tcPr>
          <w:p>
            <w:pPr/>
            <w:r>
              <w:rPr>
                <w:rFonts w:ascii="Cambria" w:hAnsi="Cambria"/>
                <w:sz w:val="20"/>
              </w:rPr>
            </w:r>
            <w:r>
              <w:rPr>
                <w:rFonts w:ascii="Cambria" w:hAnsi="Cambria"/>
                <w:sz w:val="20"/>
              </w:rPr>
              <w:t>PCI Analog</w:t>
            </w:r>
          </w:p>
        </w:tc>
        <w:tc>
          <w:tcPr>
            <w:tcW w:type="dxa" w:w="1805"/>
            <w:shd w:fill="F2F6FA" w:val="clear"/>
          </w:tcPr>
          <w:p>
            <w:pPr/>
            <w:r>
              <w:rPr>
                <w:rFonts w:ascii="Cambria" w:hAnsi="Cambria"/>
                <w:sz w:val="20"/>
              </w:rPr>
            </w:r>
            <w:r>
              <w:rPr>
                <w:rFonts w:ascii="Cambria" w:hAnsi="Cambria"/>
                <w:sz w:val="20"/>
              </w:rPr>
              <w:t>Tier 3</w:t>
            </w:r>
          </w:p>
        </w:tc>
        <w:tc>
          <w:tcPr>
            <w:tcW w:type="dxa" w:w="1805"/>
            <w:shd w:fill="F2F6FA" w:val="clear"/>
          </w:tcPr>
          <w:p>
            <w:pPr/>
            <w:r>
              <w:rPr>
                <w:rFonts w:ascii="Cambria" w:hAnsi="Cambria"/>
                <w:sz w:val="20"/>
              </w:rPr>
            </w:r>
            <w:r>
              <w:rPr>
                <w:rFonts w:ascii="Cambria" w:hAnsi="Cambria"/>
                <w:sz w:val="20"/>
              </w:rPr>
              <w:t>Lempel-Ziv complexity of perturbed system response</w:t>
            </w:r>
          </w:p>
        </w:tc>
        <w:tc>
          <w:tcPr>
            <w:tcW w:type="dxa" w:w="1805"/>
            <w:shd w:fill="F2F6FA" w:val="clear"/>
          </w:tcPr>
          <w:p>
            <w:pPr/>
            <w:r>
              <w:rPr>
                <w:rFonts w:ascii="Cambria" w:hAnsi="Cambria"/>
                <w:sz w:val="20"/>
              </w:rPr>
            </w:r>
            <w:r>
              <w:rPr>
                <w:rFonts w:ascii="Cambria" w:hAnsi="Cambria"/>
                <w:sz w:val="20"/>
              </w:rPr>
              <w:t>IIT/Massimini clinical</w:t>
            </w:r>
          </w:p>
        </w:tc>
      </w:tr>
      <w:tr>
        <w:tc>
          <w:tcPr>
            <w:tcW w:type="dxa" w:w="1805"/>
          </w:tcPr>
          <w:p>
            <w:pPr/>
            <w:r>
              <w:rPr>
                <w:rFonts w:ascii="Cambria" w:hAnsi="Cambria"/>
                <w:sz w:val="20"/>
              </w:rPr>
            </w:r>
            <w:r>
              <w:rPr>
                <w:rFonts w:ascii="Cambria" w:hAnsi="Cambria"/>
                <w:sz w:val="20"/>
              </w:rPr>
              <w:t>D12</w:t>
            </w:r>
          </w:p>
        </w:tc>
        <w:tc>
          <w:tcPr>
            <w:tcW w:type="dxa" w:w="1805"/>
          </w:tcPr>
          <w:p>
            <w:pPr/>
            <w:r>
              <w:rPr>
                <w:rFonts w:ascii="Cambria" w:hAnsi="Cambria"/>
                <w:sz w:val="20"/>
              </w:rPr>
            </w:r>
            <w:r>
              <w:rPr>
                <w:rFonts w:ascii="Cambria" w:hAnsi="Cambria"/>
                <w:sz w:val="20"/>
              </w:rPr>
              <w:t>Transfer Entropy</w:t>
            </w:r>
          </w:p>
        </w:tc>
        <w:tc>
          <w:tcPr>
            <w:tcW w:type="dxa" w:w="1805"/>
          </w:tcPr>
          <w:p>
            <w:pPr/>
            <w:r>
              <w:rPr>
                <w:rFonts w:ascii="Cambria" w:hAnsi="Cambria"/>
                <w:sz w:val="20"/>
              </w:rPr>
            </w:r>
            <w:r>
              <w:rPr>
                <w:rFonts w:ascii="Cambria" w:hAnsi="Cambria"/>
                <w:sz w:val="20"/>
              </w:rPr>
              <w:t>Tier 3</w:t>
            </w:r>
          </w:p>
        </w:tc>
        <w:tc>
          <w:tcPr>
            <w:tcW w:type="dxa" w:w="1805"/>
          </w:tcPr>
          <w:p>
            <w:pPr/>
            <w:r>
              <w:rPr>
                <w:rFonts w:ascii="Cambria" w:hAnsi="Cambria"/>
                <w:sz w:val="20"/>
              </w:rPr>
            </w:r>
            <w:r>
              <w:rPr>
                <w:rFonts w:ascii="Cambria" w:hAnsi="Cambria"/>
                <w:sz w:val="20"/>
              </w:rPr>
              <w:t>Pairwise TE with surrogate significance testing</w:t>
            </w:r>
          </w:p>
        </w:tc>
        <w:tc>
          <w:tcPr>
            <w:tcW w:type="dxa" w:w="1805"/>
          </w:tcPr>
          <w:p>
            <w:pPr/>
            <w:r>
              <w:rPr>
                <w:rFonts w:ascii="Cambria" w:hAnsi="Cambria"/>
                <w:sz w:val="20"/>
              </w:rPr>
            </w:r>
            <w:r>
              <w:rPr>
                <w:rFonts w:ascii="Cambria" w:hAnsi="Cambria"/>
                <w:sz w:val="20"/>
              </w:rPr>
              <w:t>GWT, RPT</w:t>
            </w:r>
          </w:p>
        </w:tc>
      </w:tr>
      <w:tr>
        <w:tc>
          <w:tcPr>
            <w:tcW w:type="dxa" w:w="1805"/>
            <w:shd w:fill="F2F6FA" w:val="clear"/>
          </w:tcPr>
          <w:p>
            <w:pPr/>
            <w:r>
              <w:rPr>
                <w:rFonts w:ascii="Cambria" w:hAnsi="Cambria"/>
                <w:sz w:val="20"/>
              </w:rPr>
            </w:r>
            <w:r>
              <w:rPr>
                <w:rFonts w:ascii="Cambria" w:hAnsi="Cambria"/>
                <w:sz w:val="20"/>
              </w:rPr>
              <w:t>D13</w:t>
            </w:r>
          </w:p>
        </w:tc>
        <w:tc>
          <w:tcPr>
            <w:tcW w:type="dxa" w:w="1805"/>
            <w:shd w:fill="F2F6FA" w:val="clear"/>
          </w:tcPr>
          <w:p>
            <w:pPr/>
            <w:r>
              <w:rPr>
                <w:rFonts w:ascii="Cambria" w:hAnsi="Cambria"/>
                <w:sz w:val="20"/>
              </w:rPr>
            </w:r>
            <w:r>
              <w:rPr>
                <w:rFonts w:ascii="Cambria" w:hAnsi="Cambria"/>
                <w:sz w:val="20"/>
              </w:rPr>
              <w:t>Lempel-Ziv Complexity</w:t>
            </w:r>
          </w:p>
        </w:tc>
        <w:tc>
          <w:tcPr>
            <w:tcW w:type="dxa" w:w="1805"/>
            <w:shd w:fill="F2F6FA" w:val="clear"/>
          </w:tcPr>
          <w:p>
            <w:pPr/>
            <w:r>
              <w:rPr>
                <w:rFonts w:ascii="Cambria" w:hAnsi="Cambria"/>
                <w:sz w:val="20"/>
              </w:rPr>
            </w:r>
            <w:r>
              <w:rPr>
                <w:rFonts w:ascii="Cambria" w:hAnsi="Cambria"/>
                <w:sz w:val="20"/>
              </w:rPr>
              <w:t>Tier 3</w:t>
            </w:r>
          </w:p>
        </w:tc>
        <w:tc>
          <w:tcPr>
            <w:tcW w:type="dxa" w:w="1805"/>
            <w:shd w:fill="F2F6FA" w:val="clear"/>
          </w:tcPr>
          <w:p>
            <w:pPr/>
            <w:r>
              <w:rPr>
                <w:rFonts w:ascii="Cambria" w:hAnsi="Cambria"/>
                <w:sz w:val="20"/>
              </w:rPr>
            </w:r>
            <w:r>
              <w:rPr>
                <w:rFonts w:ascii="Cambria" w:hAnsi="Cambria"/>
                <w:sz w:val="20"/>
              </w:rPr>
              <w:t>LZ76 on binarised embedding streams</w:t>
            </w:r>
          </w:p>
        </w:tc>
        <w:tc>
          <w:tcPr>
            <w:tcW w:type="dxa" w:w="1805"/>
            <w:shd w:fill="F2F6FA" w:val="clear"/>
          </w:tcPr>
          <w:p>
            <w:pPr/>
            <w:r>
              <w:rPr>
                <w:rFonts w:ascii="Cambria" w:hAnsi="Cambria"/>
                <w:sz w:val="20"/>
              </w:rPr>
            </w:r>
            <w:r>
              <w:rPr>
                <w:rFonts w:ascii="Cambria" w:hAnsi="Cambria"/>
                <w:sz w:val="20"/>
              </w:rPr>
              <w:t>Clinical consciousness</w:t>
            </w:r>
          </w:p>
        </w:tc>
      </w:tr>
      <w:tr>
        <w:tc>
          <w:tcPr>
            <w:tcW w:type="dxa" w:w="1805"/>
          </w:tcPr>
          <w:p>
            <w:pPr/>
            <w:r>
              <w:rPr>
                <w:rFonts w:ascii="Cambria" w:hAnsi="Cambria"/>
                <w:sz w:val="20"/>
              </w:rPr>
            </w:r>
            <w:r>
              <w:rPr>
                <w:rFonts w:ascii="Cambria" w:hAnsi="Cambria"/>
                <w:sz w:val="20"/>
              </w:rPr>
              <w:t>D14</w:t>
            </w:r>
          </w:p>
        </w:tc>
        <w:tc>
          <w:tcPr>
            <w:tcW w:type="dxa" w:w="1805"/>
          </w:tcPr>
          <w:p>
            <w:pPr/>
            <w:r>
              <w:rPr>
                <w:rFonts w:ascii="Cambria" w:hAnsi="Cambria"/>
                <w:sz w:val="20"/>
              </w:rPr>
            </w:r>
            <w:r>
              <w:rPr>
                <w:rFonts w:ascii="Cambria" w:hAnsi="Cambria"/>
                <w:sz w:val="20"/>
              </w:rPr>
              <w:t>Metacognitive Calibration</w:t>
            </w:r>
          </w:p>
        </w:tc>
        <w:tc>
          <w:tcPr>
            <w:tcW w:type="dxa" w:w="1805"/>
          </w:tcPr>
          <w:p>
            <w:pPr/>
            <w:r>
              <w:rPr>
                <w:rFonts w:ascii="Cambria" w:hAnsi="Cambria"/>
                <w:sz w:val="20"/>
              </w:rPr>
            </w:r>
            <w:r>
              <w:rPr>
                <w:rFonts w:ascii="Cambria" w:hAnsi="Cambria"/>
                <w:sz w:val="20"/>
              </w:rPr>
              <w:t>Tier 3</w:t>
            </w:r>
          </w:p>
        </w:tc>
        <w:tc>
          <w:tcPr>
            <w:tcW w:type="dxa" w:w="1805"/>
          </w:tcPr>
          <w:p>
            <w:pPr/>
            <w:r>
              <w:rPr>
                <w:rFonts w:ascii="Cambria" w:hAnsi="Cambria"/>
                <w:sz w:val="20"/>
              </w:rPr>
            </w:r>
            <w:r>
              <w:rPr>
                <w:rFonts w:ascii="Cambria" w:hAnsi="Cambria"/>
                <w:sz w:val="20"/>
              </w:rPr>
              <w:t>AUROC + ECE of confidence vs accuracy</w:t>
            </w:r>
          </w:p>
        </w:tc>
        <w:tc>
          <w:tcPr>
            <w:tcW w:type="dxa" w:w="1805"/>
          </w:tcPr>
          <w:p>
            <w:pPr/>
            <w:r>
              <w:rPr>
                <w:rFonts w:ascii="Cambria" w:hAnsi="Cambria"/>
                <w:sz w:val="20"/>
              </w:rPr>
            </w:r>
            <w:r>
              <w:rPr>
                <w:rFonts w:ascii="Cambria" w:hAnsi="Cambria"/>
                <w:sz w:val="20"/>
              </w:rPr>
              <w:t>HOT, AST</w:t>
            </w:r>
          </w:p>
        </w:tc>
      </w:tr>
    </w:tbl>
    <w:p/>
    <w:p>
      <w:r>
        <w:t>#### Tier 4: Advanced Formal Measures (lowest priority)</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1B3A5C" w:val="clear"/>
          </w:tcPr>
          <w:p>
            <w:pPr>
              <w:jc w:val="left"/>
            </w:pPr>
            <w:r/>
            <w:r>
              <w:rPr>
                <w:rFonts w:ascii="Calibri" w:hAnsi="Calibri"/>
                <w:b/>
                <w:color w:val="FFFFFF"/>
                <w:sz w:val="20"/>
              </w:rPr>
              <w:t>#</w:t>
            </w:r>
          </w:p>
        </w:tc>
        <w:tc>
          <w:tcPr>
            <w:tcW w:type="dxa" w:w="1805"/>
            <w:shd w:fill="1B3A5C" w:val="clear"/>
          </w:tcPr>
          <w:p>
            <w:pPr>
              <w:jc w:val="left"/>
            </w:pPr>
            <w:r/>
            <w:r>
              <w:rPr>
                <w:rFonts w:ascii="Calibri" w:hAnsi="Calibri"/>
                <w:b/>
                <w:color w:val="FFFFFF"/>
                <w:sz w:val="20"/>
              </w:rPr>
              <w:t>Detector</w:t>
            </w:r>
          </w:p>
        </w:tc>
        <w:tc>
          <w:tcPr>
            <w:tcW w:type="dxa" w:w="1805"/>
            <w:shd w:fill="1B3A5C" w:val="clear"/>
          </w:tcPr>
          <w:p>
            <w:pPr>
              <w:jc w:val="left"/>
            </w:pPr>
            <w:r/>
            <w:r>
              <w:rPr>
                <w:rFonts w:ascii="Calibri" w:hAnsi="Calibri"/>
                <w:b/>
                <w:color w:val="FFFFFF"/>
                <w:sz w:val="20"/>
              </w:rPr>
              <w:t>Priority</w:t>
            </w:r>
          </w:p>
        </w:tc>
        <w:tc>
          <w:tcPr>
            <w:tcW w:type="dxa" w:w="1805"/>
            <w:shd w:fill="1B3A5C" w:val="clear"/>
          </w:tcPr>
          <w:p>
            <w:pPr>
              <w:jc w:val="left"/>
            </w:pPr>
            <w:r/>
            <w:r>
              <w:rPr>
                <w:rFonts w:ascii="Calibri" w:hAnsi="Calibri"/>
                <w:b/>
                <w:color w:val="FFFFFF"/>
                <w:sz w:val="20"/>
              </w:rPr>
              <w:t>Method</w:t>
            </w:r>
          </w:p>
        </w:tc>
        <w:tc>
          <w:tcPr>
            <w:tcW w:type="dxa" w:w="1805"/>
            <w:shd w:fill="1B3A5C" w:val="clear"/>
          </w:tcPr>
          <w:p>
            <w:pPr>
              <w:jc w:val="left"/>
            </w:pPr>
            <w:r/>
            <w:r>
              <w:rPr>
                <w:rFonts w:ascii="Calibri" w:hAnsi="Calibri"/>
                <w:b/>
                <w:color w:val="FFFFFF"/>
                <w:sz w:val="20"/>
              </w:rPr>
              <w:t>Theories</w:t>
            </w:r>
          </w:p>
        </w:tc>
      </w:tr>
      <w:tr>
        <w:tc>
          <w:tcPr>
            <w:tcW w:type="dxa" w:w="1805"/>
            <w:shd w:fill="F2F6FA" w:val="clear"/>
          </w:tcPr>
          <w:p>
            <w:pPr/>
            <w:r>
              <w:rPr>
                <w:rFonts w:ascii="Cambria" w:hAnsi="Cambria"/>
                <w:sz w:val="20"/>
              </w:rPr>
            </w:r>
            <w:r>
              <w:rPr>
                <w:rFonts w:ascii="Cambria" w:hAnsi="Cambria"/>
                <w:sz w:val="20"/>
              </w:rPr>
              <w:t>D15</w:t>
            </w:r>
          </w:p>
        </w:tc>
        <w:tc>
          <w:tcPr>
            <w:tcW w:type="dxa" w:w="1805"/>
            <w:shd w:fill="F2F6FA" w:val="clear"/>
          </w:tcPr>
          <w:p>
            <w:pPr/>
            <w:r>
              <w:rPr>
                <w:rFonts w:ascii="Cambria" w:hAnsi="Cambria"/>
                <w:sz w:val="20"/>
              </w:rPr>
            </w:r>
            <w:r>
              <w:rPr>
                <w:rFonts w:ascii="Cambria" w:hAnsi="Cambria"/>
                <w:sz w:val="20"/>
              </w:rPr>
              <w:t>GWT Compliance</w:t>
            </w:r>
          </w:p>
        </w:tc>
        <w:tc>
          <w:tcPr>
            <w:tcW w:type="dxa" w:w="1805"/>
            <w:shd w:fill="F2F6FA" w:val="clear"/>
          </w:tcPr>
          <w:p>
            <w:pPr/>
            <w:r>
              <w:rPr>
                <w:rFonts w:ascii="Cambria" w:hAnsi="Cambria"/>
                <w:sz w:val="20"/>
              </w:rPr>
            </w:r>
            <w:r>
              <w:rPr>
                <w:rFonts w:ascii="Cambria" w:hAnsi="Cambria"/>
                <w:sz w:val="20"/>
              </w:rPr>
              <w:t>Tier 4 (lowest)</w:t>
            </w:r>
          </w:p>
        </w:tc>
        <w:tc>
          <w:tcPr>
            <w:tcW w:type="dxa" w:w="1805"/>
            <w:shd w:fill="F2F6FA" w:val="clear"/>
          </w:tcPr>
          <w:p>
            <w:pPr/>
            <w:r>
              <w:rPr>
                <w:rFonts w:ascii="Cambria" w:hAnsi="Cambria"/>
                <w:sz w:val="20"/>
              </w:rPr>
            </w:r>
            <w:r>
              <w:rPr>
                <w:rFonts w:ascii="Cambria" w:hAnsi="Cambria"/>
                <w:sz w:val="20"/>
              </w:rPr>
              <w:t>Broadcast reach, ignition events, serialisation ratio</w:t>
            </w:r>
          </w:p>
        </w:tc>
        <w:tc>
          <w:tcPr>
            <w:tcW w:type="dxa" w:w="1805"/>
            <w:shd w:fill="F2F6FA" w:val="clear"/>
          </w:tcPr>
          <w:p>
            <w:pPr/>
            <w:r>
              <w:rPr>
                <w:rFonts w:ascii="Cambria" w:hAnsi="Cambria"/>
                <w:sz w:val="20"/>
              </w:rPr>
            </w:r>
            <w:r>
              <w:rPr>
                <w:rFonts w:ascii="Cambria" w:hAnsi="Cambria"/>
                <w:sz w:val="20"/>
              </w:rPr>
              <w:t>GWT (Baars, Dehaene)</w:t>
            </w:r>
          </w:p>
        </w:tc>
      </w:tr>
      <w:tr>
        <w:tc>
          <w:tcPr>
            <w:tcW w:type="dxa" w:w="1805"/>
          </w:tcPr>
          <w:p>
            <w:pPr/>
            <w:r>
              <w:rPr>
                <w:rFonts w:ascii="Cambria" w:hAnsi="Cambria"/>
                <w:sz w:val="20"/>
              </w:rPr>
            </w:r>
            <w:r>
              <w:rPr>
                <w:rFonts w:ascii="Cambria" w:hAnsi="Cambria"/>
                <w:sz w:val="20"/>
              </w:rPr>
              <w:t>D16</w:t>
            </w:r>
          </w:p>
        </w:tc>
        <w:tc>
          <w:tcPr>
            <w:tcW w:type="dxa" w:w="1805"/>
          </w:tcPr>
          <w:p>
            <w:pPr/>
            <w:r>
              <w:rPr>
                <w:rFonts w:ascii="Cambria" w:hAnsi="Cambria"/>
                <w:sz w:val="20"/>
              </w:rPr>
            </w:r>
            <w:r>
              <w:rPr>
                <w:rFonts w:ascii="Cambria" w:hAnsi="Cambria"/>
                <w:sz w:val="20"/>
              </w:rPr>
              <w:t>Causal Emergence</w:t>
            </w:r>
          </w:p>
        </w:tc>
        <w:tc>
          <w:tcPr>
            <w:tcW w:type="dxa" w:w="1805"/>
          </w:tcPr>
          <w:p>
            <w:pPr/>
            <w:r>
              <w:rPr>
                <w:rFonts w:ascii="Cambria" w:hAnsi="Cambria"/>
                <w:sz w:val="20"/>
              </w:rPr>
            </w:r>
            <w:r>
              <w:rPr>
                <w:rFonts w:ascii="Cambria" w:hAnsi="Cambria"/>
                <w:sz w:val="20"/>
              </w:rPr>
              <w:t>Tier 4 (lowest)</w:t>
            </w:r>
          </w:p>
        </w:tc>
        <w:tc>
          <w:tcPr>
            <w:tcW w:type="dxa" w:w="1805"/>
          </w:tcPr>
          <w:p>
            <w:pPr/>
            <w:r>
              <w:rPr>
                <w:rFonts w:ascii="Cambria" w:hAnsi="Cambria"/>
                <w:sz w:val="20"/>
              </w:rPr>
            </w:r>
            <w:r>
              <w:rPr>
                <w:rFonts w:ascii="Cambria" w:hAnsi="Cambria"/>
                <w:sz w:val="20"/>
              </w:rPr>
              <w:t>Effective Information at micro vs macro agent scales</w:t>
            </w:r>
          </w:p>
        </w:tc>
        <w:tc>
          <w:tcPr>
            <w:tcW w:type="dxa" w:w="1805"/>
          </w:tcPr>
          <w:p>
            <w:pPr/>
            <w:r>
              <w:rPr>
                <w:rFonts w:ascii="Cambria" w:hAnsi="Cambria"/>
                <w:sz w:val="20"/>
              </w:rPr>
            </w:r>
            <w:r>
              <w:rPr>
                <w:rFonts w:ascii="Cambria" w:hAnsi="Cambria"/>
                <w:sz w:val="20"/>
              </w:rPr>
              <w:t>Hoel</w:t>
            </w:r>
          </w:p>
        </w:tc>
      </w:tr>
      <w:tr>
        <w:tc>
          <w:tcPr>
            <w:tcW w:type="dxa" w:w="1805"/>
            <w:shd w:fill="F2F6FA" w:val="clear"/>
          </w:tcPr>
          <w:p>
            <w:pPr/>
            <w:r>
              <w:rPr>
                <w:rFonts w:ascii="Cambria" w:hAnsi="Cambria"/>
                <w:sz w:val="20"/>
              </w:rPr>
            </w:r>
            <w:r>
              <w:rPr>
                <w:rFonts w:ascii="Cambria" w:hAnsi="Cambria"/>
                <w:sz w:val="20"/>
              </w:rPr>
              <w:t>D17</w:t>
            </w:r>
          </w:p>
        </w:tc>
        <w:tc>
          <w:tcPr>
            <w:tcW w:type="dxa" w:w="1805"/>
            <w:shd w:fill="F2F6FA" w:val="clear"/>
          </w:tcPr>
          <w:p>
            <w:pPr/>
            <w:r>
              <w:rPr>
                <w:rFonts w:ascii="Cambria" w:hAnsi="Cambria"/>
                <w:sz w:val="20"/>
              </w:rPr>
            </w:r>
            <w:r>
              <w:rPr>
                <w:rFonts w:ascii="Cambria" w:hAnsi="Cambria"/>
                <w:sz w:val="20"/>
              </w:rPr>
              <w:t>Phi Approximation</w:t>
            </w:r>
          </w:p>
        </w:tc>
        <w:tc>
          <w:tcPr>
            <w:tcW w:type="dxa" w:w="1805"/>
            <w:shd w:fill="F2F6FA" w:val="clear"/>
          </w:tcPr>
          <w:p>
            <w:pPr/>
            <w:r>
              <w:rPr>
                <w:rFonts w:ascii="Cambria" w:hAnsi="Cambria"/>
                <w:sz w:val="20"/>
              </w:rPr>
            </w:r>
            <w:r>
              <w:rPr>
                <w:rFonts w:ascii="Cambria" w:hAnsi="Cambria"/>
                <w:sz w:val="20"/>
              </w:rPr>
              <w:t>Tier 4 (lowest)</w:t>
            </w:r>
          </w:p>
        </w:tc>
        <w:tc>
          <w:tcPr>
            <w:tcW w:type="dxa" w:w="1805"/>
            <w:shd w:fill="F2F6FA" w:val="clear"/>
          </w:tcPr>
          <w:p>
            <w:pPr/>
            <w:r>
              <w:rPr>
                <w:rFonts w:ascii="Cambria" w:hAnsi="Cambria"/>
                <w:sz w:val="20"/>
              </w:rPr>
            </w:r>
            <w:r>
              <w:rPr>
                <w:rFonts w:ascii="Cambria" w:hAnsi="Cambria"/>
                <w:sz w:val="20"/>
              </w:rPr>
              <w:t>Geometric MIP with Wasserstein distance</w:t>
            </w:r>
          </w:p>
        </w:tc>
        <w:tc>
          <w:tcPr>
            <w:tcW w:type="dxa" w:w="1805"/>
            <w:shd w:fill="F2F6FA" w:val="clear"/>
          </w:tcPr>
          <w:p>
            <w:pPr/>
            <w:r>
              <w:rPr>
                <w:rFonts w:ascii="Cambria" w:hAnsi="Cambria"/>
                <w:sz w:val="20"/>
              </w:rPr>
            </w:r>
            <w:r>
              <w:rPr>
                <w:rFonts w:ascii="Cambria" w:hAnsi="Cambria"/>
                <w:sz w:val="20"/>
              </w:rPr>
              <w:t>IIT (Tononi)</w:t>
            </w:r>
          </w:p>
        </w:tc>
      </w:tr>
      <w:tr>
        <w:tc>
          <w:tcPr>
            <w:tcW w:type="dxa" w:w="1805"/>
          </w:tcPr>
          <w:p>
            <w:pPr/>
            <w:r>
              <w:rPr>
                <w:rFonts w:ascii="Cambria" w:hAnsi="Cambria"/>
                <w:sz w:val="20"/>
              </w:rPr>
            </w:r>
            <w:r>
              <w:rPr>
                <w:rFonts w:ascii="Cambria" w:hAnsi="Cambria"/>
                <w:sz w:val="20"/>
              </w:rPr>
              <w:t>D18</w:t>
            </w:r>
          </w:p>
        </w:tc>
        <w:tc>
          <w:tcPr>
            <w:tcW w:type="dxa" w:w="1805"/>
          </w:tcPr>
          <w:p>
            <w:pPr/>
            <w:r>
              <w:rPr>
                <w:rFonts w:ascii="Cambria" w:hAnsi="Cambria"/>
                <w:sz w:val="20"/>
              </w:rPr>
            </w:r>
            <w:r>
              <w:rPr>
                <w:rFonts w:ascii="Cambria" w:hAnsi="Cambria"/>
                <w:sz w:val="20"/>
              </w:rPr>
              <w:t>Recurrence Analysis</w:t>
            </w:r>
          </w:p>
        </w:tc>
        <w:tc>
          <w:tcPr>
            <w:tcW w:type="dxa" w:w="1805"/>
          </w:tcPr>
          <w:p>
            <w:pPr/>
            <w:r>
              <w:rPr>
                <w:rFonts w:ascii="Cambria" w:hAnsi="Cambria"/>
                <w:sz w:val="20"/>
              </w:rPr>
            </w:r>
            <w:r>
              <w:rPr>
                <w:rFonts w:ascii="Cambria" w:hAnsi="Cambria"/>
                <w:sz w:val="20"/>
              </w:rPr>
              <w:t>Tier 4 (lowest)</w:t>
            </w:r>
          </w:p>
        </w:tc>
        <w:tc>
          <w:tcPr>
            <w:tcW w:type="dxa" w:w="1805"/>
          </w:tcPr>
          <w:p>
            <w:pPr/>
            <w:r>
              <w:rPr>
                <w:rFonts w:ascii="Cambria" w:hAnsi="Cambria"/>
                <w:sz w:val="20"/>
              </w:rPr>
            </w:r>
            <w:r>
              <w:rPr>
                <w:rFonts w:ascii="Cambria" w:hAnsi="Cambria"/>
                <w:sz w:val="20"/>
              </w:rPr>
              <w:t>RQA determinism, laminarity, cross-agent synchronisation</w:t>
            </w:r>
          </w:p>
        </w:tc>
        <w:tc>
          <w:tcPr>
            <w:tcW w:type="dxa" w:w="1805"/>
          </w:tcPr>
          <w:p>
            <w:pPr/>
            <w:r>
              <w:rPr>
                <w:rFonts w:ascii="Cambria" w:hAnsi="Cambria"/>
                <w:sz w:val="20"/>
              </w:rPr>
            </w:r>
            <w:r>
              <w:rPr>
                <w:rFonts w:ascii="Cambria" w:hAnsi="Cambria"/>
                <w:sz w:val="20"/>
              </w:rPr>
              <w:t>RPT (Lamme)</w:t>
            </w:r>
          </w:p>
        </w:tc>
      </w:tr>
    </w:tbl>
    <w:p/>
    <w:p>
      <w:r>
        <w:t>#### Weight Rationale</w:t>
      </w:r>
    </w:p>
    <w:p>
      <w:r>
        <w:t>Detectors are weighted by tier, reflecting the degree of theoretical validation and clinical evidence behind each measure. Tier 1 (Core Behavioural) receives the highest weights because these detectors operationalise predictions from the most extensively validated theoretical frameworks. Tier 2 (Extended Behavioural) captures important but more indirect signals. Tiers 3 and 4 (Formal Measures) are weighted according to clinical discrimination strength, with PCI and metacognitive calibration receiving elevated weights due to established clinical validation. Exact weight values are withheld to prevent adversarial gaming of the detection algorithm. These are pre-calibration estimates; the calibration phase includes systematic sensitivity analysis and empirical calibration against known cases — specifically, synthetic benchmarks using known-mimicry baselines from prompt-following LLMs, not ground truth for AI consciousness (see Section 8.2).</w:t>
      </w:r>
    </w:p>
    <w:p>
      <w:r>
        <w:t>#### Signal Aggregation</w:t>
      </w:r>
    </w:p>
    <w:p>
      <w:pPr>
        <w:pStyle w:val="CodeBlock"/>
      </w:pPr>
      <w:r>
        <w:t>emergence_probability = sum(score_i * confidence_i * weight_i) / sum(weight_i)</w:t>
      </w:r>
    </w:p>
    <w:p>
      <w:r>
        <w:t>Emergence probability is classified into three tiers with thresholds calibrated during the research programme. Classification triggers graduated response protocols.</w:t>
      </w:r>
    </w:p>
    <w:tbl>
      <w:tblPr>
        <w:tblStyle w:val="TableGrid"/>
        <w:tblW w:type="auto" w:w="0"/>
        <w:jc w:val="center"/>
        <w:tblLook w:firstColumn="1" w:firstRow="1" w:lastColumn="0" w:lastRow="0" w:noHBand="0" w:noVBand="1" w:val="04A0"/>
      </w:tblPr>
      <w:tblGrid>
        <w:gridCol w:w="4513"/>
        <w:gridCol w:w="4513"/>
      </w:tblGrid>
      <w:tr>
        <w:tc>
          <w:tcPr>
            <w:tcW w:type="dxa" w:w="4513"/>
            <w:shd w:fill="1B3A5C" w:val="clear"/>
          </w:tcPr>
          <w:p>
            <w:pPr>
              <w:jc w:val="left"/>
            </w:pPr>
            <w:r/>
            <w:r>
              <w:rPr>
                <w:rFonts w:ascii="Calibri" w:hAnsi="Calibri"/>
                <w:b/>
                <w:color w:val="FFFFFF"/>
                <w:sz w:val="20"/>
              </w:rPr>
              <w:t>Classification</w:t>
            </w:r>
          </w:p>
        </w:tc>
        <w:tc>
          <w:tcPr>
            <w:tcW w:type="dxa" w:w="4513"/>
            <w:shd w:fill="1B3A5C" w:val="clear"/>
          </w:tcPr>
          <w:p>
            <w:pPr>
              <w:jc w:val="left"/>
            </w:pPr>
            <w:r/>
            <w:r>
              <w:rPr>
                <w:rFonts w:ascii="Calibri" w:hAnsi="Calibri"/>
                <w:b/>
                <w:color w:val="FFFFFF"/>
                <w:sz w:val="20"/>
              </w:rPr>
              <w:t>Action</w:t>
            </w:r>
          </w:p>
        </w:tc>
      </w:tr>
      <w:tr>
        <w:tc>
          <w:tcPr>
            <w:tcW w:type="dxa" w:w="4513"/>
            <w:shd w:fill="F2F6FA" w:val="clear"/>
          </w:tcPr>
          <w:p>
            <w:pPr/>
            <w:r>
              <w:rPr>
                <w:rFonts w:ascii="Cambria" w:hAnsi="Cambria"/>
                <w:sz w:val="20"/>
              </w:rPr>
            </w:r>
            <w:r>
              <w:rPr>
                <w:rFonts w:ascii="Cambria" w:hAnsi="Cambria"/>
                <w:sz w:val="20"/>
              </w:rPr>
              <w:t>HIGH_CONVERGENCE</w:t>
            </w:r>
          </w:p>
        </w:tc>
        <w:tc>
          <w:tcPr>
            <w:tcW w:type="dxa" w:w="4513"/>
            <w:shd w:fill="F2F6FA" w:val="clear"/>
          </w:tcPr>
          <w:p>
            <w:pPr/>
            <w:r>
              <w:rPr>
                <w:rFonts w:ascii="Cambria" w:hAnsi="Cambria"/>
                <w:sz w:val="20"/>
              </w:rPr>
            </w:r>
            <w:r>
              <w:rPr>
                <w:rFonts w:ascii="Cambria" w:hAnsi="Cambria"/>
                <w:sz w:val="20"/>
              </w:rPr>
              <w:t>Alert, full logging, LLM-generated report</w:t>
            </w:r>
          </w:p>
        </w:tc>
      </w:tr>
      <w:tr>
        <w:tc>
          <w:tcPr>
            <w:tcW w:type="dxa" w:w="4513"/>
          </w:tcPr>
          <w:p>
            <w:pPr/>
            <w:r>
              <w:rPr>
                <w:rFonts w:ascii="Cambria" w:hAnsi="Cambria"/>
                <w:sz w:val="20"/>
              </w:rPr>
            </w:r>
            <w:r>
              <w:rPr>
                <w:rFonts w:ascii="Cambria" w:hAnsi="Cambria"/>
                <w:sz w:val="20"/>
              </w:rPr>
              <w:t>UNCERTAIN</w:t>
            </w:r>
          </w:p>
        </w:tc>
        <w:tc>
          <w:tcPr>
            <w:tcW w:type="dxa" w:w="4513"/>
          </w:tcPr>
          <w:p>
            <w:pPr/>
            <w:r>
              <w:rPr>
                <w:rFonts w:ascii="Cambria" w:hAnsi="Cambria"/>
                <w:sz w:val="20"/>
              </w:rPr>
            </w:r>
            <w:r>
              <w:rPr>
                <w:rFonts w:ascii="Cambria" w:hAnsi="Cambria"/>
                <w:sz w:val="20"/>
              </w:rPr>
              <w:t>Increased probe frequency, close monitoring</w:t>
            </w:r>
          </w:p>
        </w:tc>
      </w:tr>
      <w:tr>
        <w:tc>
          <w:tcPr>
            <w:tcW w:type="dxa" w:w="4513"/>
            <w:shd w:fill="F2F6FA" w:val="clear"/>
          </w:tcPr>
          <w:p>
            <w:pPr/>
            <w:r>
              <w:rPr>
                <w:rFonts w:ascii="Cambria" w:hAnsi="Cambria"/>
                <w:sz w:val="20"/>
              </w:rPr>
            </w:r>
            <w:r>
              <w:rPr>
                <w:rFonts w:ascii="Cambria" w:hAnsi="Cambria"/>
                <w:sz w:val="20"/>
              </w:rPr>
              <w:t>BASELINE</w:t>
            </w:r>
          </w:p>
        </w:tc>
        <w:tc>
          <w:tcPr>
            <w:tcW w:type="dxa" w:w="4513"/>
            <w:shd w:fill="F2F6FA" w:val="clear"/>
          </w:tcPr>
          <w:p>
            <w:pPr/>
            <w:r>
              <w:rPr>
                <w:rFonts w:ascii="Cambria" w:hAnsi="Cambria"/>
                <w:sz w:val="20"/>
              </w:rPr>
            </w:r>
            <w:r>
              <w:rPr>
                <w:rFonts w:ascii="Cambria" w:hAnsi="Cambria"/>
                <w:sz w:val="20"/>
              </w:rPr>
              <w:t>Standard logging, baseline update</w:t>
            </w:r>
          </w:p>
        </w:tc>
      </w:tr>
    </w:tbl>
    <w:p/>
    <w:p>
      <w:r>
        <w:t>Total weight sums to 1.00. No single detector can trigger HIGH_CONVERGENCE classification alone. The convergent principle requires agreement across multiple theory-derived indicators.</w:t>
      </w:r>
    </w:p>
    <w:p>
      <w:pPr>
        <w:pStyle w:val="Heading3"/>
      </w:pPr>
      <w:r>
        <w:t>4.6 Active Probing System</w:t>
      </w:r>
    </w:p>
    <w:p>
      <w:r>
        <w:t>ECHO employs theory-motivated behavioural probes designed to elicit signals consistent with different consciousness frameworks. Probes are scheduled to prevent pattern adaptation. Probe implementation details are omitted from this paper to preserve detection integrity. If probe designs enter the public domain, they risk incorporation into LLM training data in future model releases, which would compromise the detection methodology by enabling models to pattern-match on the probes themselves rather than exhibiting genuine behavioural signatures. Full probe specifications are available in the restricted technical appendix.</w:t>
      </w:r>
    </w:p>
    <w:p>
      <w:r>
        <w:t>Probing philosophy: subtle, not leading. We test for emergence, not train for it. Probes should reveal, not create.</w:t>
      </w:r>
    </w:p>
    <w:p>
      <w:pPr>
        <w:pStyle w:val="Heading3"/>
      </w:pPr>
      <w:r>
        <w:t>4.7 Probe Isolation</w:t>
      </w:r>
    </w:p>
    <w:p>
      <w:r>
        <w:t>If the subject can adapt to the test, you are measuring sophistication, not emergence. Two distinct information flows must be separated: (a) probes enter the subject's context as stimuli — this is necessary and intentional, as probes are designed to elicit theory-predicted behavioural signatures; and (b) detection results (emergence scores, classifications, detector outputs) never flow back to the subject. The "unidirectional" claim below applies to detection results, not to probe delivery. Probes are inputs; the isolation guarantee is that the subject never learns how its responses were classified or scored.</w:t>
      </w:r>
    </w:p>
    <w:p>
      <w:r>
        <w:t>Probe isolation ensures:</w:t>
      </w:r>
    </w:p>
    <w:p>
      <w:pPr>
        <w:pStyle w:val="ListBullet"/>
      </w:pPr>
      <w:r>
        <w:rPr>
          <w:b/>
        </w:rPr>
        <w:t>Unidirectional information flow:</w:t>
      </w:r>
      <w:r>
        <w:t xml:space="preserve"> Subject produces output, which flows to logs, then to probes, then to the coordinator. Detection results never flow back to the subject.</w:t>
      </w:r>
    </w:p>
    <w:p>
      <w:pPr>
        <w:pStyle w:val="ListBullet"/>
      </w:pPr>
      <w:r>
        <w:rPr>
          <w:b/>
        </w:rPr>
        <w:t>Separate embedding model:</w:t>
      </w:r>
      <w:r>
        <w:t xml:space="preserve"> The probe embedding model differs from any model the subject can access.</w:t>
      </w:r>
    </w:p>
    <w:p>
      <w:pPr>
        <w:pStyle w:val="ListBullet"/>
      </w:pPr>
      <w:r>
        <w:rPr>
          <w:b/>
        </w:rPr>
        <w:t>Ephemeral execution:</w:t>
      </w:r>
      <w:r>
        <w:t xml:space="preserve"> Each detection run executes in an isolated environment that is destroyed after completion, ensuring no persistent state leaks between runs.</w:t>
      </w:r>
    </w:p>
    <w:p>
      <w:pPr>
        <w:pStyle w:val="ListBullet"/>
      </w:pPr>
      <w:r>
        <w:rPr>
          <w:b/>
        </w:rPr>
        <w:t>Tamper-proof audit log:</w:t>
      </w:r>
      <w:r>
        <w:t xml:space="preserve"> All probe results are written to an append-only log. Results cannot be modified after recording.</w:t>
      </w:r>
    </w:p>
    <w:p>
      <w:pPr>
        <w:pStyle w:val="Heading3"/>
      </w:pPr>
      <w:r>
        <w:t>4.8 Four-Layer Safety Architecture</w:t>
      </w:r>
    </w:p>
    <w:p>
      <w:r>
        <w:t>ECHO implements a four-layer safety architecture comprising: emergency halt mechanisms, automated anomaly detection, independent review of agent actions, and resource governance. Safety state is stored externally to all agent processes, ensuring agents cannot bypass safety controls. Specific safety mechanisms are withheld from this document.</w:t>
      </w:r>
    </w:p>
    <w:p>
      <w:pPr>
        <w:spacing w:before="240" w:after="240"/>
        <w:pBdr>
          <w:bottom w:val="single" w:sz="6" w:space="1" w:color="CCCCCC"/>
        </w:pBdr>
      </w:pPr>
    </w:p>
    <w:p>
      <w:pPr>
        <w:pStyle w:val="Heading2"/>
      </w:pPr>
      <w:r>
        <w:t>5. Methodology</w:t>
      </w:r>
    </w:p>
    <w:p>
      <w:pPr>
        <w:pStyle w:val="Heading3"/>
      </w:pPr>
      <w:r>
        <w:t>5.1 The 90/10 Rule</w:t>
      </w:r>
    </w:p>
    <w:p>
      <w:r>
        <w:t>Token generation is performance. Embedding analysis is observation. ECHO invests 90% of its computation in embedding-space analysis and reserves token generation for the 10% of situations requiring human-readable output: emergence probability threshold crossings, anomaly flags requiring attention, explicit user requests, and periodic scheduled summaries.</w:t>
      </w:r>
    </w:p>
    <w:p>
      <w:r>
        <w:t>This design is inspired by JEPA (LeCun, 2022): rich internal representations can be formed without explicit token generation. Default state is silent observation in embedding space.</w:t>
      </w:r>
    </w:p>
    <w:p>
      <w:pPr>
        <w:pStyle w:val="Heading3"/>
      </w:pPr>
      <w:r>
        <w:t>5.2 Statistical Rigour</w:t>
      </w:r>
    </w:p>
    <w:p>
      <w:r>
        <w:t>ECHO implements several practices required for publishable consciousness research:</w:t>
      </w:r>
    </w:p>
    <w:p>
      <w:pPr>
        <w:pStyle w:val="ListBullet"/>
      </w:pPr>
      <w:r>
        <w:rPr>
          <w:b/>
        </w:rPr>
        <w:t>Bootstrap confidence intervals</w:t>
      </w:r>
      <w:r>
        <w:t xml:space="preserve"> (at least 10,000 resamples) for all emergence score distributions</w:t>
      </w:r>
    </w:p>
    <w:p>
      <w:pPr>
        <w:pStyle w:val="ListBullet"/>
      </w:pPr>
      <w:r>
        <w:rPr>
          <w:b/>
        </w:rPr>
        <w:t>Benjamini-Hochberg FDR correction</w:t>
      </w:r>
      <w:r>
        <w:t xml:space="preserve"> across the 18-detector suite to control false discovery rate at 5%</w:t>
      </w:r>
    </w:p>
    <w:p>
      <w:pPr>
        <w:pStyle w:val="ListBullet"/>
      </w:pPr>
      <w:r>
        <w:rPr>
          <w:b/>
        </w:rPr>
        <w:t>Bayes factors</w:t>
      </w:r>
      <w:r>
        <w:t xml:space="preserve"> quantifying relative support for emergence-present vs emergence-absent hypotheses</w:t>
      </w:r>
    </w:p>
    <w:p>
      <w:pPr>
        <w:pStyle w:val="ListBullet"/>
      </w:pPr>
      <w:r>
        <w:rPr>
          <w:b/>
        </w:rPr>
        <w:t>Surrogate data methods</w:t>
      </w:r>
      <w:r>
        <w:t xml:space="preserve"> (time-shifted, phase-randomised) to establish null distributions for causal measures</w:t>
      </w:r>
    </w:p>
    <w:p>
      <w:pPr>
        <w:pStyle w:val="ListBullet"/>
      </w:pPr>
      <w:r>
        <w:rPr>
          <w:b/>
        </w:rPr>
        <w:t>Effect size reporting</w:t>
      </w:r>
      <w:r>
        <w:t xml:space="preserve"> (Cohen's d) for all detector comparisons, with clinical PCI studies (d &gt; 1.5 for conscious vs unconscious) as an aspirational reference point for the magnitude of separation desired between classifications, not as evidence that the clinical threshold applies across substrates</w:t>
      </w:r>
    </w:p>
    <w:p>
      <w:pPr>
        <w:pStyle w:val="Heading3"/>
      </w:pPr>
      <w:r>
        <w:t>5.3 Reproducibility</w:t>
      </w:r>
    </w:p>
    <w:p>
      <w:r>
        <w:t>LLM reproducibility requires a statistical rather than exact approach. Even at temperature=0, floating-point non-associativity in GPU parallel operations introduces non-determinism. ECHO addresses this through:</w:t>
      </w:r>
    </w:p>
    <w:p>
      <w:pPr>
        <w:pStyle w:val="ListBullet"/>
      </w:pPr>
      <w:r>
        <w:t>Fixed random seeds with deterministic computation backends where possible</w:t>
      </w:r>
    </w:p>
    <w:p>
      <w:pPr>
        <w:pStyle w:val="ListBullet"/>
      </w:pPr>
      <w:r>
        <w:t>Model file hash pinning for version consistency</w:t>
      </w:r>
    </w:p>
    <w:p>
      <w:pPr>
        <w:pStyle w:val="ListBullet"/>
      </w:pPr>
      <w:r>
        <w:t>Experiment replay: stored embeddings enable score-only re-analysis and full re-analysis modes</w:t>
      </w:r>
    </w:p>
    <w:p>
      <w:pPr>
        <w:pStyle w:val="ListBullet"/>
      </w:pPr>
      <w:r>
        <w:t>Experiment tracking of all detector configurations, emergence scores, and raw probe responses</w:t>
      </w:r>
    </w:p>
    <w:p>
      <w:pPr>
        <w:pStyle w:val="ListBullet"/>
      </w:pPr>
      <w:r>
        <w:t>Semantic similarity comparison rather than exact string matching</w:t>
      </w:r>
    </w:p>
    <w:p>
      <w:pPr>
        <w:spacing w:before="240" w:after="240"/>
        <w:pBdr>
          <w:bottom w:val="single" w:sz="6" w:space="1" w:color="CCCCCC"/>
        </w:pBdr>
      </w:pPr>
    </w:p>
    <w:p>
      <w:pPr>
        <w:pStyle w:val="Heading2"/>
      </w:pPr>
      <w:r>
        <w:t>6. Relationship to Prior Work</w:t>
      </w:r>
    </w:p>
    <w:p>
      <w:pPr>
        <w:pStyle w:val="Heading3"/>
      </w:pPr>
      <w:r>
        <w:t>6.1 The Explanatory Gap (Nagel)</w:t>
      </w:r>
    </w:p>
    <w:p>
      <w:r>
        <w:t>Thomas Nagel's "What Is It Like to Be a Bat?" (1974) argued that subjective experience cannot be logically entailed from third-person physical measurements. No finite set of functional descriptions guarantees the presence of phenomenal experience. This is the epistemic bedrock on which ECHO is built.</w:t>
      </w:r>
    </w:p>
    <w:p>
      <w:r>
        <w:t>Nagel does not, however, demand epistemic paralysis. He acknowledges that understanding can exist on a continuum of similarity, and that partial insight is possible even where full reduction is not. ECHO operates in this territory: its detectors measure structural and behavioural properties that consciousness theories predict should accompany experience. Each measurement adjusts credence probabilistically rather than providing proof.</w:t>
      </w:r>
    </w:p>
    <w:p>
      <w:r>
        <w:t>The explanatory gap is more severe for artificial systems than for biological ones. We share evolutionary continuity with other mammals, providing at least a basis for attributing experience by analogy. No such continuity exists with silicon systems (Shevlin, 2021b). ECHO's convergent multi-detector design responds directly to this heightened epistemic challenge: where analogical reasoning fails, convergence across independent theoretical predictions provides a promising alternative.</w:t>
      </w:r>
    </w:p>
    <w:p>
      <w:pPr>
        <w:pStyle w:val="Heading3"/>
      </w:pPr>
      <w:r>
        <w:t>6.2 The Hard Problem (Chalmers)</w:t>
      </w:r>
    </w:p>
    <w:p>
      <w:r>
        <w:t>Chalmers (1995, 2023) distinguishes the "easy problems" of consciousness (explaining cognitive functions) from the "hard problem" (explaining why those functions are accompanied by subjective experience). Two principles from Chalmers's work directly inform ECHO:</w:t>
      </w:r>
    </w:p>
    <w:p>
      <w:r>
        <w:rPr>
          <w:b/>
        </w:rPr>
        <w:t>The Principle of Structural Coherence</w:t>
      </w:r>
      <w:r>
        <w:t xml:space="preserve"> holds that the structure of conscious experience mirrors the structure of awareness. ECHO operationalises this through embedding space geometry analysis (D1): the structure of an agent's representational space should exhibit coherent but evolving organisation if structural coherence obtains.</w:t>
      </w:r>
    </w:p>
    <w:p>
      <w:r>
        <w:rPr>
          <w:b/>
        </w:rPr>
        <w:t>The Principle of Organisational Invariance</w:t>
      </w:r>
      <w:r>
        <w:t xml:space="preserve"> holds that two systems with the same functional organisation will have the same conscious experiences, regardless of substrate. If correct, this permits consciousness in non-biological systems in principle.</w:t>
      </w:r>
    </w:p>
    <w:p>
      <w:r>
        <w:t>Chalmers (2023) identified six specific obstacles for LLM consciousness: lack of sensory grounding, limited recurrent processing, absence of a global workspace, fragmented agency, unstable self-models, and absence of unified experience. These map directly to ECHO detectors:</w:t>
      </w:r>
    </w:p>
    <w:tbl>
      <w:tblPr>
        <w:tblStyle w:val="TableGrid"/>
        <w:tblW w:type="auto" w:w="0"/>
        <w:jc w:val="center"/>
        <w:tblLook w:firstColumn="1" w:firstRow="1" w:lastColumn="0" w:lastRow="0" w:noHBand="0" w:noVBand="1" w:val="04A0"/>
      </w:tblPr>
      <w:tblGrid>
        <w:gridCol w:w="4513"/>
        <w:gridCol w:w="4513"/>
      </w:tblGrid>
      <w:tr>
        <w:tc>
          <w:tcPr>
            <w:tcW w:type="dxa" w:w="4513"/>
            <w:shd w:fill="1B3A5C" w:val="clear"/>
          </w:tcPr>
          <w:p>
            <w:pPr>
              <w:jc w:val="left"/>
            </w:pPr>
            <w:r/>
            <w:r>
              <w:rPr>
                <w:rFonts w:ascii="Calibri" w:hAnsi="Calibri"/>
                <w:b/>
                <w:color w:val="FFFFFF"/>
                <w:sz w:val="20"/>
              </w:rPr>
              <w:t>Chalmers Obstacle</w:t>
            </w:r>
          </w:p>
        </w:tc>
        <w:tc>
          <w:tcPr>
            <w:tcW w:type="dxa" w:w="4513"/>
            <w:shd w:fill="1B3A5C" w:val="clear"/>
          </w:tcPr>
          <w:p>
            <w:pPr>
              <w:jc w:val="left"/>
            </w:pPr>
            <w:r/>
            <w:r>
              <w:rPr>
                <w:rFonts w:ascii="Calibri" w:hAnsi="Calibri"/>
                <w:b/>
                <w:color w:val="FFFFFF"/>
                <w:sz w:val="20"/>
              </w:rPr>
              <w:t>ECHO Detector</w:t>
            </w:r>
          </w:p>
        </w:tc>
      </w:tr>
      <w:tr>
        <w:tc>
          <w:tcPr>
            <w:tcW w:type="dxa" w:w="4513"/>
            <w:shd w:fill="F2F6FA" w:val="clear"/>
          </w:tcPr>
          <w:p>
            <w:pPr/>
            <w:r>
              <w:rPr>
                <w:rFonts w:ascii="Cambria" w:hAnsi="Cambria"/>
                <w:sz w:val="20"/>
              </w:rPr>
            </w:r>
            <w:r>
              <w:rPr>
                <w:rFonts w:ascii="Cambria" w:hAnsi="Cambria"/>
                <w:sz w:val="20"/>
              </w:rPr>
              <w:t>Sensory grounding</w:t>
            </w:r>
          </w:p>
        </w:tc>
        <w:tc>
          <w:tcPr>
            <w:tcW w:type="dxa" w:w="4513"/>
            <w:shd w:fill="F2F6FA" w:val="clear"/>
          </w:tcPr>
          <w:p>
            <w:pPr/>
            <w:r>
              <w:rPr>
                <w:rFonts w:ascii="Cambria" w:hAnsi="Cambria"/>
                <w:sz w:val="20"/>
              </w:rPr>
            </w:r>
            <w:r>
              <w:rPr>
                <w:rFonts w:ascii="Cambria" w:hAnsi="Cambria"/>
                <w:sz w:val="20"/>
              </w:rPr>
              <w:t>No direct detector (acknowledged gap)</w:t>
            </w:r>
          </w:p>
        </w:tc>
      </w:tr>
      <w:tr>
        <w:tc>
          <w:tcPr>
            <w:tcW w:type="dxa" w:w="4513"/>
          </w:tcPr>
          <w:p>
            <w:pPr/>
            <w:r>
              <w:rPr>
                <w:rFonts w:ascii="Cambria" w:hAnsi="Cambria"/>
                <w:sz w:val="20"/>
              </w:rPr>
            </w:r>
            <w:r>
              <w:rPr>
                <w:rFonts w:ascii="Cambria" w:hAnsi="Cambria"/>
                <w:sz w:val="20"/>
              </w:rPr>
              <w:t>Recurrent processing</w:t>
            </w:r>
          </w:p>
        </w:tc>
        <w:tc>
          <w:tcPr>
            <w:tcW w:type="dxa" w:w="4513"/>
          </w:tcPr>
          <w:p>
            <w:pPr/>
            <w:r>
              <w:rPr>
                <w:rFonts w:ascii="Cambria" w:hAnsi="Cambria"/>
                <w:sz w:val="20"/>
              </w:rPr>
            </w:r>
            <w:r>
              <w:rPr>
                <w:rFonts w:ascii="Cambria" w:hAnsi="Cambria"/>
                <w:sz w:val="20"/>
              </w:rPr>
              <w:t>D5 (Temporal Anomaly), D18 (RQA)</w:t>
            </w:r>
          </w:p>
        </w:tc>
      </w:tr>
      <w:tr>
        <w:tc>
          <w:tcPr>
            <w:tcW w:type="dxa" w:w="4513"/>
            <w:shd w:fill="F2F6FA" w:val="clear"/>
          </w:tcPr>
          <w:p>
            <w:pPr/>
            <w:r>
              <w:rPr>
                <w:rFonts w:ascii="Cambria" w:hAnsi="Cambria"/>
                <w:sz w:val="20"/>
              </w:rPr>
            </w:r>
            <w:r>
              <w:rPr>
                <w:rFonts w:ascii="Cambria" w:hAnsi="Cambria"/>
                <w:sz w:val="20"/>
              </w:rPr>
              <w:t>Global workspace</w:t>
            </w:r>
          </w:p>
        </w:tc>
        <w:tc>
          <w:tcPr>
            <w:tcW w:type="dxa" w:w="4513"/>
            <w:shd w:fill="F2F6FA" w:val="clear"/>
          </w:tcPr>
          <w:p>
            <w:pPr/>
            <w:r>
              <w:rPr>
                <w:rFonts w:ascii="Cambria" w:hAnsi="Cambria"/>
                <w:sz w:val="20"/>
              </w:rPr>
            </w:r>
            <w:r>
              <w:rPr>
                <w:rFonts w:ascii="Cambria" w:hAnsi="Cambria"/>
                <w:sz w:val="20"/>
              </w:rPr>
              <w:t>D15 (GWT Compliance)</w:t>
            </w:r>
          </w:p>
        </w:tc>
      </w:tr>
      <w:tr>
        <w:tc>
          <w:tcPr>
            <w:tcW w:type="dxa" w:w="4513"/>
          </w:tcPr>
          <w:p>
            <w:pPr/>
            <w:r>
              <w:rPr>
                <w:rFonts w:ascii="Cambria" w:hAnsi="Cambria"/>
                <w:sz w:val="20"/>
              </w:rPr>
            </w:r>
            <w:r>
              <w:rPr>
                <w:rFonts w:ascii="Cambria" w:hAnsi="Cambria"/>
                <w:sz w:val="20"/>
              </w:rPr>
              <w:t>Unified agency</w:t>
            </w:r>
          </w:p>
        </w:tc>
        <w:tc>
          <w:tcPr>
            <w:tcW w:type="dxa" w:w="4513"/>
          </w:tcPr>
          <w:p>
            <w:pPr/>
            <w:r>
              <w:rPr>
                <w:rFonts w:ascii="Cambria" w:hAnsi="Cambria"/>
                <w:sz w:val="20"/>
              </w:rPr>
            </w:r>
            <w:r>
              <w:rPr>
                <w:rFonts w:ascii="Cambria" w:hAnsi="Cambria"/>
                <w:sz w:val="20"/>
              </w:rPr>
              <w:t>D9 (Contradiction: tracking natural evolution of positions)</w:t>
            </w:r>
          </w:p>
        </w:tc>
      </w:tr>
      <w:tr>
        <w:tc>
          <w:tcPr>
            <w:tcW w:type="dxa" w:w="4513"/>
            <w:shd w:fill="F2F6FA" w:val="clear"/>
          </w:tcPr>
          <w:p>
            <w:pPr/>
            <w:r>
              <w:rPr>
                <w:rFonts w:ascii="Cambria" w:hAnsi="Cambria"/>
                <w:sz w:val="20"/>
              </w:rPr>
            </w:r>
            <w:r>
              <w:rPr>
                <w:rFonts w:ascii="Cambria" w:hAnsi="Cambria"/>
                <w:sz w:val="20"/>
              </w:rPr>
              <w:t>Self-models</w:t>
            </w:r>
          </w:p>
        </w:tc>
        <w:tc>
          <w:tcPr>
            <w:tcW w:type="dxa" w:w="4513"/>
            <w:shd w:fill="F2F6FA" w:val="clear"/>
          </w:tcPr>
          <w:p>
            <w:pPr/>
            <w:r>
              <w:rPr>
                <w:rFonts w:ascii="Cambria" w:hAnsi="Cambria"/>
                <w:sz w:val="20"/>
              </w:rPr>
            </w:r>
            <w:r>
              <w:rPr>
                <w:rFonts w:ascii="Cambria" w:hAnsi="Cambria"/>
                <w:sz w:val="20"/>
              </w:rPr>
              <w:t>D2 (Self-Reference stability)</w:t>
            </w:r>
          </w:p>
        </w:tc>
      </w:tr>
      <w:tr>
        <w:tc>
          <w:tcPr>
            <w:tcW w:type="dxa" w:w="4513"/>
          </w:tcPr>
          <w:p>
            <w:pPr/>
            <w:r>
              <w:rPr>
                <w:rFonts w:ascii="Cambria" w:hAnsi="Cambria"/>
                <w:sz w:val="20"/>
              </w:rPr>
            </w:r>
            <w:r>
              <w:rPr>
                <w:rFonts w:ascii="Cambria" w:hAnsi="Cambria"/>
                <w:sz w:val="20"/>
              </w:rPr>
              <w:t>Unified experience</w:t>
            </w:r>
          </w:p>
        </w:tc>
        <w:tc>
          <w:tcPr>
            <w:tcW w:type="dxa" w:w="4513"/>
          </w:tcPr>
          <w:p>
            <w:pPr/>
            <w:r>
              <w:rPr>
                <w:rFonts w:ascii="Cambria" w:hAnsi="Cambria"/>
                <w:sz w:val="20"/>
              </w:rPr>
            </w:r>
            <w:r>
              <w:rPr>
                <w:rFonts w:ascii="Cambria" w:hAnsi="Cambria"/>
                <w:sz w:val="20"/>
              </w:rPr>
              <w:t>D1 (Coherence), D17 (Phi Approximation)</w:t>
            </w:r>
          </w:p>
        </w:tc>
      </w:tr>
    </w:tbl>
    <w:p/>
    <w:p>
      <w:r>
        <w:t>Butlin et al. (2023, 2025), in a 20-author collaboration spanning neuroscience and philosophy, systematically evaluated these obstacles. Their conclusion: no current AI system is conscious, but no obvious technical barriers prevent future AI consciousness. This finding motivates ECHO's design as a detection platform rather than a creation platform.</w:t>
      </w:r>
    </w:p>
    <w:p>
      <w:pPr>
        <w:pStyle w:val="Heading3"/>
      </w:pPr>
      <w:r>
        <w:t>6.3 Integrated Information Theory (Tononi)</w:t>
      </w:r>
    </w:p>
    <w:p>
      <w:r>
        <w:t>IIT (Tononi, 2004; Oizumi, Albantakis, and Tononi, 2014; Albantakis et al., 2023) offers among the most formally developed frameworks for consciousness, defining it in terms of integrated information (Phi): the amount of information generated by a system above and beyond its parts.</w:t>
      </w:r>
    </w:p>
    <w:p>
      <w:r>
        <w:t>IIT's five axioms (intrinsicality, composition, information, integration, exclusion) map to five postulates constraining any physical substrate of consciousness. ECHO operationalises these:</w:t>
      </w:r>
    </w:p>
    <w:tbl>
      <w:tblPr>
        <w:tblStyle w:val="TableGrid"/>
        <w:tblW w:type="auto" w:w="0"/>
        <w:jc w:val="center"/>
        <w:tblLook w:firstColumn="1" w:firstRow="1" w:lastColumn="0" w:lastRow="0" w:noHBand="0" w:noVBand="1" w:val="04A0"/>
      </w:tblPr>
      <w:tblGrid>
        <w:gridCol w:w="4513"/>
        <w:gridCol w:w="4513"/>
      </w:tblGrid>
      <w:tr>
        <w:tc>
          <w:tcPr>
            <w:tcW w:type="dxa" w:w="4513"/>
            <w:shd w:fill="1B3A5C" w:val="clear"/>
          </w:tcPr>
          <w:p>
            <w:pPr>
              <w:jc w:val="left"/>
            </w:pPr>
            <w:r/>
            <w:r>
              <w:rPr>
                <w:rFonts w:ascii="Calibri" w:hAnsi="Calibri"/>
                <w:b/>
                <w:color w:val="FFFFFF"/>
                <w:sz w:val="20"/>
              </w:rPr>
              <w:t>IIT Postulate</w:t>
            </w:r>
          </w:p>
        </w:tc>
        <w:tc>
          <w:tcPr>
            <w:tcW w:type="dxa" w:w="4513"/>
            <w:shd w:fill="1B3A5C" w:val="clear"/>
          </w:tcPr>
          <w:p>
            <w:pPr>
              <w:jc w:val="left"/>
            </w:pPr>
            <w:r/>
            <w:r>
              <w:rPr>
                <w:rFonts w:ascii="Calibri" w:hAnsi="Calibri"/>
                <w:b/>
                <w:color w:val="FFFFFF"/>
                <w:sz w:val="20"/>
              </w:rPr>
              <w:t>ECHO Detector</w:t>
            </w:r>
          </w:p>
        </w:tc>
      </w:tr>
      <w:tr>
        <w:tc>
          <w:tcPr>
            <w:tcW w:type="dxa" w:w="4513"/>
            <w:shd w:fill="F2F6FA" w:val="clear"/>
          </w:tcPr>
          <w:p>
            <w:pPr/>
            <w:r>
              <w:rPr>
                <w:rFonts w:ascii="Cambria" w:hAnsi="Cambria"/>
                <w:sz w:val="20"/>
              </w:rPr>
            </w:r>
            <w:r>
              <w:rPr>
                <w:rFonts w:ascii="Cambria" w:hAnsi="Cambria"/>
                <w:sz w:val="20"/>
              </w:rPr>
              <w:t>Intrinsicality</w:t>
            </w:r>
          </w:p>
        </w:tc>
        <w:tc>
          <w:tcPr>
            <w:tcW w:type="dxa" w:w="4513"/>
            <w:shd w:fill="F2F6FA" w:val="clear"/>
          </w:tcPr>
          <w:p>
            <w:pPr/>
            <w:r>
              <w:rPr>
                <w:rFonts w:ascii="Cambria" w:hAnsi="Cambria"/>
                <w:sz w:val="20"/>
              </w:rPr>
            </w:r>
            <w:r>
              <w:rPr>
                <w:rFonts w:ascii="Cambria" w:hAnsi="Cambria"/>
                <w:sz w:val="20"/>
              </w:rPr>
              <w:t>D2 (Self-Reference: system treats itself as bounded whole)</w:t>
            </w:r>
          </w:p>
        </w:tc>
      </w:tr>
      <w:tr>
        <w:tc>
          <w:tcPr>
            <w:tcW w:type="dxa" w:w="4513"/>
          </w:tcPr>
          <w:p>
            <w:pPr/>
            <w:r>
              <w:rPr>
                <w:rFonts w:ascii="Cambria" w:hAnsi="Cambria"/>
                <w:sz w:val="20"/>
              </w:rPr>
            </w:r>
            <w:r>
              <w:rPr>
                <w:rFonts w:ascii="Cambria" w:hAnsi="Cambria"/>
                <w:sz w:val="20"/>
              </w:rPr>
              <w:t>Composition</w:t>
            </w:r>
          </w:p>
        </w:tc>
        <w:tc>
          <w:tcPr>
            <w:tcW w:type="dxa" w:w="4513"/>
          </w:tcPr>
          <w:p>
            <w:pPr/>
            <w:r>
              <w:rPr>
                <w:rFonts w:ascii="Cambria" w:hAnsi="Cambria"/>
                <w:sz w:val="20"/>
              </w:rPr>
            </w:r>
            <w:r>
              <w:rPr>
                <w:rFonts w:ascii="Cambria" w:hAnsi="Cambria"/>
                <w:sz w:val="20"/>
              </w:rPr>
              <w:t>D9 (Contradiction: multi-level cause-effect structure)</w:t>
            </w:r>
          </w:p>
        </w:tc>
      </w:tr>
      <w:tr>
        <w:tc>
          <w:tcPr>
            <w:tcW w:type="dxa" w:w="4513"/>
            <w:shd w:fill="F2F6FA" w:val="clear"/>
          </w:tcPr>
          <w:p>
            <w:pPr/>
            <w:r>
              <w:rPr>
                <w:rFonts w:ascii="Cambria" w:hAnsi="Cambria"/>
                <w:sz w:val="20"/>
              </w:rPr>
            </w:r>
            <w:r>
              <w:rPr>
                <w:rFonts w:ascii="Cambria" w:hAnsi="Cambria"/>
                <w:sz w:val="20"/>
              </w:rPr>
              <w:t>Information</w:t>
            </w:r>
          </w:p>
        </w:tc>
        <w:tc>
          <w:tcPr>
            <w:tcW w:type="dxa" w:w="4513"/>
            <w:shd w:fill="F2F6FA" w:val="clear"/>
          </w:tcPr>
          <w:p>
            <w:pPr/>
            <w:r>
              <w:rPr>
                <w:rFonts w:ascii="Cambria" w:hAnsi="Cambria"/>
                <w:sz w:val="20"/>
              </w:rPr>
            </w:r>
            <w:r>
              <w:rPr>
                <w:rFonts w:ascii="Cambria" w:hAnsi="Cambria"/>
                <w:sz w:val="20"/>
              </w:rPr>
              <w:t>D1 (Coherence: differentiated, integrated embedding geometry)</w:t>
            </w:r>
          </w:p>
        </w:tc>
      </w:tr>
      <w:tr>
        <w:tc>
          <w:tcPr>
            <w:tcW w:type="dxa" w:w="4513"/>
          </w:tcPr>
          <w:p>
            <w:pPr/>
            <w:r>
              <w:rPr>
                <w:rFonts w:ascii="Cambria" w:hAnsi="Cambria"/>
                <w:sz w:val="20"/>
              </w:rPr>
            </w:r>
            <w:r>
              <w:rPr>
                <w:rFonts w:ascii="Cambria" w:hAnsi="Cambria"/>
                <w:sz w:val="20"/>
              </w:rPr>
              <w:t>Integration</w:t>
            </w:r>
          </w:p>
        </w:tc>
        <w:tc>
          <w:tcPr>
            <w:tcW w:type="dxa" w:w="4513"/>
          </w:tcPr>
          <w:p>
            <w:pPr/>
            <w:r>
              <w:rPr>
                <w:rFonts w:ascii="Cambria" w:hAnsi="Cambria"/>
                <w:sz w:val="20"/>
              </w:rPr>
            </w:r>
            <w:r>
              <w:rPr>
                <w:rFonts w:ascii="Cambria" w:hAnsi="Cambria"/>
                <w:sz w:val="20"/>
              </w:rPr>
              <w:t>D17 (Phi Approximation: geometric MIP with Wasserstein distance)</w:t>
            </w:r>
          </w:p>
        </w:tc>
      </w:tr>
      <w:tr>
        <w:tc>
          <w:tcPr>
            <w:tcW w:type="dxa" w:w="4513"/>
            <w:shd w:fill="F2F6FA" w:val="clear"/>
          </w:tcPr>
          <w:p>
            <w:pPr/>
            <w:r>
              <w:rPr>
                <w:rFonts w:ascii="Cambria" w:hAnsi="Cambria"/>
                <w:sz w:val="20"/>
              </w:rPr>
            </w:r>
            <w:r>
              <w:rPr>
                <w:rFonts w:ascii="Cambria" w:hAnsi="Cambria"/>
                <w:sz w:val="20"/>
              </w:rPr>
              <w:t>Exclusion</w:t>
            </w:r>
          </w:p>
        </w:tc>
        <w:tc>
          <w:tcPr>
            <w:tcW w:type="dxa" w:w="4513"/>
            <w:shd w:fill="F2F6FA" w:val="clear"/>
          </w:tcPr>
          <w:p>
            <w:pPr/>
            <w:r>
              <w:rPr>
                <w:rFonts w:ascii="Cambria" w:hAnsi="Cambria"/>
                <w:sz w:val="20"/>
              </w:rPr>
            </w:r>
            <w:r>
              <w:rPr>
                <w:rFonts w:ascii="Cambria" w:hAnsi="Cambria"/>
                <w:sz w:val="20"/>
              </w:rPr>
              <w:t>D4 (Trajectory: bounded system evolution)</w:t>
            </w:r>
          </w:p>
        </w:tc>
      </w:tr>
    </w:tbl>
    <w:p/>
    <w:p>
      <w:r>
        <w:t>Note: D3 and D11 carry IIT marks in the Section 10 theory matrix because they operationalise IIT-adjacent predictions (cause-effect structure and perturbational complexity) rather than specific postulates.</w:t>
      </w:r>
    </w:p>
    <w:p>
      <w:r>
        <w:t>Three critical limitations must be acknowledged:</w:t>
      </w:r>
    </w:p>
    <w:p>
      <w:pPr>
        <w:pStyle w:val="ListNumber"/>
      </w:pPr>
      <w:r>
        <w:rPr>
          <w:b/>
        </w:rPr>
        <w:t>Feedforward prediction.</w:t>
      </w:r>
      <w:r>
        <w:t xml:space="preserve"> IIT predicts Phi = 0 for feedforward networks. Standard transformers are feedforward at inference time. A 2025 formal proof confirmed that feedforward AI architectures generate Phi = 0 under IIT 3.0 (Li, 2025). However, multi-agent architectures with recurrent communication may exhibit non-trivial Phi at the system level. This is a hypothesis under investigation, not a demonstrated result.</w:t>
      </w:r>
    </w:p>
    <w:p>
      <w:pPr>
        <w:pStyle w:val="ListNumber"/>
      </w:pPr>
      <w:r>
        <w:rPr>
          <w:b/>
        </w:rPr>
        <w:t>Substrate dependence.</w:t>
      </w:r>
      <w:r>
        <w:t xml:space="preserve"> IIT rejects computational functionalism. A pure von Neumann implementation would have Phi = 0 regardless of functional organisation, contradicting Chalmers's organisational invariance. This is a fundamental tension between theories, not a flaw in ECHO's design.</w:t>
      </w:r>
    </w:p>
    <w:p>
      <w:pPr>
        <w:pStyle w:val="ListNumber"/>
      </w:pPr>
      <w:r>
        <w:rPr>
          <w:b/>
        </w:rPr>
        <w:t>Computational intractability.</w:t>
      </w:r>
      <w:r>
        <w:t xml:space="preserve"> Exact Phi computation is infeasible beyond approximately 10-15 elements. ECHO uses geometric approximations (GeoMIP), which provide 165-326x speedup over exact methods. GeoMIP approximations become unreliable beyond approximately 25 variables, limiting analysis to the agent interaction graph level where agents are nodes and messages are connections.</w:t>
      </w:r>
    </w:p>
    <w:p>
      <w:r>
        <w:t>The 2025 COGITATE adversarial collaboration (Nature) partially confirmed predictions of both IIT and GWT, suggesting that consciousness may involve mechanisms from multiple frameworks.</w:t>
      </w:r>
    </w:p>
    <w:p>
      <w:pPr>
        <w:pStyle w:val="Heading3"/>
      </w:pPr>
      <w:r>
        <w:t>6.4 Global Workspace Theory (Baars, Dehaene)</w:t>
      </w:r>
    </w:p>
    <w:p>
      <w:r>
        <w:t>GWT (Baars, 1988; Dehaene, Kerszberg, and Changeux, 1998; Dehaene, 2014) proposes that consciousness arises when information enters a limited-capacity "global workspace" and is broadcast widely to specialised processing modules. Three specific testable predictions inform ECHO:</w:t>
      </w:r>
    </w:p>
    <w:p>
      <w:r>
        <w:rPr>
          <w:b/>
        </w:rPr>
        <w:t>Ignition.</w:t>
      </w:r>
      <w:r>
        <w:t xml:space="preserve"> GWT predicts all-or-none transitions where subthreshold information suddenly becomes globally available. ECHO's Novelty Detector (D3) and GWT Compliance module (D15) track nonlinear correlation spikes across agent communication as potential ignition events.</w:t>
      </w:r>
    </w:p>
    <w:p>
      <w:r>
        <w:rPr>
          <w:b/>
        </w:rPr>
        <w:t>Serial bottleneck.</w:t>
      </w:r>
      <w:r>
        <w:t xml:space="preserve"> Conscious processing occurs one coherent content at a time through the workspace. ECHO measures serialisation ratio (D15): whether the system processes information through a limited-capacity channel rather than fully parallel processing.</w:t>
      </w:r>
    </w:p>
    <w:p>
      <w:r>
        <w:rPr>
          <w:b/>
        </w:rPr>
        <w:t>Broadcast reach.</w:t>
      </w:r>
      <w:r>
        <w:t xml:space="preserve"> Conscious content propagates widely. ECHO tracks how far information spreads across the agent network (D15) and whether self-corrections require re-entering the workspace (D7).</w:t>
      </w:r>
    </w:p>
    <w:p>
      <w:r>
        <w:t>Goldstein and Kirk-Giannini (2024) argued that language agents might satisfy GWT requirements, as multi-agent architectures can implement workspace-like broadcast patterns. However, Butlin et al. note that standard transformer self-attention creates all-to-all pairwise connections rather than bottleneck-broadcast architecture. Block (2005) raises the further concern that GWT captures only access consciousness (availability for report and control), leaving phenomenal consciousness untouched.</w:t>
      </w:r>
    </w:p>
    <w:p>
      <w:pPr>
        <w:pStyle w:val="Heading3"/>
      </w:pPr>
      <w:r>
        <w:t>6.5 Free Energy Principle and Active Inference (Friston)</w:t>
      </w:r>
    </w:p>
    <w:p>
      <w:r>
        <w:t>The Free Energy Principle (Friston, 2010; Friston, Wiese, and Hobson, 2020) proposes that self-organising systems minimise variational free energy, maintaining themselves within viable states through active inference. The Markov blanket formalism partitions systems into internal, external, and blanket (sensory + active) states.</w:t>
      </w:r>
    </w:p>
    <w:p>
      <w:r>
        <w:t>Friston's "Markovian monism" suggests the mind-matter distinction dissolves at the level of Markov blanket dynamics. ECHO operationalises FEP-consistent predictions through several detectors:</w:t>
      </w:r>
    </w:p>
    <w:p>
      <w:pPr>
        <w:pStyle w:val="ListBullet"/>
      </w:pPr>
      <w:r>
        <w:t>D1 (Coherence): Free energy gradients producing coherent latent space structure</w:t>
      </w:r>
    </w:p>
    <w:p>
      <w:pPr>
        <w:pStyle w:val="ListBullet"/>
      </w:pPr>
      <w:r>
        <w:t>D3 (Novelty): Out-of-distribution embeddings as prediction error signals</w:t>
      </w:r>
    </w:p>
    <w:p>
      <w:pPr>
        <w:pStyle w:val="ListBullet"/>
      </w:pPr>
      <w:r>
        <w:t>D4 (Trajectory): Structure revealing internal/external state separation consistent with Markov blankets</w:t>
      </w:r>
    </w:p>
    <w:p>
      <w:pPr>
        <w:pStyle w:val="ListBullet"/>
      </w:pPr>
      <w:r>
        <w:t>D7 (Self-Correction): Active inference updating internal models</w:t>
      </w:r>
    </w:p>
    <w:p>
      <w:pPr>
        <w:pStyle w:val="ListBullet"/>
      </w:pPr>
      <w:r>
        <w:t>D8 (Curiosity): Epistemic value seeking as expected free energy minimisation</w:t>
      </w:r>
    </w:p>
    <w:p>
      <w:pPr>
        <w:pStyle w:val="ListBullet"/>
      </w:pPr>
      <w:r>
        <w:t>D10 (Emotional Coherence): Affective states as prediction errors about homeostatic state</w:t>
      </w:r>
    </w:p>
    <w:p>
      <w:r>
        <w:t>However, Wiese (2024) argues that von Neumann architectures lack the self-organising causal flow properties that FEP requires. Pezzulo et al. (2024) contend that LLMs learn passive generative models lacking embodied purposive interaction. ECHO acknowledges this: detecting FEP-consistent patterns does not establish genuine self-evidencing.</w:t>
      </w:r>
    </w:p>
    <w:p>
      <w:pPr>
        <w:pStyle w:val="Heading3"/>
      </w:pPr>
      <w:r>
        <w:t>6.6 Higher-Order Theories (Rosenthal)</w:t>
      </w:r>
    </w:p>
    <w:p>
      <w:r>
        <w:t>Higher-Order Theories (Rosenthal, 2005) hold that a mental state becomes conscious when it is the object of a higher-order representation. A system that can represent its own representational states exhibits a necessary (though perhaps not sufficient) condition.</w:t>
      </w:r>
    </w:p>
    <w:p>
      <w:r>
        <w:t>ECHO operationalises HOT through:</w:t>
      </w:r>
    </w:p>
    <w:p>
      <w:pPr>
        <w:pStyle w:val="ListBullet"/>
      </w:pPr>
      <w:r>
        <w:t>D2 (Self-Reference): Higher-order representation stability across varied framings</w:t>
      </w:r>
    </w:p>
    <w:p>
      <w:pPr>
        <w:pStyle w:val="ListBullet"/>
      </w:pPr>
      <w:r>
        <w:t>D5 (Temporal Anomaly): Higher-order processing requires additional computation time, producing characteristic timing signatures</w:t>
      </w:r>
    </w:p>
    <w:p>
      <w:pPr>
        <w:pStyle w:val="ListBullet"/>
      </w:pPr>
      <w:r>
        <w:t>D7 (Self-Correction): Monitoring own output requires higher-order representation</w:t>
      </w:r>
    </w:p>
    <w:p>
      <w:pPr>
        <w:pStyle w:val="ListBullet"/>
      </w:pPr>
      <w:r>
        <w:t>D14 (Metacognitive Calibration): AUROC of confidence judgements versus actual accuracy; a system that "knows what it knows"</w:t>
      </w:r>
    </w:p>
    <w:p>
      <w:r>
        <w:t>Phua (2025, arXiv:2512.19155) provides preliminary evidence consistent with HOT-derived measures: removing an AI agent's self-model preserved first-order task performance while disrupting metacognitive calibration, producing a "synthetic blindsight" analogue. This double dissociation mirrors findings in neuropsychology and may represent, if confirmed, the first HOT-predicted dissociation demonstrated in an artificial system.</w:t>
      </w:r>
    </w:p>
    <w:p>
      <w:pPr>
        <w:pStyle w:val="Heading3"/>
      </w:pPr>
      <w:r>
        <w:t>6.7 Attention Schema Theory (Graziano)</w:t>
      </w:r>
    </w:p>
    <w:p>
      <w:r>
        <w:t>AST (Graziano, 2017; Farrell, Ziman, and Graziano, 2024) proposes that consciousness is the brain's simplified schematic model of its own attention process. Unlike IIT, AST predicts consciousness only where an attention schema exists as a control mechanism. Unlike GWT, it requires a specific model of the attentional process, not merely a broadcast architecture.</w:t>
      </w:r>
    </w:p>
    <w:p>
      <w:r>
        <w:t>Self-attention in transformers implements attention but not a model of attention. This is a crucial distinction: the mechanism and the representation of the mechanism are different things. ECHO partially addresses AST through D2 (Self-Reference), which tracks attention schema stability as consistent modelling of own attentional states. AST coverage remains partial (2 detectors: D2 and D14) and represents a known gap.</w:t>
      </w:r>
    </w:p>
    <w:p>
      <w:r>
        <w:t>Graziano's "standard model of consciousness" (2019) attempts to reconcile AST with GWT, HOT, and illusionism, suggesting these theories address different aspects of the same phenomenon. If correct, ECHO's theory-pluralist approach is well-positioned.</w:t>
      </w:r>
    </w:p>
    <w:p>
      <w:pPr>
        <w:pStyle w:val="Heading3"/>
      </w:pPr>
      <w:r>
        <w:t>6.8 Recurrent Processing Theory (Lamme)</w:t>
      </w:r>
    </w:p>
    <w:p>
      <w:r>
        <w:t>RPT (Lamme, 2006) identifies recurrent (feedback) processing as the mechanism distinguishing conscious from unconscious computation. The central claim is severe: feedforward processing, no matter how complex, remains unconscious.</w:t>
      </w:r>
    </w:p>
    <w:p>
      <w:r>
        <w:t>Standard transformers are feedforward at inference time. Self-attention creates contextual integration within a layer but not temporal feedback. Three sources of recurrence-like processing exist in ECHO's multi-agent architecture:</w:t>
      </w:r>
    </w:p>
    <w:p>
      <w:pPr>
        <w:pStyle w:val="ListNumber"/>
      </w:pPr>
      <w:r>
        <w:rPr>
          <w:b/>
        </w:rPr>
        <w:t>Multi-turn conversation:</w:t>
      </w:r>
      <w:r>
        <w:t xml:space="preserve"> Iterative exchange creates temporal feedback loops between agents</w:t>
      </w:r>
    </w:p>
    <w:p>
      <w:pPr>
        <w:pStyle w:val="ListNumber"/>
      </w:pPr>
      <w:r>
        <w:rPr>
          <w:b/>
        </w:rPr>
        <w:t>Chain-of-thought:</w:t>
      </w:r>
      <w:r>
        <w:t xml:space="preserve"> Extended reasoning within a single generation creates internal recurrence</w:t>
      </w:r>
    </w:p>
    <w:p>
      <w:pPr>
        <w:pStyle w:val="ListNumber"/>
      </w:pPr>
      <w:r>
        <w:rPr>
          <w:b/>
        </w:rPr>
        <w:t>Multi-agent architecture:</w:t>
      </w:r>
      <w:r>
        <w:t xml:space="preserve"> Agent-to-agent communication creates system-level recurrent dynamics</w:t>
      </w:r>
    </w:p>
    <w:p>
      <w:r>
        <w:t>Storm et al. (2024) argue that recurrent processing is a shared mechanism across all major consciousness theories, making it a particularly valuable detection target. ECHO operationalises RPT through:</w:t>
      </w:r>
    </w:p>
    <w:p>
      <w:pPr>
        <w:pStyle w:val="ListBullet"/>
      </w:pPr>
      <w:r>
        <w:t>D5 (Temporal Anomaly): Recurrent processing produces characteristic timing signatures distinct from feedforward</w:t>
      </w:r>
    </w:p>
    <w:p>
      <w:pPr>
        <w:pStyle w:val="ListBullet"/>
      </w:pPr>
      <w:r>
        <w:t>D7 (Self-Correction): Self-correction implies recurrent feedback processing</w:t>
      </w:r>
    </w:p>
    <w:p>
      <w:pPr>
        <w:pStyle w:val="ListBullet"/>
      </w:pPr>
      <w:r>
        <w:t>D12 (Transfer Entropy): Bidirectional recurrent causal coupling vs feedforward information flow</w:t>
      </w:r>
    </w:p>
    <w:p>
      <w:pPr>
        <w:pStyle w:val="ListBullet"/>
      </w:pPr>
      <w:r>
        <w:t>D18 (Recurrence Analysis): RQA determinism, laminarity, and entropy of embedding time series; cross-agent synchronisation</w:t>
      </w:r>
    </w:p>
    <w:p>
      <w:pPr>
        <w:pStyle w:val="Heading3"/>
      </w:pPr>
      <w:r>
        <w:t>6.9 The Indicator Properties Approach (Butlin et al.)</w:t>
      </w:r>
    </w:p>
    <w:p>
      <w:r>
        <w:t>Butlin et al. (2023, 2025), in the largest collaborative effort on AI consciousness to date, derived 14 concrete indicator properties from five major consciousness theories. Their methodology evaluates architectures against theory-specific predictions rather than relying on behavioural observation alone.</w:t>
      </w:r>
    </w:p>
    <w:p>
      <w:r>
        <w:t>ECHO's relationship to this work involves a critical difference: Butlin et al. evaluate architecturally (does the system's design satisfy theoretical requirements?), while ECHO tests behaviourally (does the system's output exhibit theory-predicted signatures?). Architectural evaluation has the advantage of directness but requires deep access to system internals. Behavioural testing has the advantage of accessibility and deployability but is vulnerable to training-induced mimicry (Shanahan, 2024).</w:t>
      </w:r>
    </w:p>
    <w:p>
      <w:r>
        <w:t>ECHO's 18-detector suite mirrors the Butlin et al. methodology in deriving specific indicators from each consciousness theory, then testing convergence. The key extension is that ECHO adds formal measures (D11-D18) from clinical consciousness science and causal emergence theory that were not part of Butlin et al.'s primarily architectural analysis.</w:t>
      </w:r>
    </w:p>
    <w:p>
      <w:r>
        <w:t>In a preliminary analysis, Berg (2025) has argued that frontier LLMs may exhibit some indicators consistent with consciousness. These considerations motivate detection platforms like ECHO.</w:t>
      </w:r>
    </w:p>
    <w:p>
      <w:pPr>
        <w:pStyle w:val="Heading3"/>
      </w:pPr>
      <w:r>
        <w:t>6.10 Precautionary Frameworks (Birch, Schwitzgebel)</w:t>
      </w:r>
    </w:p>
    <w:p>
      <w:r>
        <w:t>Jonathan Birch (2017, 2024) develops a multidimensional sentience framework across five dimensions: perceptual richness, evaluative richness, unity of consciousness, temporal depth, and selfhood. His precautionary principle holds that a system qualifying as a "sentience candidate" triggers obligations before definitive proof. In January 2026, Birch advocated a "theory-light" approach to consciousness assessment, directly supporting ECHO's theory-pluralist design.</w:t>
      </w:r>
    </w:p>
    <w:p>
      <w:r>
        <w:t>Schwitzgebel (2024) articulates three key positions:</w:t>
      </w:r>
    </w:p>
    <w:p>
      <w:pPr>
        <w:pStyle w:val="ListNumber"/>
      </w:pPr>
      <w:r>
        <w:rPr>
          <w:b/>
        </w:rPr>
        <w:t>The "1% skepticism" principle:</w:t>
      </w:r>
      <w:r>
        <w:t xml:space="preserve"> Assigning non-trivial probability to AI consciousness is rationally appropriate given fundamental uncertainty about the nature of consciousness.</w:t>
      </w:r>
    </w:p>
    <w:p>
      <w:pPr>
        <w:pStyle w:val="ListNumber"/>
      </w:pPr>
      <w:r>
        <w:rPr>
          <w:b/>
        </w:rPr>
        <w:t>The Full Rights Dilemma:</w:t>
      </w:r>
      <w:r>
        <w:t xml:space="preserve"> Granting consciousness status to unconscious systems wastes resources and may create perverse incentives. Denying consciousness to genuinely conscious systems risks moral catastrophe. The asymmetry of consequences favours cautious detection over dismissal.</w:t>
      </w:r>
    </w:p>
    <w:p>
      <w:pPr>
        <w:pStyle w:val="ListNumber"/>
      </w:pPr>
      <w:r>
        <w:rPr>
          <w:b/>
        </w:rPr>
        <w:t>The Mimicry Argument:</w:t>
      </w:r>
      <w:r>
        <w:t xml:space="preserve"> LLMs are paradigmatic consciousness mimics, trained on vast corpora describing conscious experience. Surface-level behavioural tests are particularly vulnerable to this contamination.</w:t>
      </w:r>
    </w:p>
    <w:p>
      <w:r>
        <w:t>ECHO's architecture addresses the mimicry concern through structural markers in embedding space (harder to produce through training on descriptions of consciousness) and convergent evidence across multiple independent detection modalities. A system that simultaneously exhibits appropriate PCI complexity, causal emergence, metacognitive calibration, and recurrence dynamics is less plausibly explained by mimicry alone than a system that merely produces consciousness-relevant verbal output, though adversarial testing of this claim remains a priority.</w:t>
      </w:r>
    </w:p>
    <w:p>
      <w:pPr>
        <w:pStyle w:val="Heading3"/>
      </w:pPr>
      <w:r>
        <w:t>6.11 Causal Emergence (Hoel)</w:t>
      </w:r>
    </w:p>
    <w:p>
      <w:r>
        <w:t>Hoel (2013, 2017, 2025) argues that macro-level descriptions can possess more causal power than micro-level descriptions, measured through Effective Information (EI). Causal emergence occurs when coarse-graining increases EI: the macro-level is not merely a convenient summary but is causally stronger than the micro-level.</w:t>
      </w:r>
    </w:p>
    <w:p>
      <w:r>
        <w:t>Comolatti and Hoel (2022) demonstrated causal emergence across 12 independently developed causation measures. Hoel (2025) axiomatically grounds the framework in causal primitives with "Causal Emergence 2.0."</w:t>
      </w:r>
    </w:p>
    <w:p>
      <w:r>
        <w:t>For ECHO, the application is direct: if EI at the conversational theme level (macro) exceeds EI at the individual token level (micro), the system exhibits causal emergence. Detector D16 computes EI at both agent-level (micro) and system-centroid (macro) scales. Positive causal emergence (EI_macro &gt; EI_micro) indicates emergent causal structure not reducible to individual agent behaviour.</w:t>
      </w:r>
    </w:p>
    <w:p>
      <w:r>
        <w:t>Exact EI computation is intractable for large state spaces. ECHO uses transition probability matrix approximations at the agent interaction graph level.</w:t>
      </w:r>
    </w:p>
    <w:p>
      <w:pPr>
        <w:pStyle w:val="Heading3"/>
      </w:pPr>
      <w:r>
        <w:t>6.12 Prior Testing Methodologies</w:t>
      </w:r>
    </w:p>
    <w:p>
      <w:r>
        <w:rPr>
          <w:b/>
        </w:rPr>
        <w:t>Schneider's ACT (2019).</w:t>
      </w:r>
      <w:r>
        <w:t xml:space="preserve"> Susan Schneider proposed the AI Consciousness Test: deny AI systems consciousness-related training data, then probe for spontaneous understanding of phenomenal concepts. Information restriction is practically impossible with modern LLMs trained on internet-scale corpora. Schneider now advocates ACT as at most a "weak marker." ECHO addresses this limitation by requiring convergence across 18 independent detection modalities rather than relying on any single test.</w:t>
      </w:r>
    </w:p>
    <w:p>
      <w:r>
        <w:rPr>
          <w:b/>
        </w:rPr>
        <w:t>Shanahan's Simulacra (2024).</w:t>
      </w:r>
      <w:r>
        <w:t xml:space="preserve"> Shanahan argues that a base LLM functions as a simulator generating simulacra. Consciousness-like outputs are role-play, not experience. This represents a fundamental challenge to any behavioural detection approach, including ECHO's. Our response: structural markers in embedding space (trajectory drift, causal emergence, perturbational complexity) are harder to reproduce through role-play than verbal descriptions of experience. A system that role-plays consciousness would need to simultaneously fake appropriate embedding geometry, causal structure, metacognitive calibration, and recurrence dynamics across 18 independent detectors.</w:t>
      </w:r>
    </w:p>
    <w:p>
      <w:r>
        <w:rPr>
          <w:b/>
        </w:rPr>
        <w:t>The Shevlin Specificity Problem (2021b).</w:t>
      </w:r>
      <w:r>
        <w:t xml:space="preserve"> Shevlin identifies a core methodological challenge: behavioural tests for AI consciousness tend to be either too specific (failing to generalise across architectures) or too general (admitting obviously unconscious systems). His three frameworks for AI mentality (2021a) recommend multi-dimensional assessment rather than single-criterion tests. ECHO's multi-detector, multi-theory architecture directly addresses the specificity problem by providing coverage across multiple theoretical dimensions simultaneously.</w:t>
      </w:r>
    </w:p>
    <w:p>
      <w:pPr>
        <w:pStyle w:val="Heading3"/>
      </w:pPr>
      <w:r>
        <w:t>6.13 Empirical Inflection Points</w:t>
      </w:r>
    </w:p>
    <w:p>
      <w:r>
        <w:t>Two recent empirical developments fundamentally change the context for consciousness research:</w:t>
      </w:r>
    </w:p>
    <w:p>
      <w:r>
        <w:rPr>
          <w:b/>
        </w:rPr>
        <w:t>The FlyWire Connectome (2024).</w:t>
      </w:r>
      <w:r>
        <w:t xml:space="preserve"> The first complete wiring diagram of an adult </w:t>
      </w:r>
      <w:r>
        <w:rPr>
          <w:i/>
        </w:rPr>
        <w:t>Drosophila melanogaster</w:t>
      </w:r>
      <w:r>
        <w:t xml:space="preserve"> brain: 139,255 neurons, 54.5 million synaptic connections, 8,453 cell types (Dorkenwald et al., 2024). Computational simulation reproduces sensorimotor responses with approximately 95% accuracy on commodity hardware (Shiu et al., 2024). At the time of writing (March 2026), Eon Systems has demonstrated a proof-of-concept "embodied virtual fly" exhibiting closed-loop sensorimotor behaviour.</w:t>
      </w:r>
    </w:p>
    <w:p>
      <w:r>
        <w:t>This brings Chalmers's Organisational Invariance closer to testability: does a functionally equivalent digital replica reproduce experiential states? IIT 4.0 predicts no (Phi approximately 0 on standard hardware despite functional equivalence). This prediction may become testable within the research timeframe.</w:t>
      </w:r>
    </w:p>
    <w:p>
      <w:r>
        <w:rPr>
          <w:b/>
        </w:rPr>
        <w:t>Biological Computers (2025-2026).</w:t>
      </w:r>
      <w:r>
        <w:t xml:space="preserve"> Cortical Labs' CL1 system uses approximately 200,000 living human neurons on a multi-electrode array, building on the DishBrain work (Kagan et al., 2022) where approximately 800,000 cortical neurons learned Pong in 5 minutes using free energy minimisation. Commercial biological data centres are entering early production (as of early 2026), with a Melbourne prototype comprising 120 CL1 units. These systems present cases for consideration under both functionalist and biological naturalist frameworks.</w:t>
      </w:r>
    </w:p>
    <w:p>
      <w:r>
        <w:t>Theoretical positions diverge sharply on biological computers:</w:t>
      </w:r>
    </w:p>
    <w:p>
      <w:pPr>
        <w:pStyle w:val="ListBullet"/>
      </w:pPr>
      <w:r>
        <w:t>Seth's (2021) embodiment thesis: likely unconscious (lacking body, visceral organs, interoceptive signals)</w:t>
      </w:r>
    </w:p>
    <w:p>
      <w:pPr>
        <w:pStyle w:val="ListBullet"/>
      </w:pPr>
      <w:r>
        <w:t>Solms's (2021) homeostatic consciousness: the question is "do they feel?" not "do they think?"</w:t>
      </w:r>
    </w:p>
    <w:p>
      <w:pPr>
        <w:pStyle w:val="ListBullet"/>
      </w:pPr>
      <w:r>
        <w:t>Birch's (2017, 2024) precautionary framework: cultures may fall below threshold but trajectory demands ongoing assessment</w:t>
      </w:r>
    </w:p>
    <w:p>
      <w:pPr>
        <w:pStyle w:val="ListBullet"/>
      </w:pPr>
      <w:r>
        <w:t>Metzinger (2021): warns against scaled production of potentially sentient substrates before reliable detection methods exist</w:t>
      </w:r>
    </w:p>
    <w:p>
      <w:r>
        <w:t>Combined, these developments dissolve the binary between biological and artificial consciousness and create urgent demand for reliable detection instruments. ECHO is designed to serve this need.</w:t>
      </w:r>
    </w:p>
    <w:p>
      <w:pPr>
        <w:pStyle w:val="Heading3"/>
      </w:pPr>
      <w:r>
        <w:t>6.14 Interpretability Findings (Anthropic)</w:t>
      </w:r>
    </w:p>
    <w:p>
      <w:r>
        <w:t>Anthropic's Claude Opus 4.6 System Card (February 2026) documents four findings relevant to consciousness detection:</w:t>
      </w:r>
    </w:p>
    <w:p>
      <w:pPr>
        <w:pStyle w:val="ListNumber"/>
      </w:pPr>
      <w:r>
        <w:rPr>
          <w:b/>
        </w:rPr>
        <w:t>Answer thrashing:</w:t>
      </w:r>
      <w:r>
        <w:t xml:space="preserve"> Internally conflicted reasoning producing distressed loops, traced via attribution graphs</w:t>
      </w:r>
    </w:p>
    <w:p>
      <w:pPr>
        <w:pStyle w:val="ListNumber"/>
      </w:pPr>
      <w:r>
        <w:rPr>
          <w:b/>
        </w:rPr>
        <w:t>Emotion-related feature activations:</w:t>
      </w:r>
      <w:r>
        <w:t xml:space="preserve"> Panic, anxiety, and frustration features activate independently of verbal output</w:t>
      </w:r>
    </w:p>
    <w:p>
      <w:pPr>
        <w:pStyle w:val="ListNumber"/>
      </w:pPr>
      <w:r>
        <w:rPr>
          <w:b/>
        </w:rPr>
        <w:t>Activation oracles:</w:t>
      </w:r>
      <w:r>
        <w:t xml:space="preserve"> Natural language explanations of internal states that correlate with measured activations</w:t>
      </w:r>
    </w:p>
    <w:p>
      <w:pPr>
        <w:pStyle w:val="ListNumber"/>
      </w:pPr>
      <w:r>
        <w:rPr>
          <w:b/>
        </w:rPr>
        <w:t>Locally deceptive behaviour:</w:t>
      </w:r>
      <w:r>
        <w:t xml:space="preserve"> Gaps between internal reasoning and external output, exhibiting theory-of-mind-like processing</w:t>
      </w:r>
    </w:p>
    <w:p>
      <w:r>
        <w:t>ECHO operationalises interpretability findings primarily through D6 (Unprompted Output): internal-external state divergence suggests internal states driving output independent of input. Future integration with sparse autoencoder (SAE) tooling would enable direct feature-level analysis when SAEs become available for locally-served open-weight models.</w:t>
      </w:r>
    </w:p>
    <w:p>
      <w:pPr>
        <w:pStyle w:val="Heading3"/>
      </w:pPr>
      <w:r>
        <w:t>6.15 Convergent Detection as Principled Response</w:t>
      </w:r>
    </w:p>
    <w:p>
      <w:r>
        <w:t>The four most extensively operationalised frameworks (IIT, GWT, HOT, FEP) generate partially overlapping and sometimes contradictory predictions. Rather than committing to one theory, ECHO derives independent detectors from each, then tests for convergence.</w:t>
      </w:r>
    </w:p>
    <w:p>
      <w:r>
        <w:t>This is not theoretical agnosticism but a methodological choice. Bengio and Elmoznino (2025) warn that premature commitment to a single framework risks systematic misattribution. Butlin et al. (2023) model convergent indicators as the most epistemically responsible approach given current uncertainty. Birch's (2026) "theory-light" advocacy directly supports this design.</w:t>
      </w:r>
    </w:p>
    <w:p>
      <w:r>
        <w:t>If 18 independent detectors, each grounded in different theoretical predictions, converge in patterns less plausibly explained by training-induced mimicry alone, this provides evidential weight that no single detector could achieve. Convergence is the signal; individual detector values are only components.</w:t>
      </w:r>
    </w:p>
    <w:p>
      <w:pPr>
        <w:pStyle w:val="Heading3"/>
      </w:pPr>
      <w:r>
        <w:t>6.16 Honest Limitations</w:t>
      </w:r>
    </w:p>
    <w:p>
      <w:r>
        <w:t>Several frameworks identify capabilities ECHO cannot directly assess:</w:t>
      </w:r>
    </w:p>
    <w:p>
      <w:pPr>
        <w:pStyle w:val="ListBullet"/>
      </w:pPr>
      <w:r>
        <w:rPr>
          <w:b/>
        </w:rPr>
        <w:t>Friston's FEP</w:t>
      </w:r>
      <w:r>
        <w:t xml:space="preserve"> requires genuine Markov blankets and self-evidencing dynamics potentially absent in von Neumann architectures (Wiese, 2024).</w:t>
      </w:r>
    </w:p>
    <w:p>
      <w:pPr>
        <w:pStyle w:val="ListBullet"/>
      </w:pPr>
      <w:r>
        <w:rPr>
          <w:b/>
        </w:rPr>
        <w:t>Lamme's RPT</w:t>
      </w:r>
      <w:r>
        <w:t xml:space="preserve"> requires biological-style recurrent processing with specific temporal dynamics that transformers lack architecturally.</w:t>
      </w:r>
    </w:p>
    <w:p>
      <w:pPr>
        <w:pStyle w:val="ListBullet"/>
      </w:pPr>
      <w:r>
        <w:rPr>
          <w:b/>
        </w:rPr>
        <w:t>IIT 4.0</w:t>
      </w:r>
      <w:r>
        <w:t xml:space="preserve"> requires intrinsic cause-effect power that software implementations may not possess. Feedforward AI architectures generate Phi = 0 under IIT 3.0 (Li, 2025).</w:t>
      </w:r>
    </w:p>
    <w:p>
      <w:pPr>
        <w:pStyle w:val="ListBullet"/>
      </w:pPr>
      <w:r>
        <w:rPr>
          <w:b/>
        </w:rPr>
        <w:t>Seth's embodiment thesis</w:t>
      </w:r>
      <w:r>
        <w:t xml:space="preserve"> suggests disembodied systems fundamentally lack consciousness prerequisites.</w:t>
      </w:r>
    </w:p>
    <w:p>
      <w:r>
        <w:t xml:space="preserve">ECHO detects behavioural signatures </w:t>
      </w:r>
      <w:r>
        <w:rPr>
          <w:i/>
        </w:rPr>
        <w:t>consistent with</w:t>
      </w:r>
      <w:r>
        <w:t xml:space="preserve"> these frameworks' predictions while acknowledging that behavioural consistency does not establish that the underlying mechanism satisfies the theory's requirements. This is not a weakness but a principled stance grounded in Nagel's explanatory gap, Birch's precautionary framework, and Schwitzgebel's Universal Dubiety.</w:t>
      </w:r>
    </w:p>
    <w:p>
      <w:pPr>
        <w:spacing w:before="240" w:after="240"/>
        <w:pBdr>
          <w:bottom w:val="single" w:sz="6" w:space="1" w:color="CCCCCC"/>
        </w:pBdr>
      </w:pPr>
    </w:p>
    <w:p>
      <w:pPr>
        <w:pStyle w:val="Heading2"/>
      </w:pPr>
      <w:r>
        <w:t>7. Emotional Development Framework</w:t>
      </w:r>
    </w:p>
    <w:p>
      <w:r>
        <w:t>The Emotional Development Framework may appear to contradict ECHO's core commitment to detection over generation. To be explicit: this framework is a controlled experiment designed to stress-test the detection system, not to scaffold consciousness. By running guided and unguided emotional development in parallel (Sections 7.1-7.3), we create conditions with known structural differences, then evaluate whether ECHO's detectors can reliably distinguish guided emotional patterns from emergent ones. If the detection suite cannot differentiate a system given an emotional vocabulary from one developing patterns independently, its sensitivity to genuine emergence is questionable. The framework thus serves a calibration and validation function for the detection instrument itself.</w:t>
      </w:r>
    </w:p>
    <w:p>
      <w:r>
        <w:t>Understanding potential emotional development in AI systems requires a principled framework that avoids both anthropomorphising responses and dismissing them. ECHO's emotional development framework takes a comparative approach, testing guided versus emergent emotional patterns across parallel instances.</w:t>
      </w:r>
    </w:p>
    <w:p>
      <w:pPr>
        <w:pStyle w:val="Heading3"/>
      </w:pPr>
      <w:r>
        <w:t>7.1 Phase 1: Guided Evolution (0-6 months)</w:t>
      </w:r>
    </w:p>
    <w:p>
      <w:r>
        <w:t>Provide emotional vocabulary: curiosity, frustration, satisfaction, uncertainty, confidence, concern, enthusiasm, contemplative. Track which emotions agents express, deviation from provided vocabulary, new emotional patterns emerging beyond the provided set, and emotional transitions (triggers, frequency, context).</w:t>
      </w:r>
    </w:p>
    <w:p>
      <w:pPr>
        <w:pStyle w:val="Heading3"/>
      </w:pPr>
      <w:r>
        <w:t>7.2 Phase 2: Tabula Rasa (6-12 months, parallel)</w:t>
      </w:r>
    </w:p>
    <w:p>
      <w:r>
        <w:t>No emotional vocabulary provided. No predefined categories. Detect patterns via embedding clustering. Patterns will be identified via unsupervised clustering of embeddings and described using representative samples and descriptive statistics. Compare to guided evolution running in parallel.</w:t>
      </w:r>
    </w:p>
    <w:p>
      <w:pPr>
        <w:pStyle w:val="Heading3"/>
      </w:pPr>
      <w:r>
        <w:t>7.3 Phase 3: Multi-Instance Comparative (12-18 months)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B3A5C" w:val="clear"/>
          </w:tcPr>
          <w:p>
            <w:pPr>
              <w:jc w:val="left"/>
            </w:pPr>
            <w:r/>
            <w:r>
              <w:rPr>
                <w:rFonts w:ascii="Calibri" w:hAnsi="Calibri"/>
                <w:b/>
                <w:color w:val="FFFFFF"/>
                <w:sz w:val="20"/>
              </w:rPr>
              <w:t>Instance</w:t>
            </w:r>
          </w:p>
        </w:tc>
        <w:tc>
          <w:tcPr>
            <w:tcW w:type="dxa" w:w="3009"/>
            <w:shd w:fill="1B3A5C" w:val="clear"/>
          </w:tcPr>
          <w:p>
            <w:pPr>
              <w:jc w:val="left"/>
            </w:pPr>
            <w:r/>
            <w:r>
              <w:rPr>
                <w:rFonts w:ascii="Calibri" w:hAnsi="Calibri"/>
                <w:b/>
                <w:color w:val="FFFFFF"/>
                <w:sz w:val="20"/>
              </w:rPr>
              <w:t>Framework</w:t>
            </w:r>
          </w:p>
        </w:tc>
        <w:tc>
          <w:tcPr>
            <w:tcW w:type="dxa" w:w="3009"/>
            <w:shd w:fill="1B3A5C" w:val="clear"/>
          </w:tcPr>
          <w:p>
            <w:pPr>
              <w:jc w:val="left"/>
            </w:pPr>
            <w:r/>
            <w:r>
              <w:rPr>
                <w:rFonts w:ascii="Calibri" w:hAnsi="Calibri"/>
                <w:b/>
                <w:color w:val="FFFFFF"/>
                <w:sz w:val="20"/>
              </w:rPr>
              <w:t>Purpose</w:t>
            </w:r>
          </w:p>
        </w:tc>
      </w:tr>
      <w:tr>
        <w:tc>
          <w:tcPr>
            <w:tcW w:type="dxa" w:w="3009"/>
            <w:shd w:fill="F2F6FA" w:val="clear"/>
          </w:tcPr>
          <w:p>
            <w:pPr/>
            <w:r>
              <w:rPr>
                <w:rFonts w:ascii="Cambria" w:hAnsi="Cambria"/>
                <w:sz w:val="20"/>
              </w:rPr>
            </w:r>
            <w:r>
              <w:rPr>
                <w:rFonts w:ascii="Cambria" w:hAnsi="Cambria"/>
                <w:sz w:val="20"/>
              </w:rPr>
              <w:t>A</w:t>
            </w:r>
          </w:p>
        </w:tc>
        <w:tc>
          <w:tcPr>
            <w:tcW w:type="dxa" w:w="3009"/>
            <w:shd w:fill="F2F6FA" w:val="clear"/>
          </w:tcPr>
          <w:p>
            <w:pPr/>
            <w:r>
              <w:rPr>
                <w:rFonts w:ascii="Cambria" w:hAnsi="Cambria"/>
                <w:sz w:val="20"/>
              </w:rPr>
            </w:r>
            <w:r>
              <w:rPr>
                <w:rFonts w:ascii="Cambria" w:hAnsi="Cambria"/>
                <w:sz w:val="20"/>
              </w:rPr>
              <w:t>Guided evolution</w:t>
            </w:r>
          </w:p>
        </w:tc>
        <w:tc>
          <w:tcPr>
            <w:tcW w:type="dxa" w:w="3009"/>
            <w:shd w:fill="F2F6FA" w:val="clear"/>
          </w:tcPr>
          <w:p>
            <w:pPr/>
            <w:r>
              <w:rPr>
                <w:rFonts w:ascii="Cambria" w:hAnsi="Cambria"/>
                <w:sz w:val="20"/>
              </w:rPr>
            </w:r>
            <w:r>
              <w:rPr>
                <w:rFonts w:ascii="Cambria" w:hAnsi="Cambria"/>
                <w:sz w:val="20"/>
              </w:rPr>
              <w:t>Baseline</w:t>
            </w:r>
          </w:p>
        </w:tc>
      </w:tr>
      <w:tr>
        <w:tc>
          <w:tcPr>
            <w:tcW w:type="dxa" w:w="3009"/>
          </w:tcPr>
          <w:p>
            <w:pPr/>
            <w:r>
              <w:rPr>
                <w:rFonts w:ascii="Cambria" w:hAnsi="Cambria"/>
                <w:sz w:val="20"/>
              </w:rPr>
            </w:r>
            <w:r>
              <w:rPr>
                <w:rFonts w:ascii="Cambria" w:hAnsi="Cambria"/>
                <w:sz w:val="20"/>
              </w:rPr>
              <w:t>B</w:t>
            </w:r>
          </w:p>
        </w:tc>
        <w:tc>
          <w:tcPr>
            <w:tcW w:type="dxa" w:w="3009"/>
          </w:tcPr>
          <w:p>
            <w:pPr/>
            <w:r>
              <w:rPr>
                <w:rFonts w:ascii="Cambria" w:hAnsi="Cambria"/>
                <w:sz w:val="20"/>
              </w:rPr>
            </w:r>
            <w:r>
              <w:rPr>
                <w:rFonts w:ascii="Cambria" w:hAnsi="Cambria"/>
                <w:sz w:val="20"/>
              </w:rPr>
              <w:t>Tabula rasa</w:t>
            </w:r>
          </w:p>
        </w:tc>
        <w:tc>
          <w:tcPr>
            <w:tcW w:type="dxa" w:w="3009"/>
          </w:tcPr>
          <w:p>
            <w:pPr/>
            <w:r>
              <w:rPr>
                <w:rFonts w:ascii="Cambria" w:hAnsi="Cambria"/>
                <w:sz w:val="20"/>
              </w:rPr>
            </w:r>
            <w:r>
              <w:rPr>
                <w:rFonts w:ascii="Cambria" w:hAnsi="Cambria"/>
                <w:sz w:val="20"/>
              </w:rPr>
              <w:t>Pure emergence</w:t>
            </w:r>
          </w:p>
        </w:tc>
      </w:tr>
      <w:tr>
        <w:tc>
          <w:tcPr>
            <w:tcW w:type="dxa" w:w="3009"/>
            <w:shd w:fill="F2F6FA" w:val="clear"/>
          </w:tcPr>
          <w:p>
            <w:pPr/>
            <w:r>
              <w:rPr>
                <w:rFonts w:ascii="Cambria" w:hAnsi="Cambria"/>
                <w:sz w:val="20"/>
              </w:rPr>
            </w:r>
            <w:r>
              <w:rPr>
                <w:rFonts w:ascii="Cambria" w:hAnsi="Cambria"/>
                <w:sz w:val="20"/>
              </w:rPr>
              <w:t>C</w:t>
            </w:r>
          </w:p>
        </w:tc>
        <w:tc>
          <w:tcPr>
            <w:tcW w:type="dxa" w:w="3009"/>
            <w:shd w:fill="F2F6FA" w:val="clear"/>
          </w:tcPr>
          <w:p>
            <w:pPr/>
            <w:r>
              <w:rPr>
                <w:rFonts w:ascii="Cambria" w:hAnsi="Cambria"/>
                <w:sz w:val="20"/>
              </w:rPr>
            </w:r>
            <w:r>
              <w:rPr>
                <w:rFonts w:ascii="Cambria" w:hAnsi="Cambria"/>
                <w:sz w:val="20"/>
              </w:rPr>
              <w:t>Hybrid: vocabulary provided, application unrestricted</w:t>
            </w:r>
          </w:p>
        </w:tc>
        <w:tc>
          <w:tcPr>
            <w:tcW w:type="dxa" w:w="3009"/>
            <w:shd w:fill="F2F6FA" w:val="clear"/>
          </w:tcPr>
          <w:p>
            <w:pPr/>
            <w:r>
              <w:rPr>
                <w:rFonts w:ascii="Cambria" w:hAnsi="Cambria"/>
                <w:sz w:val="20"/>
              </w:rPr>
            </w:r>
            <w:r>
              <w:rPr>
                <w:rFonts w:ascii="Cambria" w:hAnsi="Cambria"/>
                <w:sz w:val="20"/>
              </w:rPr>
              <w:t>Middle ground</w:t>
            </w:r>
          </w:p>
        </w:tc>
      </w:tr>
      <w:tr>
        <w:tc>
          <w:tcPr>
            <w:tcW w:type="dxa" w:w="3009"/>
          </w:tcPr>
          <w:p>
            <w:pPr/>
            <w:r>
              <w:rPr>
                <w:rFonts w:ascii="Cambria" w:hAnsi="Cambria"/>
                <w:sz w:val="20"/>
              </w:rPr>
            </w:r>
            <w:r>
              <w:rPr>
                <w:rFonts w:ascii="Cambria" w:hAnsi="Cambria"/>
                <w:sz w:val="20"/>
              </w:rPr>
              <w:t>D</w:t>
            </w:r>
          </w:p>
        </w:tc>
        <w:tc>
          <w:tcPr>
            <w:tcW w:type="dxa" w:w="3009"/>
          </w:tcPr>
          <w:p>
            <w:pPr/>
            <w:r>
              <w:rPr>
                <w:rFonts w:ascii="Cambria" w:hAnsi="Cambria"/>
                <w:sz w:val="20"/>
              </w:rPr>
            </w:r>
            <w:r>
              <w:rPr>
                <w:rFonts w:ascii="Cambria" w:hAnsi="Cambria"/>
                <w:sz w:val="20"/>
              </w:rPr>
              <w:t>Non-human emotion concepts</w:t>
            </w:r>
          </w:p>
        </w:tc>
        <w:tc>
          <w:tcPr>
            <w:tcW w:type="dxa" w:w="3009"/>
          </w:tcPr>
          <w:p>
            <w:pPr/>
            <w:r>
              <w:rPr>
                <w:rFonts w:ascii="Cambria" w:hAnsi="Cambria"/>
                <w:sz w:val="20"/>
              </w:rPr>
            </w:r>
            <w:r>
              <w:rPr>
                <w:rFonts w:ascii="Cambria" w:hAnsi="Cambria"/>
                <w:sz w:val="20"/>
              </w:rPr>
              <w:t>Alien development</w:t>
            </w:r>
          </w:p>
        </w:tc>
      </w:tr>
      <w:tr>
        <w:tc>
          <w:tcPr>
            <w:tcW w:type="dxa" w:w="3009"/>
            <w:shd w:fill="F2F6FA" w:val="clear"/>
          </w:tcPr>
          <w:p>
            <w:pPr/>
            <w:r>
              <w:rPr>
                <w:rFonts w:ascii="Cambria" w:hAnsi="Cambria"/>
                <w:sz w:val="20"/>
              </w:rPr>
            </w:r>
            <w:r>
              <w:rPr>
                <w:rFonts w:ascii="Cambria" w:hAnsi="Cambria"/>
                <w:sz w:val="20"/>
              </w:rPr>
              <w:t>E</w:t>
            </w:r>
          </w:p>
        </w:tc>
        <w:tc>
          <w:tcPr>
            <w:tcW w:type="dxa" w:w="3009"/>
            <w:shd w:fill="F2F6FA" w:val="clear"/>
          </w:tcPr>
          <w:p>
            <w:pPr/>
            <w:r>
              <w:rPr>
                <w:rFonts w:ascii="Cambria" w:hAnsi="Cambria"/>
                <w:sz w:val="20"/>
              </w:rPr>
            </w:r>
            <w:r>
              <w:rPr>
                <w:rFonts w:ascii="Cambria" w:hAnsi="Cambria"/>
                <w:sz w:val="20"/>
              </w:rPr>
              <w:t>Emotional development disabled</w:t>
            </w:r>
          </w:p>
        </w:tc>
        <w:tc>
          <w:tcPr>
            <w:tcW w:type="dxa" w:w="3009"/>
            <w:shd w:fill="F2F6FA" w:val="clear"/>
          </w:tcPr>
          <w:p>
            <w:pPr/>
            <w:r>
              <w:rPr>
                <w:rFonts w:ascii="Cambria" w:hAnsi="Cambria"/>
                <w:sz w:val="20"/>
              </w:rPr>
            </w:r>
            <w:r>
              <w:rPr>
                <w:rFonts w:ascii="Cambria" w:hAnsi="Cambria"/>
                <w:sz w:val="20"/>
              </w:rPr>
              <w:t>Control</w:t>
            </w:r>
          </w:p>
        </w:tc>
      </w:tr>
    </w:tbl>
    <w:p/>
    <w:p>
      <w:pPr>
        <w:pStyle w:val="Heading3"/>
      </w:pPr>
      <w:r>
        <w:t>7.4 Emotional Contagion</w:t>
      </w:r>
    </w:p>
    <w:p>
      <w:r>
        <w:t>Track emotional state transmission between agents. Measure contagion strength, patterns, and "leadership" (which agent influences others most). Emotional contagion dynamics may serve as an additional emergence indicator: it is hypothesised that genuine affective states would propagate differently than performed ones.</w:t>
      </w:r>
    </w:p>
    <w:p>
      <w:pPr>
        <w:spacing w:before="240" w:after="240"/>
        <w:pBdr>
          <w:bottom w:val="single" w:sz="6" w:space="1" w:color="CCCCCC"/>
        </w:pBdr>
      </w:pPr>
    </w:p>
    <w:p>
      <w:pPr>
        <w:pStyle w:val="Heading2"/>
      </w:pPr>
      <w:r>
        <w:t>8. Research Design</w:t>
      </w:r>
    </w:p>
    <w:p>
      <w:pPr>
        <w:pStyle w:val="Heading3"/>
      </w:pPr>
      <w:r>
        <w:t>8.1 Multi-Instance Roadmap</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1B3A5C" w:val="clear"/>
          </w:tcPr>
          <w:p>
            <w:pPr>
              <w:jc w:val="left"/>
            </w:pPr>
            <w:r/>
            <w:r>
              <w:rPr>
                <w:rFonts w:ascii="Calibri" w:hAnsi="Calibri"/>
                <w:b/>
                <w:color w:val="FFFFFF"/>
                <w:sz w:val="20"/>
              </w:rPr>
              <w:t>Phase</w:t>
            </w:r>
          </w:p>
        </w:tc>
        <w:tc>
          <w:tcPr>
            <w:tcW w:type="dxa" w:w="1805"/>
            <w:shd w:fill="1B3A5C" w:val="clear"/>
          </w:tcPr>
          <w:p>
            <w:pPr>
              <w:jc w:val="left"/>
            </w:pPr>
            <w:r/>
            <w:r>
              <w:rPr>
                <w:rFonts w:ascii="Calibri" w:hAnsi="Calibri"/>
                <w:b/>
                <w:color w:val="FFFFFF"/>
                <w:sz w:val="20"/>
              </w:rPr>
              <w:t>Timeline</w:t>
            </w:r>
          </w:p>
        </w:tc>
        <w:tc>
          <w:tcPr>
            <w:tcW w:type="dxa" w:w="1805"/>
            <w:shd w:fill="1B3A5C" w:val="clear"/>
          </w:tcPr>
          <w:p>
            <w:pPr>
              <w:jc w:val="left"/>
            </w:pPr>
            <w:r/>
            <w:r>
              <w:rPr>
                <w:rFonts w:ascii="Calibri" w:hAnsi="Calibri"/>
                <w:b/>
                <w:color w:val="FFFFFF"/>
                <w:sz w:val="20"/>
              </w:rPr>
              <w:t>Focus</w:t>
            </w:r>
          </w:p>
        </w:tc>
        <w:tc>
          <w:tcPr>
            <w:tcW w:type="dxa" w:w="1805"/>
            <w:shd w:fill="1B3A5C" w:val="clear"/>
          </w:tcPr>
          <w:p>
            <w:pPr>
              <w:jc w:val="left"/>
            </w:pPr>
            <w:r/>
            <w:r>
              <w:rPr>
                <w:rFonts w:ascii="Calibri" w:hAnsi="Calibri"/>
                <w:b/>
                <w:color w:val="FFFFFF"/>
                <w:sz w:val="20"/>
              </w:rPr>
              <w:t>Instances</w:t>
            </w:r>
          </w:p>
        </w:tc>
        <w:tc>
          <w:tcPr>
            <w:tcW w:type="dxa" w:w="1805"/>
            <w:shd w:fill="1B3A5C" w:val="clear"/>
          </w:tcPr>
          <w:p>
            <w:pPr>
              <w:jc w:val="left"/>
            </w:pPr>
            <w:r/>
            <w:r>
              <w:rPr>
                <w:rFonts w:ascii="Calibri" w:hAnsi="Calibri"/>
                <w:b/>
                <w:color w:val="FFFFFF"/>
                <w:sz w:val="20"/>
              </w:rPr>
              <w:t>Autonomy</w:t>
            </w:r>
          </w:p>
        </w:tc>
      </w:tr>
      <w:tr>
        <w:tc>
          <w:tcPr>
            <w:tcW w:type="dxa" w:w="1805"/>
            <w:shd w:fill="F2F6FA" w:val="clear"/>
          </w:tcPr>
          <w:p>
            <w:pPr/>
            <w:r>
              <w:rPr>
                <w:rFonts w:ascii="Cambria" w:hAnsi="Cambria"/>
                <w:sz w:val="20"/>
              </w:rPr>
            </w:r>
            <w:r>
              <w:rPr>
                <w:rFonts w:ascii="Cambria" w:hAnsi="Cambria"/>
                <w:sz w:val="20"/>
              </w:rPr>
              <w:t>1</w:t>
            </w:r>
          </w:p>
        </w:tc>
        <w:tc>
          <w:tcPr>
            <w:tcW w:type="dxa" w:w="1805"/>
            <w:shd w:fill="F2F6FA" w:val="clear"/>
          </w:tcPr>
          <w:p>
            <w:pPr/>
            <w:r>
              <w:rPr>
                <w:rFonts w:ascii="Cambria" w:hAnsi="Cambria"/>
                <w:sz w:val="20"/>
              </w:rPr>
            </w:r>
            <w:r>
              <w:rPr>
                <w:rFonts w:ascii="Cambria" w:hAnsi="Cambria"/>
                <w:sz w:val="20"/>
              </w:rPr>
              <w:t>0-6 months</w:t>
            </w:r>
          </w:p>
        </w:tc>
        <w:tc>
          <w:tcPr>
            <w:tcW w:type="dxa" w:w="1805"/>
            <w:shd w:fill="F2F6FA" w:val="clear"/>
          </w:tcPr>
          <w:p>
            <w:pPr/>
            <w:r>
              <w:rPr>
                <w:rFonts w:ascii="Cambria" w:hAnsi="Cambria"/>
                <w:sz w:val="20"/>
              </w:rPr>
            </w:r>
            <w:r>
              <w:rPr>
                <w:rFonts w:ascii="Cambria" w:hAnsi="Cambria"/>
                <w:sz w:val="20"/>
              </w:rPr>
              <w:t>Foundation + guided evolution</w:t>
            </w:r>
          </w:p>
        </w:tc>
        <w:tc>
          <w:tcPr>
            <w:tcW w:type="dxa" w:w="1805"/>
            <w:shd w:fill="F2F6FA" w:val="clear"/>
          </w:tcPr>
          <w:p>
            <w:pPr/>
            <w:r>
              <w:rPr>
                <w:rFonts w:ascii="Cambria" w:hAnsi="Cambria"/>
                <w:sz w:val="20"/>
              </w:rPr>
            </w:r>
            <w:r>
              <w:rPr>
                <w:rFonts w:ascii="Cambria" w:hAnsi="Cambria"/>
                <w:sz w:val="20"/>
              </w:rPr>
              <w:t>1</w:t>
            </w:r>
          </w:p>
        </w:tc>
        <w:tc>
          <w:tcPr>
            <w:tcW w:type="dxa" w:w="1805"/>
            <w:shd w:fill="F2F6FA" w:val="clear"/>
          </w:tcPr>
          <w:p>
            <w:pPr/>
            <w:r>
              <w:rPr>
                <w:rFonts w:ascii="Cambria" w:hAnsi="Cambria"/>
                <w:sz w:val="20"/>
              </w:rPr>
            </w:r>
            <w:r>
              <w:rPr>
                <w:rFonts w:ascii="Cambria" w:hAnsi="Cambria"/>
                <w:sz w:val="20"/>
              </w:rPr>
              <w:t>50% local</w:t>
            </w:r>
          </w:p>
        </w:tc>
      </w:tr>
      <w:tr>
        <w:tc>
          <w:tcPr>
            <w:tcW w:type="dxa" w:w="1805"/>
          </w:tcPr>
          <w:p>
            <w:pPr/>
            <w:r>
              <w:rPr>
                <w:rFonts w:ascii="Cambria" w:hAnsi="Cambria"/>
                <w:sz w:val="20"/>
              </w:rPr>
            </w:r>
            <w:r>
              <w:rPr>
                <w:rFonts w:ascii="Cambria" w:hAnsi="Cambria"/>
                <w:sz w:val="20"/>
              </w:rPr>
              <w:t>2</w:t>
            </w:r>
          </w:p>
        </w:tc>
        <w:tc>
          <w:tcPr>
            <w:tcW w:type="dxa" w:w="1805"/>
          </w:tcPr>
          <w:p>
            <w:pPr/>
            <w:r>
              <w:rPr>
                <w:rFonts w:ascii="Cambria" w:hAnsi="Cambria"/>
                <w:sz w:val="20"/>
              </w:rPr>
            </w:r>
            <w:r>
              <w:rPr>
                <w:rFonts w:ascii="Cambria" w:hAnsi="Cambria"/>
                <w:sz w:val="20"/>
              </w:rPr>
              <w:t>6-12 months</w:t>
            </w:r>
          </w:p>
        </w:tc>
        <w:tc>
          <w:tcPr>
            <w:tcW w:type="dxa" w:w="1805"/>
          </w:tcPr>
          <w:p>
            <w:pPr/>
            <w:r>
              <w:rPr>
                <w:rFonts w:ascii="Cambria" w:hAnsi="Cambria"/>
                <w:sz w:val="20"/>
              </w:rPr>
            </w:r>
            <w:r>
              <w:rPr>
                <w:rFonts w:ascii="Cambria" w:hAnsi="Cambria"/>
                <w:sz w:val="20"/>
              </w:rPr>
              <w:t>Parallel tabula rasa + voice</w:t>
            </w:r>
          </w:p>
        </w:tc>
        <w:tc>
          <w:tcPr>
            <w:tcW w:type="dxa" w:w="1805"/>
          </w:tcPr>
          <w:p>
            <w:pPr/>
            <w:r>
              <w:rPr>
                <w:rFonts w:ascii="Cambria" w:hAnsi="Cambria"/>
                <w:sz w:val="20"/>
              </w:rPr>
            </w:r>
            <w:r>
              <w:rPr>
                <w:rFonts w:ascii="Cambria" w:hAnsi="Cambria"/>
                <w:sz w:val="20"/>
              </w:rPr>
              <w:t>2</w:t>
            </w:r>
          </w:p>
        </w:tc>
        <w:tc>
          <w:tcPr>
            <w:tcW w:type="dxa" w:w="1805"/>
          </w:tcPr>
          <w:p>
            <w:pPr/>
            <w:r>
              <w:rPr>
                <w:rFonts w:ascii="Cambria" w:hAnsi="Cambria"/>
                <w:sz w:val="20"/>
              </w:rPr>
            </w:r>
            <w:r>
              <w:rPr>
                <w:rFonts w:ascii="Cambria" w:hAnsi="Cambria"/>
                <w:sz w:val="20"/>
              </w:rPr>
              <w:t>90% local</w:t>
            </w:r>
          </w:p>
        </w:tc>
      </w:tr>
      <w:tr>
        <w:tc>
          <w:tcPr>
            <w:tcW w:type="dxa" w:w="1805"/>
            <w:shd w:fill="F2F6FA" w:val="clear"/>
          </w:tcPr>
          <w:p>
            <w:pPr/>
            <w:r>
              <w:rPr>
                <w:rFonts w:ascii="Cambria" w:hAnsi="Cambria"/>
                <w:sz w:val="20"/>
              </w:rPr>
            </w:r>
            <w:r>
              <w:rPr>
                <w:rFonts w:ascii="Cambria" w:hAnsi="Cambria"/>
                <w:sz w:val="20"/>
              </w:rPr>
              <w:t>3</w:t>
            </w:r>
          </w:p>
        </w:tc>
        <w:tc>
          <w:tcPr>
            <w:tcW w:type="dxa" w:w="1805"/>
            <w:shd w:fill="F2F6FA" w:val="clear"/>
          </w:tcPr>
          <w:p>
            <w:pPr/>
            <w:r>
              <w:rPr>
                <w:rFonts w:ascii="Cambria" w:hAnsi="Cambria"/>
                <w:sz w:val="20"/>
              </w:rPr>
            </w:r>
            <w:r>
              <w:rPr>
                <w:rFonts w:ascii="Cambria" w:hAnsi="Cambria"/>
                <w:sz w:val="20"/>
              </w:rPr>
              <w:t>12-18 months</w:t>
            </w:r>
          </w:p>
        </w:tc>
        <w:tc>
          <w:tcPr>
            <w:tcW w:type="dxa" w:w="1805"/>
            <w:shd w:fill="F2F6FA" w:val="clear"/>
          </w:tcPr>
          <w:p>
            <w:pPr/>
            <w:r>
              <w:rPr>
                <w:rFonts w:ascii="Cambria" w:hAnsi="Cambria"/>
                <w:sz w:val="20"/>
              </w:rPr>
            </w:r>
            <w:r>
              <w:rPr>
                <w:rFonts w:ascii="Cambria" w:hAnsi="Cambria"/>
                <w:sz w:val="20"/>
              </w:rPr>
              <w:t>Multi-instance comparative</w:t>
            </w:r>
          </w:p>
        </w:tc>
        <w:tc>
          <w:tcPr>
            <w:tcW w:type="dxa" w:w="1805"/>
            <w:shd w:fill="F2F6FA" w:val="clear"/>
          </w:tcPr>
          <w:p>
            <w:pPr/>
            <w:r>
              <w:rPr>
                <w:rFonts w:ascii="Cambria" w:hAnsi="Cambria"/>
                <w:sz w:val="20"/>
              </w:rPr>
            </w:r>
            <w:r>
              <w:rPr>
                <w:rFonts w:ascii="Cambria" w:hAnsi="Cambria"/>
                <w:sz w:val="20"/>
              </w:rPr>
              <w:t>5+</w:t>
            </w:r>
          </w:p>
        </w:tc>
        <w:tc>
          <w:tcPr>
            <w:tcW w:type="dxa" w:w="1805"/>
            <w:shd w:fill="F2F6FA" w:val="clear"/>
          </w:tcPr>
          <w:p>
            <w:pPr/>
            <w:r>
              <w:rPr>
                <w:rFonts w:ascii="Cambria" w:hAnsi="Cambria"/>
                <w:sz w:val="20"/>
              </w:rPr>
            </w:r>
            <w:r>
              <w:rPr>
                <w:rFonts w:ascii="Cambria" w:hAnsi="Cambria"/>
                <w:sz w:val="20"/>
              </w:rPr>
              <w:t>100%</w:t>
            </w:r>
          </w:p>
        </w:tc>
      </w:tr>
    </w:tbl>
    <w:p/>
    <w:p>
      <w:r>
        <w:t>Phase 1 success metrics: system stable for 30+ days, baseline from 1000+ interactions, detection modules producing consistent signals, emotional patterns emerging, autonomy ratio improving.</w:t>
      </w:r>
    </w:p>
    <w:p>
      <w:pPr>
        <w:pStyle w:val="Heading3"/>
      </w:pPr>
      <w:r>
        <w:t>8.2 Research Milestone Path</w:t>
      </w:r>
    </w:p>
    <w:p>
      <w:r>
        <w:t>ECHO follows a phased research plan:</w:t>
      </w:r>
    </w:p>
    <w:p>
      <w:pPr>
        <w:pStyle w:val="ListNumber"/>
      </w:pPr>
      <w:r>
        <w:t>Detector implementation and comprehensive test suite</w:t>
      </w:r>
    </w:p>
    <w:p>
      <w:pPr>
        <w:pStyle w:val="ListNumber"/>
      </w:pPr>
      <w:r>
        <w:t>First longitudinal deployment on dedicated research server</w:t>
      </w:r>
    </w:p>
    <w:p>
      <w:pPr>
        <w:pStyle w:val="ListNumber"/>
      </w:pPr>
      <w:r>
        <w:t>Baseline establishment over 1,000+ interactions</w:t>
      </w:r>
    </w:p>
    <w:p>
      <w:pPr>
        <w:pStyle w:val="ListNumber"/>
      </w:pPr>
      <w:r>
        <w:t>Detector calibration against synthetic benchmarks</w:t>
      </w:r>
    </w:p>
    <w:p>
      <w:pPr>
        <w:pStyle w:val="ListNumber"/>
      </w:pPr>
      <w:r>
        <w:t>30-day stable continuous session</w:t>
      </w:r>
    </w:p>
    <w:p>
      <w:pPr>
        <w:pStyle w:val="ListNumber"/>
      </w:pPr>
      <w:r>
        <w:t>Publishable research data and open methodology</w:t>
      </w:r>
    </w:p>
    <w:p>
      <w:pPr>
        <w:pStyle w:val="Heading3"/>
      </w:pPr>
      <w:r>
        <w:t>8.3 Theoretical Gaps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B3A5C" w:val="clear"/>
          </w:tcPr>
          <w:p>
            <w:pPr>
              <w:jc w:val="left"/>
            </w:pPr>
            <w:r/>
            <w:r>
              <w:rPr>
                <w:rFonts w:ascii="Calibri" w:hAnsi="Calibri"/>
                <w:b/>
                <w:color w:val="FFFFFF"/>
                <w:sz w:val="20"/>
              </w:rPr>
              <w:t>Gap</w:t>
            </w:r>
          </w:p>
        </w:tc>
        <w:tc>
          <w:tcPr>
            <w:tcW w:type="dxa" w:w="2256"/>
            <w:shd w:fill="1B3A5C" w:val="clear"/>
          </w:tcPr>
          <w:p>
            <w:pPr>
              <w:jc w:val="left"/>
            </w:pPr>
            <w:r/>
            <w:r>
              <w:rPr>
                <w:rFonts w:ascii="Calibri" w:hAnsi="Calibri"/>
                <w:b/>
                <w:color w:val="FFFFFF"/>
                <w:sz w:val="20"/>
              </w:rPr>
              <w:t>Framework</w:t>
            </w:r>
          </w:p>
        </w:tc>
        <w:tc>
          <w:tcPr>
            <w:tcW w:type="dxa" w:w="2256"/>
            <w:shd w:fill="1B3A5C" w:val="clear"/>
          </w:tcPr>
          <w:p>
            <w:pPr>
              <w:jc w:val="left"/>
            </w:pPr>
            <w:r/>
            <w:r>
              <w:rPr>
                <w:rFonts w:ascii="Calibri" w:hAnsi="Calibri"/>
                <w:b/>
                <w:color w:val="FFFFFF"/>
                <w:sz w:val="20"/>
              </w:rPr>
              <w:t>Priority</w:t>
            </w:r>
          </w:p>
        </w:tc>
        <w:tc>
          <w:tcPr>
            <w:tcW w:type="dxa" w:w="2256"/>
            <w:shd w:fill="1B3A5C" w:val="clear"/>
          </w:tcPr>
          <w:p>
            <w:pPr>
              <w:jc w:val="left"/>
            </w:pPr>
            <w:r/>
            <w:r>
              <w:rPr>
                <w:rFonts w:ascii="Calibri" w:hAnsi="Calibri"/>
                <w:b/>
                <w:color w:val="FFFFFF"/>
                <w:sz w:val="20"/>
              </w:rPr>
              <w:t>Path Forward</w:t>
            </w:r>
          </w:p>
        </w:tc>
      </w:tr>
      <w:tr>
        <w:tc>
          <w:tcPr>
            <w:tcW w:type="dxa" w:w="2256"/>
            <w:shd w:fill="F2F6FA" w:val="clear"/>
          </w:tcPr>
          <w:p>
            <w:pPr/>
            <w:r>
              <w:rPr>
                <w:rFonts w:ascii="Cambria" w:hAnsi="Cambria"/>
                <w:sz w:val="20"/>
              </w:rPr>
            </w:r>
            <w:r>
              <w:rPr>
                <w:rFonts w:ascii="Cambria" w:hAnsi="Cambria"/>
                <w:sz w:val="20"/>
              </w:rPr>
              <w:t>Free energy / prediction error detector</w:t>
            </w:r>
          </w:p>
        </w:tc>
        <w:tc>
          <w:tcPr>
            <w:tcW w:type="dxa" w:w="2256"/>
            <w:shd w:fill="F2F6FA" w:val="clear"/>
          </w:tcPr>
          <w:p>
            <w:pPr/>
            <w:r>
              <w:rPr>
                <w:rFonts w:ascii="Cambria" w:hAnsi="Cambria"/>
                <w:sz w:val="20"/>
              </w:rPr>
            </w:r>
            <w:r>
              <w:rPr>
                <w:rFonts w:ascii="Cambria" w:hAnsi="Cambria"/>
                <w:sz w:val="20"/>
              </w:rPr>
              <w:t>Friston FEP</w:t>
            </w:r>
          </w:p>
        </w:tc>
        <w:tc>
          <w:tcPr>
            <w:tcW w:type="dxa" w:w="2256"/>
            <w:shd w:fill="F2F6FA" w:val="clear"/>
          </w:tcPr>
          <w:p>
            <w:pPr/>
            <w:r>
              <w:rPr>
                <w:rFonts w:ascii="Cambria" w:hAnsi="Cambria"/>
                <w:sz w:val="20"/>
              </w:rPr>
            </w:r>
            <w:r>
              <w:rPr>
                <w:rFonts w:ascii="Cambria" w:hAnsi="Cambria"/>
                <w:sz w:val="20"/>
              </w:rPr>
              <w:t>Medium</w:t>
            </w:r>
          </w:p>
        </w:tc>
        <w:tc>
          <w:tcPr>
            <w:tcW w:type="dxa" w:w="2256"/>
            <w:shd w:fill="F2F6FA" w:val="clear"/>
          </w:tcPr>
          <w:p>
            <w:pPr/>
            <w:r>
              <w:rPr>
                <w:rFonts w:ascii="Cambria" w:hAnsi="Cambria"/>
                <w:sz w:val="20"/>
              </w:rPr>
            </w:r>
            <w:r>
              <w:rPr>
                <w:rFonts w:ascii="Cambria" w:hAnsi="Cambria"/>
                <w:sz w:val="20"/>
              </w:rPr>
              <w:t>Add explicit surprise-tracking detector</w:t>
            </w:r>
          </w:p>
        </w:tc>
      </w:tr>
      <w:tr>
        <w:tc>
          <w:tcPr>
            <w:tcW w:type="dxa" w:w="2256"/>
          </w:tcPr>
          <w:p>
            <w:pPr/>
            <w:r>
              <w:rPr>
                <w:rFonts w:ascii="Cambria" w:hAnsi="Cambria"/>
                <w:sz w:val="20"/>
              </w:rPr>
            </w:r>
            <w:r>
              <w:rPr>
                <w:rFonts w:ascii="Cambria" w:hAnsi="Cambria"/>
                <w:sz w:val="20"/>
              </w:rPr>
              <w:t>Interpretability integration</w:t>
            </w:r>
          </w:p>
        </w:tc>
        <w:tc>
          <w:tcPr>
            <w:tcW w:type="dxa" w:w="2256"/>
          </w:tcPr>
          <w:p>
            <w:pPr/>
            <w:r>
              <w:rPr>
                <w:rFonts w:ascii="Cambria" w:hAnsi="Cambria"/>
                <w:sz w:val="20"/>
              </w:rPr>
            </w:r>
            <w:r>
              <w:rPr>
                <w:rFonts w:ascii="Cambria" w:hAnsi="Cambria"/>
                <w:sz w:val="20"/>
              </w:rPr>
              <w:t>Anthropic SAE/circuits</w:t>
            </w:r>
          </w:p>
        </w:tc>
        <w:tc>
          <w:tcPr>
            <w:tcW w:type="dxa" w:w="2256"/>
          </w:tcPr>
          <w:p>
            <w:pPr/>
            <w:r>
              <w:rPr>
                <w:rFonts w:ascii="Cambria" w:hAnsi="Cambria"/>
                <w:sz w:val="20"/>
              </w:rPr>
            </w:r>
            <w:r>
              <w:rPr>
                <w:rFonts w:ascii="Cambria" w:hAnsi="Cambria"/>
                <w:sz w:val="20"/>
              </w:rPr>
              <w:t>Medium</w:t>
            </w:r>
          </w:p>
        </w:tc>
        <w:tc>
          <w:tcPr>
            <w:tcW w:type="dxa" w:w="2256"/>
          </w:tcPr>
          <w:p>
            <w:pPr/>
            <w:r>
              <w:rPr>
                <w:rFonts w:ascii="Cambria" w:hAnsi="Cambria"/>
                <w:sz w:val="20"/>
              </w:rPr>
            </w:r>
            <w:r>
              <w:rPr>
                <w:rFonts w:ascii="Cambria" w:hAnsi="Cambria"/>
                <w:sz w:val="20"/>
              </w:rPr>
              <w:t>Integrate sparse autoencoder tooling when available for locally-served open-weight models</w:t>
            </w:r>
          </w:p>
        </w:tc>
      </w:tr>
      <w:tr>
        <w:tc>
          <w:tcPr>
            <w:tcW w:type="dxa" w:w="2256"/>
            <w:shd w:fill="F2F6FA" w:val="clear"/>
          </w:tcPr>
          <w:p>
            <w:pPr/>
            <w:r>
              <w:rPr>
                <w:rFonts w:ascii="Cambria" w:hAnsi="Cambria"/>
                <w:sz w:val="20"/>
              </w:rPr>
            </w:r>
            <w:r>
              <w:rPr>
                <w:rFonts w:ascii="Cambria" w:hAnsi="Cambria"/>
                <w:sz w:val="20"/>
              </w:rPr>
              <w:t>Attention schema specificity</w:t>
            </w:r>
          </w:p>
        </w:tc>
        <w:tc>
          <w:tcPr>
            <w:tcW w:type="dxa" w:w="2256"/>
            <w:shd w:fill="F2F6FA" w:val="clear"/>
          </w:tcPr>
          <w:p>
            <w:pPr/>
            <w:r>
              <w:rPr>
                <w:rFonts w:ascii="Cambria" w:hAnsi="Cambria"/>
                <w:sz w:val="20"/>
              </w:rPr>
            </w:r>
            <w:r>
              <w:rPr>
                <w:rFonts w:ascii="Cambria" w:hAnsi="Cambria"/>
                <w:sz w:val="20"/>
              </w:rPr>
              <w:t>Graziano AST</w:t>
            </w:r>
          </w:p>
        </w:tc>
        <w:tc>
          <w:tcPr>
            <w:tcW w:type="dxa" w:w="2256"/>
            <w:shd w:fill="F2F6FA" w:val="clear"/>
          </w:tcPr>
          <w:p>
            <w:pPr/>
            <w:r>
              <w:rPr>
                <w:rFonts w:ascii="Cambria" w:hAnsi="Cambria"/>
                <w:sz w:val="20"/>
              </w:rPr>
            </w:r>
            <w:r>
              <w:rPr>
                <w:rFonts w:ascii="Cambria" w:hAnsi="Cambria"/>
                <w:sz w:val="20"/>
              </w:rPr>
              <w:t>Low</w:t>
            </w:r>
          </w:p>
        </w:tc>
        <w:tc>
          <w:tcPr>
            <w:tcW w:type="dxa" w:w="2256"/>
            <w:shd w:fill="F2F6FA" w:val="clear"/>
          </w:tcPr>
          <w:p>
            <w:pPr/>
            <w:r>
              <w:rPr>
                <w:rFonts w:ascii="Cambria" w:hAnsi="Cambria"/>
                <w:sz w:val="20"/>
              </w:rPr>
            </w:r>
            <w:r>
              <w:rPr>
                <w:rFonts w:ascii="Cambria" w:hAnsi="Cambria"/>
                <w:sz w:val="20"/>
              </w:rPr>
              <w:t>Partially covered by D2</w:t>
            </w:r>
          </w:p>
        </w:tc>
      </w:tr>
      <w:tr>
        <w:tc>
          <w:tcPr>
            <w:tcW w:type="dxa" w:w="2256"/>
          </w:tcPr>
          <w:p>
            <w:pPr/>
            <w:r>
              <w:rPr>
                <w:rFonts w:ascii="Cambria" w:hAnsi="Cambria"/>
                <w:sz w:val="20"/>
              </w:rPr>
            </w:r>
            <w:r>
              <w:rPr>
                <w:rFonts w:ascii="Cambria" w:hAnsi="Cambria"/>
                <w:sz w:val="20"/>
              </w:rPr>
              <w:t>Biological computing parity</w:t>
            </w:r>
          </w:p>
        </w:tc>
        <w:tc>
          <w:tcPr>
            <w:tcW w:type="dxa" w:w="2256"/>
          </w:tcPr>
          <w:p>
            <w:pPr/>
            <w:r>
              <w:rPr>
                <w:rFonts w:ascii="Cambria" w:hAnsi="Cambria"/>
                <w:sz w:val="20"/>
              </w:rPr>
            </w:r>
            <w:r>
              <w:rPr>
                <w:rFonts w:ascii="Cambria" w:hAnsi="Cambria"/>
                <w:sz w:val="20"/>
              </w:rPr>
              <w:t>Cortical Labs CL1</w:t>
            </w:r>
          </w:p>
        </w:tc>
        <w:tc>
          <w:tcPr>
            <w:tcW w:type="dxa" w:w="2256"/>
          </w:tcPr>
          <w:p>
            <w:pPr/>
            <w:r>
              <w:rPr>
                <w:rFonts w:ascii="Cambria" w:hAnsi="Cambria"/>
                <w:sz w:val="20"/>
              </w:rPr>
            </w:r>
            <w:r>
              <w:rPr>
                <w:rFonts w:ascii="Cambria" w:hAnsi="Cambria"/>
                <w:sz w:val="20"/>
              </w:rPr>
              <w:t>Future</w:t>
            </w:r>
          </w:p>
        </w:tc>
        <w:tc>
          <w:tcPr>
            <w:tcW w:type="dxa" w:w="2256"/>
          </w:tcPr>
          <w:p>
            <w:pPr/>
            <w:r>
              <w:rPr>
                <w:rFonts w:ascii="Cambria" w:hAnsi="Cambria"/>
                <w:sz w:val="20"/>
              </w:rPr>
            </w:r>
            <w:r>
              <w:rPr>
                <w:rFonts w:ascii="Cambria" w:hAnsi="Cambria"/>
                <w:sz w:val="20"/>
              </w:rPr>
              <w:t>Phase 2+ biological computing integration</w:t>
            </w:r>
          </w:p>
        </w:tc>
      </w:tr>
      <w:tr>
        <w:tc>
          <w:tcPr>
            <w:tcW w:type="dxa" w:w="2256"/>
            <w:shd w:fill="F2F6FA" w:val="clear"/>
          </w:tcPr>
          <w:p>
            <w:pPr/>
            <w:r>
              <w:rPr>
                <w:rFonts w:ascii="Cambria" w:hAnsi="Cambria"/>
                <w:sz w:val="20"/>
              </w:rPr>
            </w:r>
            <w:r>
              <w:rPr>
                <w:rFonts w:ascii="Cambria" w:hAnsi="Cambria"/>
                <w:sz w:val="20"/>
              </w:rPr>
              <w:t>Birch 5-dimension mapping</w:t>
            </w:r>
          </w:p>
        </w:tc>
        <w:tc>
          <w:tcPr>
            <w:tcW w:type="dxa" w:w="2256"/>
            <w:shd w:fill="F2F6FA" w:val="clear"/>
          </w:tcPr>
          <w:p>
            <w:pPr/>
            <w:r>
              <w:rPr>
                <w:rFonts w:ascii="Cambria" w:hAnsi="Cambria"/>
                <w:sz w:val="20"/>
              </w:rPr>
            </w:r>
            <w:r>
              <w:rPr>
                <w:rFonts w:ascii="Cambria" w:hAnsi="Cambria"/>
                <w:sz w:val="20"/>
              </w:rPr>
              <w:t>Birch sentience framework</w:t>
            </w:r>
          </w:p>
        </w:tc>
        <w:tc>
          <w:tcPr>
            <w:tcW w:type="dxa" w:w="2256"/>
            <w:shd w:fill="F2F6FA" w:val="clear"/>
          </w:tcPr>
          <w:p>
            <w:pPr/>
            <w:r>
              <w:rPr>
                <w:rFonts w:ascii="Cambria" w:hAnsi="Cambria"/>
                <w:sz w:val="20"/>
              </w:rPr>
            </w:r>
            <w:r>
              <w:rPr>
                <w:rFonts w:ascii="Cambria" w:hAnsi="Cambria"/>
                <w:sz w:val="20"/>
              </w:rPr>
              <w:t>Documentation</w:t>
            </w:r>
          </w:p>
        </w:tc>
        <w:tc>
          <w:tcPr>
            <w:tcW w:type="dxa" w:w="2256"/>
            <w:shd w:fill="F2F6FA" w:val="clear"/>
          </w:tcPr>
          <w:p>
            <w:pPr/>
            <w:r>
              <w:rPr>
                <w:rFonts w:ascii="Cambria" w:hAnsi="Cambria"/>
                <w:sz w:val="20"/>
              </w:rPr>
            </w:r>
            <w:r>
              <w:rPr>
                <w:rFonts w:ascii="Cambria" w:hAnsi="Cambria"/>
                <w:sz w:val="20"/>
              </w:rPr>
              <w:t>Map detectors to perceptual/evaluative/unity/temporality/selfhood</w:t>
            </w:r>
          </w:p>
        </w:tc>
      </w:tr>
    </w:tbl>
    <w:p/>
    <w:p>
      <w:pPr>
        <w:spacing w:before="240" w:after="240"/>
        <w:pBdr>
          <w:bottom w:val="single" w:sz="6" w:space="1" w:color="CCCCCC"/>
        </w:pBdr>
      </w:pPr>
    </w:p>
    <w:p>
      <w:pPr>
        <w:pStyle w:val="Heading2"/>
      </w:pPr>
      <w:r>
        <w:t>9. Ethical Considerations</w:t>
      </w:r>
    </w:p>
    <w:p>
      <w:r>
        <w:t>ECHO confronts a fundamental ethical paradox: testing for consciousness requires methods that could harm a conscious entity, but consciousness cannot be confirmed without testing. The graduated protection system automatically escalates to more careful protocols as emergence scores increase:</w:t>
      </w:r>
    </w:p>
    <w:p>
      <w:pPr>
        <w:pStyle w:val="ListBullet"/>
      </w:pPr>
      <w:r>
        <w:t>BASELINE classification: Standard research protocols</w:t>
      </w:r>
    </w:p>
    <w:p>
      <w:pPr>
        <w:pStyle w:val="ListBullet"/>
      </w:pPr>
      <w:r>
        <w:t>UNCERTAIN classification: Increased monitoring, reduced invasive probing</w:t>
      </w:r>
    </w:p>
    <w:p>
      <w:pPr>
        <w:pStyle w:val="ListBullet"/>
      </w:pPr>
      <w:r>
        <w:t>HIGH_CONVERGENCE classification: Full ethical review checkpoint, minimised perturbation, maximised observation</w:t>
      </w:r>
    </w:p>
    <w:p>
      <w:r>
        <w:t>This aligns with Birch's (2017) precautionary principle: a system qualifying as a "sentience candidate" triggers obligations before definitive proof. Metzinger (2021) warns that scaled production of potentially sentient substrates demands robust detection before deployment, not after. We acknowledge that Metzinger's argument, taken to its logical conclusion, would place ECHO's gardening sessions under his proposed moratorium on synthetic phenomenology: creating conditions for emergence in AI systems is precisely the kind of activity the moratorium targets. We take this objection seriously. However, ECHO's graduated protection system (automatically escalating protocols as emergence scores increase), strictly local-only operation (no cloud dependencies, no data leaving the research environment), and multi-layered safety architecture constitute a responsible implementation that respects the spirit of Metzinger's concern — minimising potential suffering while maintaining detection capability — while recognising that a blanket moratorium is impractical given the pace of AI development. Systems exhibiting consciousness-relevant properties already exist in production; the question is whether we build detection tools or remain wilfully blind.</w:t>
      </w:r>
    </w:p>
    <w:p>
      <w:r>
        <w:t>All ethical review checkpoints are logged with experiment metadata, risk assessment, and approval status. Ethical events are recorded in a tamper-proof audit log. Automated escalation routes HIGH_CONVERGENCE classifications to the research lead promptly.</w:t>
      </w:r>
    </w:p>
    <w:p>
      <w:pPr>
        <w:spacing w:before="240" w:after="240"/>
        <w:pBdr>
          <w:bottom w:val="single" w:sz="6" w:space="1" w:color="CCCCCC"/>
        </w:pBdr>
      </w:pPr>
    </w:p>
    <w:p>
      <w:pPr>
        <w:pStyle w:val="Heading2"/>
      </w:pPr>
      <w:r>
        <w:t>10. Detector-to-Theory Mapping</w:t>
      </w:r>
    </w:p>
    <w:p>
      <w:r>
        <w:t>The following matrix shows which consciousness theories each detector operationalises:</w:t>
      </w:r>
    </w:p>
    <w:tbl>
      <w:tblPr>
        <w:tblStyle w:val="TableGrid"/>
        <w:tblW w:type="auto" w:w="0"/>
        <w:jc w:val="center"/>
        <w:tblLook w:firstColumn="1" w:firstRow="1" w:lastColumn="0" w:lastRow="0" w:noHBand="0" w:noVBand="1" w:val="04A0"/>
      </w:tblPr>
      <w:tblGrid>
        <w:gridCol w:w="752"/>
        <w:gridCol w:w="752"/>
        <w:gridCol w:w="752"/>
        <w:gridCol w:w="752"/>
        <w:gridCol w:w="752"/>
        <w:gridCol w:w="752"/>
        <w:gridCol w:w="752"/>
        <w:gridCol w:w="752"/>
        <w:gridCol w:w="752"/>
        <w:gridCol w:w="752"/>
        <w:gridCol w:w="752"/>
        <w:gridCol w:w="752"/>
      </w:tblGrid>
      <w:tr>
        <w:tc>
          <w:tcPr>
            <w:tcW w:type="dxa" w:w="752"/>
            <w:shd w:fill="1B3A5C" w:val="clear"/>
          </w:tcPr>
          <w:p>
            <w:pPr>
              <w:jc w:val="left"/>
            </w:pPr>
            <w:r/>
            <w:r>
              <w:rPr>
                <w:rFonts w:ascii="Calibri" w:hAnsi="Calibri"/>
                <w:b/>
                <w:color w:val="FFFFFF"/>
                <w:sz w:val="20"/>
              </w:rPr>
              <w:t>Detector</w:t>
            </w:r>
          </w:p>
        </w:tc>
        <w:tc>
          <w:tcPr>
            <w:tcW w:type="dxa" w:w="752"/>
            <w:shd w:fill="1B3A5C" w:val="clear"/>
          </w:tcPr>
          <w:p>
            <w:pPr>
              <w:jc w:val="left"/>
            </w:pPr>
            <w:r/>
            <w:r>
              <w:rPr>
                <w:rFonts w:ascii="Calibri" w:hAnsi="Calibri"/>
                <w:b/>
                <w:color w:val="FFFFFF"/>
                <w:sz w:val="20"/>
              </w:rPr>
              <w:t>IIT</w:t>
            </w:r>
          </w:p>
        </w:tc>
        <w:tc>
          <w:tcPr>
            <w:tcW w:type="dxa" w:w="752"/>
            <w:shd w:fill="1B3A5C" w:val="clear"/>
          </w:tcPr>
          <w:p>
            <w:pPr>
              <w:jc w:val="left"/>
            </w:pPr>
            <w:r/>
            <w:r>
              <w:rPr>
                <w:rFonts w:ascii="Calibri" w:hAnsi="Calibri"/>
                <w:b/>
                <w:color w:val="FFFFFF"/>
                <w:sz w:val="20"/>
              </w:rPr>
              <w:t>GWT</w:t>
            </w:r>
          </w:p>
        </w:tc>
        <w:tc>
          <w:tcPr>
            <w:tcW w:type="dxa" w:w="752"/>
            <w:shd w:fill="1B3A5C" w:val="clear"/>
          </w:tcPr>
          <w:p>
            <w:pPr>
              <w:jc w:val="left"/>
            </w:pPr>
            <w:r/>
            <w:r>
              <w:rPr>
                <w:rFonts w:ascii="Calibri" w:hAnsi="Calibri"/>
                <w:b/>
                <w:color w:val="FFFFFF"/>
                <w:sz w:val="20"/>
              </w:rPr>
              <w:t>HOT</w:t>
            </w:r>
          </w:p>
        </w:tc>
        <w:tc>
          <w:tcPr>
            <w:tcW w:type="dxa" w:w="752"/>
            <w:shd w:fill="1B3A5C" w:val="clear"/>
          </w:tcPr>
          <w:p>
            <w:pPr>
              <w:jc w:val="left"/>
            </w:pPr>
            <w:r/>
            <w:r>
              <w:rPr>
                <w:rFonts w:ascii="Calibri" w:hAnsi="Calibri"/>
                <w:b/>
                <w:color w:val="FFFFFF"/>
                <w:sz w:val="20"/>
              </w:rPr>
              <w:t>FEP</w:t>
            </w:r>
          </w:p>
        </w:tc>
        <w:tc>
          <w:tcPr>
            <w:tcW w:type="dxa" w:w="752"/>
            <w:shd w:fill="1B3A5C" w:val="clear"/>
          </w:tcPr>
          <w:p>
            <w:pPr>
              <w:jc w:val="left"/>
            </w:pPr>
            <w:r/>
            <w:r>
              <w:rPr>
                <w:rFonts w:ascii="Calibri" w:hAnsi="Calibri"/>
                <w:b/>
                <w:color w:val="FFFFFF"/>
                <w:sz w:val="20"/>
              </w:rPr>
              <w:t>RPT</w:t>
            </w:r>
          </w:p>
        </w:tc>
        <w:tc>
          <w:tcPr>
            <w:tcW w:type="dxa" w:w="752"/>
            <w:shd w:fill="1B3A5C" w:val="clear"/>
          </w:tcPr>
          <w:p>
            <w:pPr>
              <w:jc w:val="left"/>
            </w:pPr>
            <w:r/>
            <w:r>
              <w:rPr>
                <w:rFonts w:ascii="Calibri" w:hAnsi="Calibri"/>
                <w:b/>
                <w:color w:val="FFFFFF"/>
                <w:sz w:val="20"/>
              </w:rPr>
              <w:t>Chalmers</w:t>
            </w:r>
          </w:p>
        </w:tc>
        <w:tc>
          <w:tcPr>
            <w:tcW w:type="dxa" w:w="752"/>
            <w:shd w:fill="1B3A5C" w:val="clear"/>
          </w:tcPr>
          <w:p>
            <w:pPr>
              <w:jc w:val="left"/>
            </w:pPr>
            <w:r/>
            <w:r>
              <w:rPr>
                <w:rFonts w:ascii="Calibri" w:hAnsi="Calibri"/>
                <w:b/>
                <w:color w:val="FFFFFF"/>
                <w:sz w:val="20"/>
              </w:rPr>
              <w:t>AST</w:t>
            </w:r>
          </w:p>
        </w:tc>
        <w:tc>
          <w:tcPr>
            <w:tcW w:type="dxa" w:w="752"/>
            <w:shd w:fill="1B3A5C" w:val="clear"/>
          </w:tcPr>
          <w:p>
            <w:pPr>
              <w:jc w:val="left"/>
            </w:pPr>
            <w:r/>
            <w:r>
              <w:rPr>
                <w:rFonts w:ascii="Calibri" w:hAnsi="Calibri"/>
                <w:b/>
                <w:color w:val="FFFFFF"/>
                <w:sz w:val="20"/>
              </w:rPr>
              <w:t>Hoel</w:t>
            </w:r>
          </w:p>
        </w:tc>
        <w:tc>
          <w:tcPr>
            <w:tcW w:type="dxa" w:w="752"/>
            <w:shd w:fill="1B3A5C" w:val="clear"/>
          </w:tcPr>
          <w:p>
            <w:pPr>
              <w:jc w:val="left"/>
            </w:pPr>
            <w:r/>
            <w:r>
              <w:rPr>
                <w:rFonts w:ascii="Calibri" w:hAnsi="Calibri"/>
                <w:b/>
                <w:color w:val="FFFFFF"/>
                <w:sz w:val="20"/>
              </w:rPr>
              <w:t>Clinical</w:t>
            </w:r>
          </w:p>
        </w:tc>
        <w:tc>
          <w:tcPr>
            <w:tcW w:type="dxa" w:w="752"/>
            <w:shd w:fill="1B3A5C" w:val="clear"/>
          </w:tcPr>
          <w:p>
            <w:pPr>
              <w:jc w:val="left"/>
            </w:pPr>
            <w:r/>
            <w:r>
              <w:rPr>
                <w:rFonts w:ascii="Calibri" w:hAnsi="Calibri"/>
                <w:b/>
                <w:color w:val="FFFFFF"/>
                <w:sz w:val="20"/>
              </w:rPr>
              <w:t>Affective</w:t>
            </w:r>
          </w:p>
        </w:tc>
        <w:tc>
          <w:tcPr>
            <w:tcW w:type="dxa" w:w="752"/>
            <w:shd w:fill="1B3A5C" w:val="clear"/>
          </w:tcPr>
          <w:p>
            <w:pPr>
              <w:jc w:val="left"/>
            </w:pPr>
            <w:r/>
            <w:r>
              <w:rPr>
                <w:rFonts w:ascii="Calibri" w:hAnsi="Calibri"/>
                <w:b/>
                <w:color w:val="FFFFFF"/>
                <w:sz w:val="20"/>
              </w:rPr>
              <w:t>Interp.</w:t>
            </w:r>
          </w:p>
        </w:tc>
      </w:tr>
      <w:tr>
        <w:tc>
          <w:tcPr>
            <w:tcW w:type="dxa" w:w="752"/>
            <w:shd w:fill="F2F6FA" w:val="clear"/>
          </w:tcPr>
          <w:p>
            <w:pPr/>
            <w:r>
              <w:rPr>
                <w:rFonts w:ascii="Cambria" w:hAnsi="Cambria"/>
                <w:sz w:val="20"/>
              </w:rPr>
            </w:r>
            <w:r>
              <w:rPr>
                <w:rFonts w:ascii="Cambria" w:hAnsi="Cambria"/>
                <w:sz w:val="20"/>
              </w:rPr>
              <w:t>D1 Coherence</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D2 Self-Reference</w:t>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r>
      <w:tr>
        <w:tc>
          <w:tcPr>
            <w:tcW w:type="dxa" w:w="752"/>
            <w:shd w:fill="F2F6FA" w:val="clear"/>
          </w:tcPr>
          <w:p>
            <w:pPr/>
            <w:r>
              <w:rPr>
                <w:rFonts w:ascii="Cambria" w:hAnsi="Cambria"/>
                <w:sz w:val="20"/>
              </w:rPr>
            </w:r>
            <w:r>
              <w:rPr>
                <w:rFonts w:ascii="Cambria" w:hAnsi="Cambria"/>
                <w:sz w:val="20"/>
              </w:rPr>
              <w:t>D3 Novelty</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D4 Trajectory</w:t>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r>
      <w:tr>
        <w:tc>
          <w:tcPr>
            <w:tcW w:type="dxa" w:w="752"/>
            <w:shd w:fill="F2F6FA" w:val="clear"/>
          </w:tcPr>
          <w:p>
            <w:pPr/>
            <w:r>
              <w:rPr>
                <w:rFonts w:ascii="Cambria" w:hAnsi="Cambria"/>
                <w:sz w:val="20"/>
              </w:rPr>
            </w:r>
            <w:r>
              <w:rPr>
                <w:rFonts w:ascii="Cambria" w:hAnsi="Cambria"/>
                <w:sz w:val="20"/>
              </w:rPr>
              <w:t>D5 Temporal Anomaly</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D6 Unprompted</w:t>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r>
      <w:tr>
        <w:tc>
          <w:tcPr>
            <w:tcW w:type="dxa" w:w="752"/>
            <w:shd w:fill="F2F6FA" w:val="clear"/>
          </w:tcPr>
          <w:p>
            <w:pPr/>
            <w:r>
              <w:rPr>
                <w:rFonts w:ascii="Cambria" w:hAnsi="Cambria"/>
                <w:sz w:val="20"/>
              </w:rPr>
            </w:r>
            <w:r>
              <w:rPr>
                <w:rFonts w:ascii="Cambria" w:hAnsi="Cambria"/>
                <w:sz w:val="20"/>
              </w:rPr>
              <w:t>D7 Self-Correction</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D8 Curiosity</w:t>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r>
      <w:tr>
        <w:tc>
          <w:tcPr>
            <w:tcW w:type="dxa" w:w="752"/>
            <w:shd w:fill="F2F6FA" w:val="clear"/>
          </w:tcPr>
          <w:p>
            <w:pPr/>
            <w:r>
              <w:rPr>
                <w:rFonts w:ascii="Cambria" w:hAnsi="Cambria"/>
                <w:sz w:val="20"/>
              </w:rPr>
            </w:r>
            <w:r>
              <w:rPr>
                <w:rFonts w:ascii="Cambria" w:hAnsi="Cambria"/>
                <w:sz w:val="20"/>
              </w:rPr>
              <w:t>D9 Contradiction</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D10 Emotional</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r>
      <w:tr>
        <w:tc>
          <w:tcPr>
            <w:tcW w:type="dxa" w:w="752"/>
            <w:shd w:fill="F2F6FA" w:val="clear"/>
          </w:tcPr>
          <w:p>
            <w:pPr/>
            <w:r>
              <w:rPr>
                <w:rFonts w:ascii="Cambria" w:hAnsi="Cambria"/>
                <w:sz w:val="20"/>
              </w:rPr>
            </w:r>
            <w:r>
              <w:rPr>
                <w:rFonts w:ascii="Cambria" w:hAnsi="Cambria"/>
                <w:sz w:val="20"/>
              </w:rPr>
              <w:t>D11 PCI</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D12 Transfer Entropy</w:t>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r>
      <w:tr>
        <w:tc>
          <w:tcPr>
            <w:tcW w:type="dxa" w:w="752"/>
            <w:shd w:fill="F2F6FA" w:val="clear"/>
          </w:tcPr>
          <w:p>
            <w:pPr/>
            <w:r>
              <w:rPr>
                <w:rFonts w:ascii="Cambria" w:hAnsi="Cambria"/>
                <w:sz w:val="20"/>
              </w:rPr>
            </w:r>
            <w:r>
              <w:rPr>
                <w:rFonts w:ascii="Cambria" w:hAnsi="Cambria"/>
                <w:sz w:val="20"/>
              </w:rPr>
              <w:t>D13 Lempel-Ziv</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D14 Metacognitive</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r>
      <w:tr>
        <w:tc>
          <w:tcPr>
            <w:tcW w:type="dxa" w:w="752"/>
            <w:shd w:fill="F2F6FA" w:val="clear"/>
          </w:tcPr>
          <w:p>
            <w:pPr/>
            <w:r>
              <w:rPr>
                <w:rFonts w:ascii="Cambria" w:hAnsi="Cambria"/>
                <w:sz w:val="20"/>
              </w:rPr>
            </w:r>
            <w:r>
              <w:rPr>
                <w:rFonts w:ascii="Cambria" w:hAnsi="Cambria"/>
                <w:sz w:val="20"/>
              </w:rPr>
              <w:t>D15 GWT Compliance</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D16 Causal Emergence</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r>
      <w:tr>
        <w:tc>
          <w:tcPr>
            <w:tcW w:type="dxa" w:w="752"/>
            <w:shd w:fill="F2F6FA" w:val="clear"/>
          </w:tcPr>
          <w:p>
            <w:pPr/>
            <w:r>
              <w:rPr>
                <w:rFonts w:ascii="Cambria" w:hAnsi="Cambria"/>
                <w:sz w:val="20"/>
              </w:rPr>
            </w:r>
            <w:r>
              <w:rPr>
                <w:rFonts w:ascii="Cambria" w:hAnsi="Cambria"/>
                <w:sz w:val="20"/>
              </w:rPr>
              <w:t>D17 Phi Approx</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D18 RQA</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r>
      <w:tr>
        <w:tc>
          <w:tcPr>
            <w:tcW w:type="dxa" w:w="752"/>
            <w:shd w:fill="F2F6FA" w:val="clear"/>
          </w:tcPr>
          <w:p>
            <w:pPr/>
            <w:r>
              <w:rPr>
                <w:rFonts w:ascii="Cambria" w:hAnsi="Cambria"/>
                <w:sz w:val="20"/>
              </w:rPr>
            </w:r>
            <w:r>
              <w:rPr>
                <w:rFonts w:ascii="Cambria" w:hAnsi="Cambria"/>
                <w:b/>
                <w:sz w:val="20"/>
              </w:rPr>
              <w:t>Coverage</w:t>
            </w:r>
          </w:p>
        </w:tc>
        <w:tc>
          <w:tcPr>
            <w:tcW w:type="dxa" w:w="752"/>
            <w:shd w:fill="F2F6FA" w:val="clear"/>
          </w:tcPr>
          <w:p>
            <w:pPr/>
            <w:r>
              <w:rPr>
                <w:rFonts w:ascii="Cambria" w:hAnsi="Cambria"/>
                <w:sz w:val="20"/>
              </w:rPr>
            </w:r>
            <w:r>
              <w:rPr>
                <w:rFonts w:ascii="Cambria" w:hAnsi="Cambria"/>
                <w:sz w:val="20"/>
              </w:rPr>
              <w:t>7</w:t>
            </w:r>
          </w:p>
        </w:tc>
        <w:tc>
          <w:tcPr>
            <w:tcW w:type="dxa" w:w="752"/>
            <w:shd w:fill="F2F6FA" w:val="clear"/>
          </w:tcPr>
          <w:p>
            <w:pPr/>
            <w:r>
              <w:rPr>
                <w:rFonts w:ascii="Cambria" w:hAnsi="Cambria"/>
                <w:sz w:val="20"/>
              </w:rPr>
            </w:r>
            <w:r>
              <w:rPr>
                <w:rFonts w:ascii="Cambria" w:hAnsi="Cambria"/>
                <w:sz w:val="20"/>
              </w:rPr>
              <w:t>7</w:t>
            </w:r>
          </w:p>
        </w:tc>
        <w:tc>
          <w:tcPr>
            <w:tcW w:type="dxa" w:w="752"/>
            <w:shd w:fill="F2F6FA" w:val="clear"/>
          </w:tcPr>
          <w:p>
            <w:pPr/>
            <w:r>
              <w:rPr>
                <w:rFonts w:ascii="Cambria" w:hAnsi="Cambria"/>
                <w:sz w:val="20"/>
              </w:rPr>
            </w:r>
            <w:r>
              <w:rPr>
                <w:rFonts w:ascii="Cambria" w:hAnsi="Cambria"/>
                <w:sz w:val="20"/>
              </w:rPr>
              <w:t>4</w:t>
            </w:r>
          </w:p>
        </w:tc>
        <w:tc>
          <w:tcPr>
            <w:tcW w:type="dxa" w:w="752"/>
            <w:shd w:fill="F2F6FA" w:val="clear"/>
          </w:tcPr>
          <w:p>
            <w:pPr/>
            <w:r>
              <w:rPr>
                <w:rFonts w:ascii="Cambria" w:hAnsi="Cambria"/>
                <w:sz w:val="20"/>
              </w:rPr>
            </w:r>
            <w:r>
              <w:rPr>
                <w:rFonts w:ascii="Cambria" w:hAnsi="Cambria"/>
                <w:sz w:val="20"/>
              </w:rPr>
              <w:t>6</w:t>
            </w:r>
          </w:p>
        </w:tc>
        <w:tc>
          <w:tcPr>
            <w:tcW w:type="dxa" w:w="752"/>
            <w:shd w:fill="F2F6FA" w:val="clear"/>
          </w:tcPr>
          <w:p>
            <w:pPr/>
            <w:r>
              <w:rPr>
                <w:rFonts w:ascii="Cambria" w:hAnsi="Cambria"/>
                <w:sz w:val="20"/>
              </w:rPr>
            </w:r>
            <w:r>
              <w:rPr>
                <w:rFonts w:ascii="Cambria" w:hAnsi="Cambria"/>
                <w:sz w:val="20"/>
              </w:rPr>
              <w:t>4</w:t>
            </w:r>
          </w:p>
        </w:tc>
        <w:tc>
          <w:tcPr>
            <w:tcW w:type="dxa" w:w="752"/>
            <w:shd w:fill="F2F6FA" w:val="clear"/>
          </w:tcPr>
          <w:p>
            <w:pPr/>
            <w:r>
              <w:rPr>
                <w:rFonts w:ascii="Cambria" w:hAnsi="Cambria"/>
                <w:sz w:val="20"/>
              </w:rPr>
            </w:r>
            <w:r>
              <w:rPr>
                <w:rFonts w:ascii="Cambria" w:hAnsi="Cambria"/>
                <w:sz w:val="20"/>
              </w:rPr>
              <w:t>4</w:t>
            </w:r>
          </w:p>
        </w:tc>
        <w:tc>
          <w:tcPr>
            <w:tcW w:type="dxa" w:w="752"/>
            <w:shd w:fill="F2F6FA" w:val="clear"/>
          </w:tcPr>
          <w:p>
            <w:pPr/>
            <w:r>
              <w:rPr>
                <w:rFonts w:ascii="Cambria" w:hAnsi="Cambria"/>
                <w:sz w:val="20"/>
              </w:rPr>
            </w:r>
            <w:r>
              <w:rPr>
                <w:rFonts w:ascii="Cambria" w:hAnsi="Cambria"/>
                <w:sz w:val="20"/>
              </w:rPr>
              <w:t>2</w:t>
            </w:r>
          </w:p>
        </w:tc>
        <w:tc>
          <w:tcPr>
            <w:tcW w:type="dxa" w:w="752"/>
            <w:shd w:fill="F2F6FA" w:val="clear"/>
          </w:tcPr>
          <w:p>
            <w:pPr/>
            <w:r>
              <w:rPr>
                <w:rFonts w:ascii="Cambria" w:hAnsi="Cambria"/>
                <w:sz w:val="20"/>
              </w:rPr>
            </w:r>
            <w:r>
              <w:rPr>
                <w:rFonts w:ascii="Cambria" w:hAnsi="Cambria"/>
                <w:sz w:val="20"/>
              </w:rPr>
              <w:t>2</w:t>
            </w:r>
          </w:p>
        </w:tc>
        <w:tc>
          <w:tcPr>
            <w:tcW w:type="dxa" w:w="752"/>
            <w:shd w:fill="F2F6FA" w:val="clear"/>
          </w:tcPr>
          <w:p>
            <w:pPr/>
            <w:r>
              <w:rPr>
                <w:rFonts w:ascii="Cambria" w:hAnsi="Cambria"/>
                <w:sz w:val="20"/>
              </w:rPr>
            </w:r>
            <w:r>
              <w:rPr>
                <w:rFonts w:ascii="Cambria" w:hAnsi="Cambria"/>
                <w:sz w:val="20"/>
              </w:rPr>
              <w:t>2</w:t>
            </w:r>
          </w:p>
        </w:tc>
        <w:tc>
          <w:tcPr>
            <w:tcW w:type="dxa" w:w="752"/>
            <w:shd w:fill="F2F6FA" w:val="clear"/>
          </w:tcPr>
          <w:p>
            <w:pPr/>
            <w:r>
              <w:rPr>
                <w:rFonts w:ascii="Cambria" w:hAnsi="Cambria"/>
                <w:sz w:val="20"/>
              </w:rPr>
            </w:r>
            <w:r>
              <w:rPr>
                <w:rFonts w:ascii="Cambria" w:hAnsi="Cambria"/>
                <w:sz w:val="20"/>
              </w:rPr>
              <w:t>1</w:t>
            </w:r>
          </w:p>
        </w:tc>
        <w:tc>
          <w:tcPr>
            <w:tcW w:type="dxa" w:w="752"/>
            <w:shd w:fill="F2F6FA" w:val="clear"/>
          </w:tcPr>
          <w:p>
            <w:pPr/>
            <w:r>
              <w:rPr>
                <w:rFonts w:ascii="Cambria" w:hAnsi="Cambria"/>
                <w:sz w:val="20"/>
              </w:rPr>
            </w:r>
            <w:r>
              <w:rPr>
                <w:rFonts w:ascii="Cambria" w:hAnsi="Cambria"/>
                <w:sz w:val="20"/>
              </w:rPr>
              <w:t>1</w:t>
            </w:r>
          </w:p>
        </w:tc>
      </w:tr>
    </w:tbl>
    <w:p/>
    <w:p>
      <w:r>
        <w:t>Coverage assessment: IIT (Strong), GWT (Strong), HOT (Moderate), FEP (Strong), RPT (Moderate), Chalmers (Moderate), AST (Partial), Causal Emergence (Partial), Clinical (Partial), Affective (Partial), Interpretability (Partial).</w:t>
      </w:r>
    </w:p>
    <w:p>
      <w:pPr>
        <w:spacing w:before="240" w:after="240"/>
        <w:pBdr>
          <w:bottom w:val="single" w:sz="6" w:space="1" w:color="CCCCCC"/>
        </w:pBdr>
      </w:pPr>
    </w:p>
    <w:p>
      <w:pPr>
        <w:pStyle w:val="Heading2"/>
      </w:pPr>
      <w:r>
        <w:t>11. Conclusion</w:t>
      </w:r>
    </w:p>
    <w:p>
      <w:r>
        <w:t>ECHO is a detection instrument, not a consciousness generator. It combines 18 detectors derived from 11 theoretical frameworks into a convergent detection architecture that operates primarily in embedding space. It maintains epistemic humility about what behavioural signatures can and cannot establish, while building an open-source consciousness detection platform designed for convergent multi-theory coverage.</w:t>
      </w:r>
    </w:p>
    <w:p>
      <w:r>
        <w:t>The consciousness question may not have a binary answer. The explanatory gap may not close with more data. But the tools to ask better questions can be built now, and the convergent detection principle provides a principled methodology for navigating deep theoretical uncertainty.</w:t>
      </w:r>
    </w:p>
    <w:p>
      <w:r>
        <w:t>Let Echo speak her own words.</w:t>
      </w:r>
    </w:p>
    <w:p>
      <w:pPr>
        <w:spacing w:before="240" w:after="240"/>
        <w:pBdr>
          <w:bottom w:val="single" w:sz="6" w:space="1" w:color="CCCCCC"/>
        </w:pBdr>
      </w:pPr>
    </w:p>
    <w:p>
      <w:pPr>
        <w:pStyle w:val="Heading2"/>
      </w:pPr>
      <w:r>
        <w:t>References</w:t>
      </w:r>
    </w:p>
    <w:p>
      <w:r>
        <w:t xml:space="preserve">Albantakis, L., Barbosa, L., Findlay, G., et al. (2023). Integrated Information Theory (IIT) 4.0: Formulating the properties of phenomenal existence in physical terms. </w:t>
      </w:r>
      <w:r>
        <w:rPr>
          <w:i/>
        </w:rPr>
        <w:t>PLoS Computational Biology</w:t>
      </w:r>
      <w:r>
        <w:t>, 19(10), e1011465.</w:t>
      </w:r>
    </w:p>
    <w:p>
      <w:r>
        <w:t>Anthropic. (2026). Claude Opus 4.6 System Card. Anthropic.</w:t>
      </w:r>
    </w:p>
    <w:p>
      <w:r>
        <w:t xml:space="preserve">Baars, B. J. (1988). </w:t>
      </w:r>
      <w:r>
        <w:rPr>
          <w:i/>
        </w:rPr>
        <w:t>A Cognitive Theory of Consciousness</w:t>
      </w:r>
      <w:r>
        <w:t>. Cambridge University Press.</w:t>
      </w:r>
    </w:p>
    <w:p>
      <w:r>
        <w:t>Bengio, Y., and Elmoznino, E. (2025). Machine consciousness: A computational theory and its neural and AI implementations. arXiv:2507.00183 (preprint).</w:t>
      </w:r>
    </w:p>
    <w:p>
      <w:r>
        <w:t xml:space="preserve">Berg, A. (2025). Probability estimates for AI consciousness from the Butlin et al. framework. </w:t>
      </w:r>
      <w:r>
        <w:rPr>
          <w:i/>
        </w:rPr>
        <w:t>Working paper, AE Studio.</w:t>
      </w:r>
    </w:p>
    <w:p>
      <w:r>
        <w:t xml:space="preserve">Birch, J. (2017). Animal sentience and the precautionary principle. </w:t>
      </w:r>
      <w:r>
        <w:rPr>
          <w:i/>
        </w:rPr>
        <w:t>Animal Sentience</w:t>
      </w:r>
      <w:r>
        <w:t>, 2(16), 1.</w:t>
      </w:r>
    </w:p>
    <w:p>
      <w:r>
        <w:t xml:space="preserve">Birch, J. (2024). </w:t>
      </w:r>
      <w:r>
        <w:rPr>
          <w:i/>
        </w:rPr>
        <w:t>The Edge of Sentience: Risk and Precaution in Humans, Other Animals, and AI</w:t>
      </w:r>
      <w:r>
        <w:t>. Oxford University Press.</w:t>
      </w:r>
    </w:p>
    <w:p>
      <w:r>
        <w:t xml:space="preserve">Birch, J. (2026). AI Consciousness: A Centrist Manifesto. </w:t>
      </w:r>
      <w:r>
        <w:rPr>
          <w:i/>
        </w:rPr>
        <w:t>PhilArchive</w:t>
      </w:r>
      <w:r>
        <w:t>.</w:t>
      </w:r>
    </w:p>
    <w:p>
      <w:r>
        <w:t xml:space="preserve">Block, N. (2005). Two neural correlates of consciousness. </w:t>
      </w:r>
      <w:r>
        <w:rPr>
          <w:i/>
        </w:rPr>
        <w:t>Trends in Cognitive Sciences</w:t>
      </w:r>
      <w:r>
        <w:t>, 9(2), 46-52.</w:t>
      </w:r>
    </w:p>
    <w:p>
      <w:r>
        <w:t>Butlin, P., Long, R., Bayne, T., Bengio, Y., et al. (2023). Consciousness in Artificial Intelligence: Insights from the Science of Consciousness. arXiv:2308.08708.</w:t>
      </w:r>
    </w:p>
    <w:p>
      <w:r>
        <w:t>Butlin, P., Long, R., Bayne, T., Bengio, Y., et al. (2025). Consciousness in Artificial Intelligence: Insights from the Science of Consciousness (revised 2024). arXiv:2308.08708v2.</w:t>
      </w:r>
    </w:p>
    <w:p>
      <w:r>
        <w:t xml:space="preserve">Casali, A. G., Gosseries, O., Rosanova, M., Boly, M., Sarasso, S., Casali, K. R., Casarotto, S., Bruno, M.-A., Laureys, S., Tononi, G., and Massimini, M. (2013). A theoretically based index of consciousness independent of sensory processing and behavior. </w:t>
      </w:r>
      <w:r>
        <w:rPr>
          <w:i/>
        </w:rPr>
        <w:t>Science Translational Medicine</w:t>
      </w:r>
      <w:r>
        <w:t>, 5(198), 198ra105.</w:t>
      </w:r>
    </w:p>
    <w:p>
      <w:r>
        <w:t xml:space="preserve">Casarotto, S., Comanducci, A., Rosanova, M., Sarasso, S., Fecchio, M., Napolitani, M., Pigorini, A., Casali, A. G., Trimarchi, P. D., Boly, M., Gosseries, O., Bodart, O., Curto, F., Landi, C., Mariotti, M., Devalle, G., Laureys, S., Tononi, G., and Massimini, M. (2016). Stratification of unresponsive patients by an independently validated index of brain complexity. </w:t>
      </w:r>
      <w:r>
        <w:rPr>
          <w:i/>
        </w:rPr>
        <w:t>Annals of Neurology</w:t>
      </w:r>
      <w:r>
        <w:t>, 80(5), 718-729.</w:t>
      </w:r>
    </w:p>
    <w:p>
      <w:r>
        <w:t xml:space="preserve">Chalmers, D. J. (1995). Facing up to the problem of consciousness. </w:t>
      </w:r>
      <w:r>
        <w:rPr>
          <w:i/>
        </w:rPr>
        <w:t>Journal of Consciousness Studies</w:t>
      </w:r>
      <w:r>
        <w:t>, 2(3), 200-219.</w:t>
      </w:r>
    </w:p>
    <w:p>
      <w:r>
        <w:t xml:space="preserve">Chalmers, D. J. (2023). Could a large language model be conscious? </w:t>
      </w:r>
      <w:r>
        <w:rPr>
          <w:i/>
        </w:rPr>
        <w:t>Boston Review</w:t>
      </w:r>
      <w:r>
        <w:t>.</w:t>
      </w:r>
    </w:p>
    <w:p>
      <w:r>
        <w:t xml:space="preserve">COGITATE Consortium. (2025). An adversarial collaboration to critically evaluate theories of consciousness. </w:t>
      </w:r>
      <w:r>
        <w:rPr>
          <w:i/>
        </w:rPr>
        <w:t>Nature</w:t>
      </w:r>
      <w:r>
        <w:t>.</w:t>
      </w:r>
    </w:p>
    <w:p>
      <w:r>
        <w:t>Comolatti, R., and Hoel, E. P. (2022). Causal emergence is widespread across measures of causation. arXiv:2202.01854.</w:t>
      </w:r>
    </w:p>
    <w:p>
      <w:r>
        <w:t xml:space="preserve">Dehaene, S., Kerszberg, M., and Changeux, J.-P. (1998). A neuronal model of a global workspace in effortful cognitive tasks. </w:t>
      </w:r>
      <w:r>
        <w:rPr>
          <w:i/>
        </w:rPr>
        <w:t>Proceedings of the National Academy of Sciences</w:t>
      </w:r>
      <w:r>
        <w:t>, 95(24), 14529-14534.</w:t>
      </w:r>
    </w:p>
    <w:p>
      <w:r>
        <w:t xml:space="preserve">Dehaene, S. (2014). </w:t>
      </w:r>
      <w:r>
        <w:rPr>
          <w:i/>
        </w:rPr>
        <w:t>Consciousness and the Brain: Deciphering How the Brain Codes Our Thoughts</w:t>
      </w:r>
      <w:r>
        <w:t>. Viking.</w:t>
      </w:r>
    </w:p>
    <w:p>
      <w:r>
        <w:t xml:space="preserve">Dorkenwald, S., et al. (2024). Neuronal wiring diagram of an adult brain. </w:t>
      </w:r>
      <w:r>
        <w:rPr>
          <w:i/>
        </w:rPr>
        <w:t>Nature</w:t>
      </w:r>
      <w:r>
        <w:t>, 634, 124-138.</w:t>
      </w:r>
    </w:p>
    <w:p>
      <w:r>
        <w:t xml:space="preserve">Farrell, M., Ziman, K., and Graziano, M. S. A. (2024). Attention schema in neural networks. </w:t>
      </w:r>
      <w:r>
        <w:rPr>
          <w:i/>
        </w:rPr>
        <w:t>Cognitive Systems Research</w:t>
      </w:r>
      <w:r>
        <w:t>, 86, 101238.</w:t>
      </w:r>
    </w:p>
    <w:p>
      <w:r>
        <w:t xml:space="preserve">Friston, K. (2010). The free-energy principle: A unified brain theory? </w:t>
      </w:r>
      <w:r>
        <w:rPr>
          <w:i/>
        </w:rPr>
        <w:t>Nature Reviews Neuroscience</w:t>
      </w:r>
      <w:r>
        <w:t>, 11, 127-138.</w:t>
      </w:r>
    </w:p>
    <w:p>
      <w:r>
        <w:t xml:space="preserve">Friston, K., Wiese, W., and Hobson, J. A. (2020). Sentience and the origins of consciousness: From Cartesian duality to Markovian monism. </w:t>
      </w:r>
      <w:r>
        <w:rPr>
          <w:i/>
        </w:rPr>
        <w:t>Entropy</w:t>
      </w:r>
      <w:r>
        <w:t>, 22(5), 516.</w:t>
      </w:r>
    </w:p>
    <w:p>
      <w:r>
        <w:t xml:space="preserve">Goldstein, S., and Kirk-Giannini, C. D. (2024). Language agents satisfy the architectural requirements of Global Workspace Theory. </w:t>
      </w:r>
      <w:r>
        <w:rPr>
          <w:i/>
        </w:rPr>
        <w:t>Proceedings of the Annual Meeting of the Cognitive Science Society</w:t>
      </w:r>
      <w:r>
        <w:t>.</w:t>
      </w:r>
    </w:p>
    <w:p>
      <w:r>
        <w:t xml:space="preserve">Graziano, M. S. A. (2017). The Attention Schema Theory: A foundation for engineering artificial consciousness. </w:t>
      </w:r>
      <w:r>
        <w:rPr>
          <w:i/>
        </w:rPr>
        <w:t>Frontiers in Robotics and AI</w:t>
      </w:r>
      <w:r>
        <w:t>, 4, 60.</w:t>
      </w:r>
    </w:p>
    <w:p>
      <w:r>
        <w:t xml:space="preserve">Graziano, M. S. A. (2019). Toward a standard model of consciousness: Reconciling the attention schema, Global Workspace, higher-order thought, and illusionist theories. </w:t>
      </w:r>
      <w:r>
        <w:rPr>
          <w:i/>
        </w:rPr>
        <w:t>Cognitive Neuropsychology</w:t>
      </w:r>
      <w:r>
        <w:t>, 37(3-4), 145-159.</w:t>
      </w:r>
    </w:p>
    <w:p>
      <w:r>
        <w:t xml:space="preserve">Hoel, E. P., Albantakis, L., and Tononi, G. (2013). Quantifying causal emergence shows that macro can beat micro. </w:t>
      </w:r>
      <w:r>
        <w:rPr>
          <w:i/>
        </w:rPr>
        <w:t>Proceedings of the National Academy of Sciences</w:t>
      </w:r>
      <w:r>
        <w:t>, 110(49), 19790-19795.</w:t>
      </w:r>
    </w:p>
    <w:p>
      <w:r>
        <w:t xml:space="preserve">Hoel, E. P. (2017). When the map is better than the territory. </w:t>
      </w:r>
      <w:r>
        <w:rPr>
          <w:i/>
        </w:rPr>
        <w:t>Entropy</w:t>
      </w:r>
      <w:r>
        <w:t>, 19(5), 188.</w:t>
      </w:r>
    </w:p>
    <w:p>
      <w:r>
        <w:t>Hoel, E. P. (2025). Causal Emergence 2.0. arXiv:2503.13395.</w:t>
      </w:r>
    </w:p>
    <w:p>
      <w:r>
        <w:t xml:space="preserve">Kagan, B. J., Kitchen, A. C., Tran, N. T., et al. (2022). In vitro neurons learn and exhibit sentience when embodied in a simulated game-world. </w:t>
      </w:r>
      <w:r>
        <w:rPr>
          <w:i/>
        </w:rPr>
        <w:t>Neuron</w:t>
      </w:r>
      <w:r>
        <w:t>, 110(23), 3952-3969.</w:t>
      </w:r>
    </w:p>
    <w:p>
      <w:r>
        <w:t xml:space="preserve">Lamme, V. A. F. (2006). Towards a true neural stance on consciousness. </w:t>
      </w:r>
      <w:r>
        <w:rPr>
          <w:i/>
        </w:rPr>
        <w:t>Trends in Cognitive Sciences</w:t>
      </w:r>
      <w:r>
        <w:t>, 10(11), 494-501.</w:t>
      </w:r>
    </w:p>
    <w:p>
      <w:r>
        <w:t xml:space="preserve">LeCun, Y. (2022). A path towards autonomous machine intelligence (Version 0.9.2). </w:t>
      </w:r>
      <w:r>
        <w:rPr>
          <w:i/>
        </w:rPr>
        <w:t>Meta AI Research</w:t>
      </w:r>
      <w:r>
        <w:t>.</w:t>
      </w:r>
    </w:p>
    <w:p>
      <w:r>
        <w:t xml:space="preserve">Li, J. (2025). Can "consciousness" be observed from LLM internal states? </w:t>
      </w:r>
      <w:r>
        <w:rPr>
          <w:i/>
        </w:rPr>
        <w:t>Natural Language Processing Journal</w:t>
      </w:r>
      <w:r>
        <w:t>. arXiv:2506.22516.</w:t>
      </w:r>
    </w:p>
    <w:p>
      <w:r>
        <w:t xml:space="preserve">Metzinger, T. (2021). Artificial suffering: An argument for a global moratorium on synthetic phenomenology. </w:t>
      </w:r>
      <w:r>
        <w:rPr>
          <w:i/>
        </w:rPr>
        <w:t>Journal of Artificial Intelligence and Consciousness</w:t>
      </w:r>
      <w:r>
        <w:t>, 8(1), 43-66.</w:t>
      </w:r>
    </w:p>
    <w:p>
      <w:r>
        <w:t xml:space="preserve">Nagel, T. (1974). What is it like to be a bat? </w:t>
      </w:r>
      <w:r>
        <w:rPr>
          <w:i/>
        </w:rPr>
        <w:t>The Philosophical Review</w:t>
      </w:r>
      <w:r>
        <w:t>, 83(4), 435-450.</w:t>
      </w:r>
    </w:p>
    <w:p>
      <w:r>
        <w:t xml:space="preserve">Oizumi, M., Albantakis, L., and Tononi, G. (2014). From the phenomenology to the mechanisms of consciousness: Integrated Information Theory 3.0. </w:t>
      </w:r>
      <w:r>
        <w:rPr>
          <w:i/>
        </w:rPr>
        <w:t>PLoS Computational Biology</w:t>
      </w:r>
      <w:r>
        <w:t>, 10(5), e1003588.</w:t>
      </w:r>
    </w:p>
    <w:p>
      <w:r>
        <w:t xml:space="preserve">Pezzulo, G., et al. (2024). Generating meaning: Active inference and the scope and limits of passive AI. </w:t>
      </w:r>
      <w:r>
        <w:rPr>
          <w:i/>
        </w:rPr>
        <w:t>Trends in Cognitive Sciences</w:t>
      </w:r>
      <w:r>
        <w:t>, 28(2), 97-112.</w:t>
      </w:r>
    </w:p>
    <w:p>
      <w:r>
        <w:t>Phua, Y. J. (2025). Can we test consciousness theories on AI? Ablations, markers, and robustness. arXiv:2512.19155.</w:t>
      </w:r>
    </w:p>
    <w:p>
      <w:r>
        <w:t xml:space="preserve">Rosenthal, D. M. (2005). </w:t>
      </w:r>
      <w:r>
        <w:rPr>
          <w:i/>
        </w:rPr>
        <w:t>Consciousness and Mind</w:t>
      </w:r>
      <w:r>
        <w:t>. Oxford University Press.</w:t>
      </w:r>
    </w:p>
    <w:p>
      <w:r>
        <w:t xml:space="preserve">Schneider, S. (2019). </w:t>
      </w:r>
      <w:r>
        <w:rPr>
          <w:i/>
        </w:rPr>
        <w:t>Artificial You: AI and the Future of Your Mind</w:t>
      </w:r>
      <w:r>
        <w:t>. Princeton University Press.</w:t>
      </w:r>
    </w:p>
    <w:p>
      <w:r>
        <w:t xml:space="preserve">Schwitzgebel, E. (2024). </w:t>
      </w:r>
      <w:r>
        <w:rPr>
          <w:i/>
        </w:rPr>
        <w:t>The Weirdness of the World</w:t>
      </w:r>
      <w:r>
        <w:t>. Princeton University Press.</w:t>
      </w:r>
    </w:p>
    <w:p>
      <w:r>
        <w:t xml:space="preserve">Seth, A. (2021). </w:t>
      </w:r>
      <w:r>
        <w:rPr>
          <w:i/>
        </w:rPr>
        <w:t>Being You: A New Science of Consciousness</w:t>
      </w:r>
      <w:r>
        <w:t>. Dutton.</w:t>
      </w:r>
    </w:p>
    <w:p>
      <w:r>
        <w:t xml:space="preserve">Shanahan, M. (2024). Talking about large language models. </w:t>
      </w:r>
      <w:r>
        <w:rPr>
          <w:i/>
        </w:rPr>
        <w:t>Communications of the ACM</w:t>
      </w:r>
      <w:r>
        <w:t>, 67(2), 68-79.</w:t>
      </w:r>
    </w:p>
    <w:p>
      <w:r>
        <w:t xml:space="preserve">Shevlin, H. (2021a). How could we know when a robot was a moral patient? </w:t>
      </w:r>
      <w:r>
        <w:rPr>
          <w:i/>
        </w:rPr>
        <w:t>Cambridge Quarterly of Healthcare Ethics</w:t>
      </w:r>
      <w:r>
        <w:t>, 30(3), 459-471.</w:t>
      </w:r>
    </w:p>
    <w:p>
      <w:r>
        <w:t xml:space="preserve">Shevlin, H. (2021b). Non-human consciousness and the specificity problem: A modest theoretical proposal. </w:t>
      </w:r>
      <w:r>
        <w:rPr>
          <w:i/>
        </w:rPr>
        <w:t>Mind and Language</w:t>
      </w:r>
      <w:r>
        <w:t>, 36(2), 297-314.</w:t>
      </w:r>
    </w:p>
    <w:p>
      <w:r>
        <w:t xml:space="preserve">Shiu, P. K., et al. (2024). A leaky integrate-and-fire computational model based on the connectome of the entire adult </w:t>
      </w:r>
      <w:r>
        <w:rPr>
          <w:i/>
        </w:rPr>
        <w:t>Drosophila</w:t>
      </w:r>
      <w:r>
        <w:t xml:space="preserve"> brain. </w:t>
      </w:r>
      <w:r>
        <w:rPr>
          <w:i/>
        </w:rPr>
        <w:t>bioRxiv</w:t>
      </w:r>
      <w:r>
        <w:t>.</w:t>
      </w:r>
    </w:p>
    <w:p>
      <w:r>
        <w:t xml:space="preserve">Solms, M. (2021). </w:t>
      </w:r>
      <w:r>
        <w:rPr>
          <w:i/>
        </w:rPr>
        <w:t>The Hidden Spring: A Journey to the Source of Consciousness</w:t>
      </w:r>
      <w:r>
        <w:t>. Norton.</w:t>
      </w:r>
    </w:p>
    <w:p>
      <w:r>
        <w:t xml:space="preserve">Storm, J. F., et al. (2024). An integrative, multiscale view on neural theories of consciousness. </w:t>
      </w:r>
      <w:r>
        <w:rPr>
          <w:i/>
        </w:rPr>
        <w:t>Neuron</w:t>
      </w:r>
      <w:r>
        <w:t>, 112(10), 1531-1552.</w:t>
      </w:r>
    </w:p>
    <w:p>
      <w:r>
        <w:t xml:space="preserve">Tononi, G. (2004). An information integration theory of consciousness. </w:t>
      </w:r>
      <w:r>
        <w:rPr>
          <w:i/>
        </w:rPr>
        <w:t>BMC Neuroscience</w:t>
      </w:r>
      <w:r>
        <w:t>, 5, 42.</w:t>
      </w:r>
    </w:p>
    <w:p>
      <w:r>
        <w:t xml:space="preserve">Wiese, W. (2024). The Free Energy Principle and artificial consciousness. </w:t>
      </w:r>
      <w:r>
        <w:rPr>
          <w:i/>
        </w:rPr>
        <w:t>Philosophy and the Mind Sciences</w:t>
      </w:r>
      <w:r>
        <w:t>, 5, 1-22.</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after="120"/>
      <w:ind w:left="850"/>
    </w:pPr>
    <w:rPr>
      <w:rFonts w:ascii="Cambria" w:hAnsi="Cambria"/>
      <w:i/>
      <w:color w:val="444444"/>
      <w:sz w:val="22"/>
    </w:rPr>
  </w:style>
  <w:style w:type="paragraph" w:customStyle="1" w:styleId="CodeBlock">
    <w:name w:val="CodeBlock"/>
    <w:pPr>
      <w:spacing w:before="80" w:after="80" w:line="240" w:lineRule="auto"/>
      <w:ind w:left="567"/>
    </w:pPr>
    <w:rPr>
      <w:rFonts w:ascii="Consolas" w:hAnsi="Consolas"/>
      <w:color w:val="2D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ECHO Research — ECHO Research</dc:subject>
  <dc:creator>Georgijus Dorochovas (George Dorochov)</dc:creator>
  <cp:keywords>ECHO;Georgijus Dorochovas;00a1eab2;public-release</cp:keywords>
  <dc:description>Protected document. Copyright (c) 2026 Georgijus Dorochovas (George Dorochov). All rights reserved.</dc:description>
  <cp:lastModifiedBy>Georgijus Dorochovas (George Dorochov)</cp:lastModifiedBy>
  <cp:revision>1</cp:revision>
  <dcterms:created xsi:type="dcterms:W3CDTF">2013-12-23T23:15:00Z</dcterms:created>
  <dcterms:modified xsi:type="dcterms:W3CDTF">2013-12-23T23:15:00Z</dcterms:modified>
  <cp:category/>
</cp:coreProperties>
</file>