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Inside the Model</w:t>
      </w:r>
    </w:p>
    <w:p>
      <w:pPr>
        <w:pStyle w:val="Subtitle"/>
      </w:pPr>
      <w:r>
        <w:t>Product &amp; Technical Design Document</w:t>
      </w:r>
    </w:p>
    <w:p>
      <w:r>
        <w:t>An interactive journey from text to tensors to intelligence.</w:t>
      </w:r>
    </w:p>
    <w:p>
      <w:r>
        <w:t>Version 1.0  |  12 October 2026  |  Status: Proposed  |  Product type: Static educational website</w:t>
      </w:r>
    </w:p>
    <w:p>
      <w:pPr>
        <w:pStyle w:val="Heading1"/>
      </w:pPr>
      <w:r>
        <w:t>Executive summary</w:t>
      </w:r>
    </w:p>
    <w:p>
      <w:r>
        <w:t>Inside the Model is a static-first interactive educational website that teaches how large language models actually work, from input text and tokenization through tensor operations, transformer inference, loss, training, and systems optimization. The defining experience is an inspectable, deterministic execution trace of a small real transformer. Every displayed operation is connected to its inputs, numerical output, mathematical notation, visualization, and executable reference code.</w:t>
      </w:r>
    </w:p>
    <w:p>
      <w:r>
        <w:t>The initial release is intentionally narrow: one excellent self-attention lesson embedded in an end-to-end toy-model trace. The long-term product is a coherent beginner-to-advanced curriculum, not a collection of unrelated articles.</w:t>
      </w:r>
    </w:p>
    <w:p>
      <w:pPr>
        <w:pStyle w:val="Heading1"/>
      </w:pPr>
      <w:r>
        <w:t>1. Product definition</w:t>
      </w:r>
    </w:p>
    <w:p>
      <w:pPr>
        <w:pStyle w:val="Heading1"/>
      </w:pPr>
      <w:r>
        <w:t>1.1 Problem</w:t>
      </w:r>
    </w:p>
    <w:p>
      <w:r>
        <w:t>Existing explanations frequently separate intuition, equations, source code, training, and production inference. Learners can understand an attention diagram yet remain unable to reproduce its numbers or map an equation to implementation. The site bridges these gaps with one consistent underlying example and a progressive level of detail.</w:t>
      </w:r>
    </w:p>
    <w:p>
      <w:pPr>
        <w:pStyle w:val="Heading1"/>
      </w:pPr>
      <w:r>
        <w:t>1.2 Product promise</w:t>
      </w:r>
    </w:p>
    <w:p>
      <w:r>
        <w:t>Nothing in the educational reference model happens without an opportunity to inspect, reproduce, and understand it. “Exact” refers to faithfully tracing the specified model and its operations; it does not claim that current science can fully explain every learned internal representation of frontier models.</w:t>
      </w:r>
    </w:p>
    <w:p>
      <w:pPr>
        <w:pStyle w:val="Heading1"/>
      </w:pPr>
      <w:r>
        <w:t>1.3 Goals and non-goals</w:t>
      </w:r>
    </w:p>
    <w:tbl>
      <w:tblPr>
        <w:tblStyle w:val="LightShading-Accent1"/>
        <w:tblW w:type="auto" w:w="0"/>
        <w:jc w:val="center"/>
        <w:tblLayout w:type="autofit"/>
        <w:tblLook w:firstColumn="1" w:firstRow="1" w:lastColumn="0" w:lastRow="0" w:noHBand="0" w:noVBand="1" w:val="04A0"/>
      </w:tblPr>
      <w:tblGrid>
        <w:gridCol w:w="4910"/>
        <w:gridCol w:w="4910"/>
      </w:tblGrid>
      <w:tr>
        <w:tc>
          <w:tcPr>
            <w:tcW w:type="dxa" w:w="4910"/>
            <w:vAlign w:val="center"/>
          </w:tcPr>
          <w:p>
            <w:pPr>
              <w:spacing w:after="20"/>
            </w:pPr>
            <w:r>
              <w:rPr>
                <w:b/>
                <w:color w:val="143757"/>
                <w:sz w:val="16"/>
              </w:rPr>
              <w:t>Goals</w:t>
            </w:r>
          </w:p>
        </w:tc>
        <w:tc>
          <w:tcPr>
            <w:tcW w:type="dxa" w:w="4910"/>
            <w:vAlign w:val="center"/>
          </w:tcPr>
          <w:p>
            <w:pPr>
              <w:spacing w:after="20"/>
            </w:pPr>
            <w:r>
              <w:rPr>
                <w:b/>
                <w:color w:val="143757"/>
                <w:sz w:val="16"/>
              </w:rPr>
              <w:t>Non-goals (initial release)</w:t>
            </w:r>
          </w:p>
        </w:tc>
      </w:tr>
      <w:tr>
        <w:tc>
          <w:tcPr>
            <w:tcW w:type="dxa" w:w="4910"/>
            <w:vAlign w:val="center"/>
          </w:tcPr>
          <w:p>
            <w:pPr>
              <w:spacing w:after="20"/>
            </w:pPr>
            <w:r>
              <w:rPr>
                <w:sz w:val="16"/>
              </w:rPr>
              <w:t>Teach a verifiable forward pass with actual tensors and weights</w:t>
            </w:r>
          </w:p>
        </w:tc>
        <w:tc>
          <w:tcPr>
            <w:tcW w:type="dxa" w:w="4910"/>
            <w:vAlign w:val="center"/>
          </w:tcPr>
          <w:p>
            <w:pPr>
              <w:spacing w:after="20"/>
            </w:pPr>
            <w:r>
              <w:rPr>
                <w:sz w:val="16"/>
              </w:rPr>
              <w:t>Serve as a production-grade large-model inference platform</w:t>
            </w:r>
          </w:p>
        </w:tc>
      </w:tr>
      <w:tr>
        <w:tc>
          <w:tcPr>
            <w:tcW w:type="dxa" w:w="4910"/>
            <w:vAlign w:val="center"/>
          </w:tcPr>
          <w:p>
            <w:pPr>
              <w:spacing w:after="20"/>
            </w:pPr>
            <w:r>
              <w:rPr>
                <w:sz w:val="16"/>
              </w:rPr>
              <w:t>Connect visual, mathematical, and code views to the same computation</w:t>
            </w:r>
          </w:p>
        </w:tc>
        <w:tc>
          <w:tcPr>
            <w:tcW w:type="dxa" w:w="4910"/>
            <w:vAlign w:val="center"/>
          </w:tcPr>
          <w:p>
            <w:pPr>
              <w:spacing w:after="20"/>
            </w:pPr>
            <w:r>
              <w:rPr>
                <w:sz w:val="16"/>
              </w:rPr>
              <w:t>Claim complete mechanistic interpretation of trained LLM behavior</w:t>
            </w:r>
          </w:p>
        </w:tc>
      </w:tr>
      <w:tr>
        <w:tc>
          <w:tcPr>
            <w:tcW w:type="dxa" w:w="4910"/>
            <w:vAlign w:val="center"/>
          </w:tcPr>
          <w:p>
            <w:pPr>
              <w:spacing w:after="20"/>
            </w:pPr>
            <w:r>
              <w:rPr>
                <w:sz w:val="16"/>
              </w:rPr>
              <w:t>Run core learning content without a server or paid model API</w:t>
            </w:r>
          </w:p>
        </w:tc>
        <w:tc>
          <w:tcPr>
            <w:tcW w:type="dxa" w:w="4910"/>
            <w:vAlign w:val="center"/>
          </w:tcPr>
          <w:p>
            <w:pPr>
              <w:spacing w:after="20"/>
            </w:pPr>
            <w:r>
              <w:rPr>
                <w:sz w:val="16"/>
              </w:rPr>
              <w:t>Build accounts, social features, or personalized dashboards</w:t>
            </w:r>
          </w:p>
        </w:tc>
      </w:tr>
      <w:tr>
        <w:tc>
          <w:tcPr>
            <w:tcW w:type="dxa" w:w="4910"/>
            <w:vAlign w:val="center"/>
          </w:tcPr>
          <w:p>
            <w:pPr>
              <w:spacing w:after="20"/>
            </w:pPr>
            <w:r>
              <w:rPr>
                <w:sz w:val="16"/>
              </w:rPr>
              <w:t>Support progressive learning from novice to engineer</w:t>
            </w:r>
          </w:p>
        </w:tc>
        <w:tc>
          <w:tcPr>
            <w:tcW w:type="dxa" w:w="4910"/>
            <w:vAlign w:val="center"/>
          </w:tcPr>
          <w:p>
            <w:pPr>
              <w:spacing w:after="20"/>
            </w:pPr>
            <w:r>
              <w:rPr>
                <w:sz w:val="16"/>
              </w:rPr>
              <w:t>Cover every architecture variation in the MVP</w:t>
            </w:r>
          </w:p>
        </w:tc>
      </w:tr>
      <w:tr>
        <w:tc>
          <w:tcPr>
            <w:tcW w:type="dxa" w:w="4910"/>
            <w:vAlign w:val="center"/>
          </w:tcPr>
          <w:p>
            <w:pPr>
              <w:spacing w:after="20"/>
            </w:pPr>
            <w:r>
              <w:rPr>
                <w:sz w:val="16"/>
              </w:rPr>
              <w:t>Be accessible, responsive, fast, and reproducible</w:t>
            </w:r>
          </w:p>
        </w:tc>
        <w:tc>
          <w:tcPr>
            <w:tcW w:type="dxa" w:w="4910"/>
            <w:vAlign w:val="center"/>
          </w:tcPr>
          <w:p>
            <w:pPr>
              <w:spacing w:after="20"/>
            </w:pPr>
            <w:r>
              <w:rPr>
                <w:sz w:val="16"/>
              </w:rPr>
              <w:t>Replace research papers or full machine-learning textbooks</w:t>
            </w:r>
          </w:p>
        </w:tc>
      </w:tr>
    </w:tbl>
    <w:p>
      <w:pPr>
        <w:pStyle w:val="Heading1"/>
      </w:pPr>
      <w:r>
        <w:t>1.4 Audiences and core jobs</w:t>
      </w:r>
    </w:p>
    <w:tbl>
      <w:tblPr>
        <w:tblStyle w:val="LightShading-Accent1"/>
        <w:tblW w:type="auto" w:w="0"/>
        <w:jc w:val="center"/>
        <w:tblLayout w:type="autofit"/>
        <w:tblLook w:firstColumn="1" w:firstRow="1" w:lastColumn="0" w:lastRow="0" w:noHBand="0" w:noVBand="1" w:val="04A0"/>
      </w:tblPr>
      <w:tblGrid>
        <w:gridCol w:w="4910"/>
        <w:gridCol w:w="4910"/>
      </w:tblGrid>
      <w:tr>
        <w:tc>
          <w:tcPr>
            <w:tcW w:type="dxa" w:w="4910"/>
            <w:vAlign w:val="center"/>
          </w:tcPr>
          <w:p>
            <w:pPr>
              <w:spacing w:after="20"/>
            </w:pPr>
            <w:r>
              <w:rPr>
                <w:b/>
                <w:color w:val="143757"/>
                <w:sz w:val="16"/>
              </w:rPr>
              <w:t>Audience</w:t>
            </w:r>
          </w:p>
        </w:tc>
        <w:tc>
          <w:tcPr>
            <w:tcW w:type="dxa" w:w="4910"/>
            <w:vAlign w:val="center"/>
          </w:tcPr>
          <w:p>
            <w:pPr>
              <w:spacing w:after="20"/>
            </w:pPr>
            <w:r>
              <w:rPr>
                <w:b/>
                <w:color w:val="143757"/>
                <w:sz w:val="16"/>
              </w:rPr>
              <w:t>Job to be done</w:t>
            </w:r>
          </w:p>
        </w:tc>
      </w:tr>
      <w:tr>
        <w:tc>
          <w:tcPr>
            <w:tcW w:type="dxa" w:w="4910"/>
            <w:vAlign w:val="center"/>
          </w:tcPr>
          <w:p>
            <w:pPr>
              <w:spacing w:after="20"/>
            </w:pPr>
            <w:r>
              <w:rPr>
                <w:sz w:val="16"/>
              </w:rPr>
              <w:t>Curious beginner</w:t>
            </w:r>
          </w:p>
        </w:tc>
        <w:tc>
          <w:tcPr>
            <w:tcW w:type="dxa" w:w="4910"/>
            <w:vAlign w:val="center"/>
          </w:tcPr>
          <w:p>
            <w:pPr>
              <w:spacing w:after="20"/>
            </w:pPr>
            <w:r>
              <w:rPr>
                <w:sz w:val="16"/>
              </w:rPr>
              <w:t>Follow an intuitive path without assuming machine-learning experience</w:t>
            </w:r>
          </w:p>
        </w:tc>
      </w:tr>
      <w:tr>
        <w:tc>
          <w:tcPr>
            <w:tcW w:type="dxa" w:w="4910"/>
            <w:vAlign w:val="center"/>
          </w:tcPr>
          <w:p>
            <w:pPr>
              <w:spacing w:after="20"/>
            </w:pPr>
            <w:r>
              <w:rPr>
                <w:sz w:val="16"/>
              </w:rPr>
              <w:t>Software engineer</w:t>
            </w:r>
          </w:p>
        </w:tc>
        <w:tc>
          <w:tcPr>
            <w:tcW w:type="dxa" w:w="4910"/>
            <w:vAlign w:val="center"/>
          </w:tcPr>
          <w:p>
            <w:pPr>
              <w:spacing w:after="20"/>
            </w:pPr>
            <w:r>
              <w:rPr>
                <w:sz w:val="16"/>
              </w:rPr>
              <w:t>Connect operations and tensor shapes to source code</w:t>
            </w:r>
          </w:p>
        </w:tc>
      </w:tr>
      <w:tr>
        <w:tc>
          <w:tcPr>
            <w:tcW w:type="dxa" w:w="4910"/>
            <w:vAlign w:val="center"/>
          </w:tcPr>
          <w:p>
            <w:pPr>
              <w:spacing w:after="20"/>
            </w:pPr>
            <w:r>
              <w:rPr>
                <w:sz w:val="16"/>
              </w:rPr>
              <w:t>ML practitioner</w:t>
            </w:r>
          </w:p>
        </w:tc>
        <w:tc>
          <w:tcPr>
            <w:tcW w:type="dxa" w:w="4910"/>
            <w:vAlign w:val="center"/>
          </w:tcPr>
          <w:p>
            <w:pPr>
              <w:spacing w:after="20"/>
            </w:pPr>
            <w:r>
              <w:rPr>
                <w:sz w:val="16"/>
              </w:rPr>
              <w:t>Verify mathematics and intermediate values; experiment with parameters</w:t>
            </w:r>
          </w:p>
        </w:tc>
      </w:tr>
      <w:tr>
        <w:tc>
          <w:tcPr>
            <w:tcW w:type="dxa" w:w="4910"/>
            <w:vAlign w:val="center"/>
          </w:tcPr>
          <w:p>
            <w:pPr>
              <w:spacing w:after="20"/>
            </w:pPr>
            <w:r>
              <w:rPr>
                <w:sz w:val="16"/>
              </w:rPr>
              <w:t>Instructor/student</w:t>
            </w:r>
          </w:p>
        </w:tc>
        <w:tc>
          <w:tcPr>
            <w:tcW w:type="dxa" w:w="4910"/>
            <w:vAlign w:val="center"/>
          </w:tcPr>
          <w:p>
            <w:pPr>
              <w:spacing w:after="20"/>
            </w:pPr>
            <w:r>
              <w:rPr>
                <w:sz w:val="16"/>
              </w:rPr>
              <w:t>Share reproducible examples and use exercises to check understanding</w:t>
            </w:r>
          </w:p>
        </w:tc>
      </w:tr>
    </w:tbl>
    <w:p>
      <w:pPr>
        <w:pStyle w:val="Heading1"/>
      </w:pPr>
      <w:r>
        <w:t>2. Experience principles</w:t>
      </w:r>
    </w:p>
    <w:p>
      <w:pPr>
        <w:pStyle w:val="ListBullet"/>
      </w:pPr>
      <w:r>
        <w:t>One source of truth: all views consume a shared immutable execution trace, not separately invented example numbers.</w:t>
      </w:r>
    </w:p>
    <w:p>
      <w:pPr>
        <w:pStyle w:val="ListBullet"/>
      </w:pPr>
      <w:r>
        <w:t>Progressive disclosure: Concept → visual → equation → code → raw tensors; hide complexity by default, never remove access.</w:t>
      </w:r>
    </w:p>
    <w:p>
      <w:pPr>
        <w:pStyle w:val="ListBullet"/>
      </w:pPr>
      <w:r>
        <w:t>Every transformation has provenance: inputs, dimensions, operation, outputs, rounding precision, and assumptions.</w:t>
      </w:r>
    </w:p>
    <w:p>
      <w:pPr>
        <w:pStyle w:val="ListBullet"/>
      </w:pPr>
      <w:r>
        <w:t>Reader-controlled exploration: step forward/back, inspect individual tokens/heads, replay and reset.</w:t>
      </w:r>
    </w:p>
    <w:p>
      <w:pPr>
        <w:pStyle w:val="ListBullet"/>
      </w:pPr>
      <w:r>
        <w:t>Real over theatrical: clearly label illustrative animations; distinguish toy-model behavior from claims about production LLMs.</w:t>
      </w:r>
    </w:p>
    <w:p>
      <w:pPr>
        <w:pStyle w:val="ListBullet"/>
      </w:pPr>
      <w:r>
        <w:t>Static-first and accessible: no login, keyboard operability, contrast, reduced-motion alternatives, and meaningful text equivalents.</w:t>
      </w:r>
    </w:p>
    <w:p>
      <w:pPr>
        <w:pStyle w:val="Heading1"/>
      </w:pPr>
      <w:r>
        <w:t>3. Information architecture</w:t>
      </w:r>
    </w:p>
    <w:tbl>
      <w:tblPr>
        <w:tblStyle w:val="LightShading-Accent1"/>
        <w:tblW w:type="auto" w:w="0"/>
        <w:jc w:val="center"/>
        <w:tblLayout w:type="autofit"/>
        <w:tblLook w:firstColumn="1" w:firstRow="1" w:lastColumn="0" w:lastRow="0" w:noHBand="0" w:noVBand="1" w:val="04A0"/>
      </w:tblPr>
      <w:tblGrid>
        <w:gridCol w:w="3273"/>
        <w:gridCol w:w="3273"/>
        <w:gridCol w:w="3273"/>
      </w:tblGrid>
      <w:tr>
        <w:tc>
          <w:tcPr>
            <w:tcW w:type="dxa" w:w="3273"/>
            <w:vAlign w:val="center"/>
          </w:tcPr>
          <w:p>
            <w:pPr>
              <w:spacing w:after="20"/>
            </w:pPr>
            <w:r>
              <w:rPr>
                <w:b/>
                <w:color w:val="143757"/>
                <w:sz w:val="16"/>
              </w:rPr>
              <w:t>Track</w:t>
            </w:r>
          </w:p>
        </w:tc>
        <w:tc>
          <w:tcPr>
            <w:tcW w:type="dxa" w:w="3273"/>
            <w:vAlign w:val="center"/>
          </w:tcPr>
          <w:p>
            <w:pPr>
              <w:spacing w:after="20"/>
            </w:pPr>
            <w:r>
              <w:rPr>
                <w:b/>
                <w:color w:val="143757"/>
                <w:sz w:val="16"/>
              </w:rPr>
              <w:t>Representative chapters</w:t>
            </w:r>
          </w:p>
        </w:tc>
        <w:tc>
          <w:tcPr>
            <w:tcW w:type="dxa" w:w="3273"/>
            <w:vAlign w:val="center"/>
          </w:tcPr>
          <w:p>
            <w:pPr>
              <w:spacing w:after="20"/>
            </w:pPr>
            <w:r>
              <w:rPr>
                <w:b/>
                <w:color w:val="143757"/>
                <w:sz w:val="16"/>
              </w:rPr>
              <w:t>Expected output</w:t>
            </w:r>
          </w:p>
        </w:tc>
      </w:tr>
      <w:tr>
        <w:tc>
          <w:tcPr>
            <w:tcW w:type="dxa" w:w="3273"/>
            <w:vAlign w:val="center"/>
          </w:tcPr>
          <w:p>
            <w:pPr>
              <w:spacing w:after="20"/>
            </w:pPr>
            <w:r>
              <w:rPr>
                <w:sz w:val="16"/>
              </w:rPr>
              <w:t>01 / Foundations</w:t>
            </w:r>
          </w:p>
        </w:tc>
        <w:tc>
          <w:tcPr>
            <w:tcW w:type="dxa" w:w="3273"/>
            <w:vAlign w:val="center"/>
          </w:tcPr>
          <w:p>
            <w:pPr>
              <w:spacing w:after="20"/>
            </w:pPr>
            <w:r>
              <w:rPr>
                <w:sz w:val="16"/>
              </w:rPr>
              <w:t>Numbers, vectors, matrices, probability, derivatives, neural nets</w:t>
            </w:r>
          </w:p>
        </w:tc>
        <w:tc>
          <w:tcPr>
            <w:tcW w:type="dxa" w:w="3273"/>
            <w:vAlign w:val="center"/>
          </w:tcPr>
          <w:p>
            <w:pPr>
              <w:spacing w:after="20"/>
            </w:pPr>
            <w:r>
              <w:rPr>
                <w:sz w:val="16"/>
              </w:rPr>
              <w:t>Can multiply small matrices and read tensor dimensions</w:t>
            </w:r>
          </w:p>
        </w:tc>
      </w:tr>
      <w:tr>
        <w:tc>
          <w:tcPr>
            <w:tcW w:type="dxa" w:w="3273"/>
            <w:vAlign w:val="center"/>
          </w:tcPr>
          <w:p>
            <w:pPr>
              <w:spacing w:after="20"/>
            </w:pPr>
            <w:r>
              <w:rPr>
                <w:sz w:val="16"/>
              </w:rPr>
              <w:t>02 / Text to vectors</w:t>
            </w:r>
          </w:p>
        </w:tc>
        <w:tc>
          <w:tcPr>
            <w:tcW w:type="dxa" w:w="3273"/>
            <w:vAlign w:val="center"/>
          </w:tcPr>
          <w:p>
            <w:pPr>
              <w:spacing w:after="20"/>
            </w:pPr>
            <w:r>
              <w:rPr>
                <w:sz w:val="16"/>
              </w:rPr>
              <w:t>Unicode, tokenization, BPE, IDs, vocabulary, embeddings</w:t>
            </w:r>
          </w:p>
        </w:tc>
        <w:tc>
          <w:tcPr>
            <w:tcW w:type="dxa" w:w="3273"/>
            <w:vAlign w:val="center"/>
          </w:tcPr>
          <w:p>
            <w:pPr>
              <w:spacing w:after="20"/>
            </w:pPr>
            <w:r>
              <w:rPr>
                <w:sz w:val="16"/>
              </w:rPr>
              <w:t>Can trace a string into token IDs and embedding rows</w:t>
            </w:r>
          </w:p>
        </w:tc>
      </w:tr>
      <w:tr>
        <w:tc>
          <w:tcPr>
            <w:tcW w:type="dxa" w:w="3273"/>
            <w:vAlign w:val="center"/>
          </w:tcPr>
          <w:p>
            <w:pPr>
              <w:spacing w:after="20"/>
            </w:pPr>
            <w:r>
              <w:rPr>
                <w:sz w:val="16"/>
              </w:rPr>
              <w:t>03 / Transformer internals</w:t>
            </w:r>
          </w:p>
        </w:tc>
        <w:tc>
          <w:tcPr>
            <w:tcW w:type="dxa" w:w="3273"/>
            <w:vAlign w:val="center"/>
          </w:tcPr>
          <w:p>
            <w:pPr>
              <w:spacing w:after="20"/>
            </w:pPr>
            <w:r>
              <w:rPr>
                <w:sz w:val="16"/>
              </w:rPr>
              <w:t>Residual stream, Q/K/V, masking, attention, multi-head, MLP, normalization, RoPE</w:t>
            </w:r>
          </w:p>
        </w:tc>
        <w:tc>
          <w:tcPr>
            <w:tcW w:type="dxa" w:w="3273"/>
            <w:vAlign w:val="center"/>
          </w:tcPr>
          <w:p>
            <w:pPr>
              <w:spacing w:after="20"/>
            </w:pPr>
            <w:r>
              <w:rPr>
                <w:sz w:val="16"/>
              </w:rPr>
              <w:t>Can reconstruct a decoder-block forward pass</w:t>
            </w:r>
          </w:p>
        </w:tc>
      </w:tr>
      <w:tr>
        <w:tc>
          <w:tcPr>
            <w:tcW w:type="dxa" w:w="3273"/>
            <w:vAlign w:val="center"/>
          </w:tcPr>
          <w:p>
            <w:pPr>
              <w:spacing w:after="20"/>
            </w:pPr>
            <w:r>
              <w:rPr>
                <w:sz w:val="16"/>
              </w:rPr>
              <w:t>04 / How models learn</w:t>
            </w:r>
          </w:p>
        </w:tc>
        <w:tc>
          <w:tcPr>
            <w:tcW w:type="dxa" w:w="3273"/>
            <w:vAlign w:val="center"/>
          </w:tcPr>
          <w:p>
            <w:pPr>
              <w:spacing w:after="20"/>
            </w:pPr>
            <w:r>
              <w:rPr>
                <w:sz w:val="16"/>
              </w:rPr>
              <w:t>Targets, cross-entropy, autodiff, backprop, optimizer, AdamW</w:t>
            </w:r>
          </w:p>
        </w:tc>
        <w:tc>
          <w:tcPr>
            <w:tcW w:type="dxa" w:w="3273"/>
            <w:vAlign w:val="center"/>
          </w:tcPr>
          <w:p>
            <w:pPr>
              <w:spacing w:after="20"/>
            </w:pPr>
            <w:r>
              <w:rPr>
                <w:sz w:val="16"/>
              </w:rPr>
              <w:t>Can follow a small parameter update</w:t>
            </w:r>
          </w:p>
        </w:tc>
      </w:tr>
      <w:tr>
        <w:tc>
          <w:tcPr>
            <w:tcW w:type="dxa" w:w="3273"/>
            <w:vAlign w:val="center"/>
          </w:tcPr>
          <w:p>
            <w:pPr>
              <w:spacing w:after="20"/>
            </w:pPr>
            <w:r>
              <w:rPr>
                <w:sz w:val="16"/>
              </w:rPr>
              <w:t>05 / Training systems</w:t>
            </w:r>
          </w:p>
        </w:tc>
        <w:tc>
          <w:tcPr>
            <w:tcW w:type="dxa" w:w="3273"/>
            <w:vAlign w:val="center"/>
          </w:tcPr>
          <w:p>
            <w:pPr>
              <w:spacing w:after="20"/>
            </w:pPr>
            <w:r>
              <w:rPr>
                <w:sz w:val="16"/>
              </w:rPr>
              <w:t>Data pipeline, batches, checkpoints, mixed precision, parallelism, evaluation</w:t>
            </w:r>
          </w:p>
        </w:tc>
        <w:tc>
          <w:tcPr>
            <w:tcW w:type="dxa" w:w="3273"/>
            <w:vAlign w:val="center"/>
          </w:tcPr>
          <w:p>
            <w:pPr>
              <w:spacing w:after="20"/>
            </w:pPr>
            <w:r>
              <w:rPr>
                <w:sz w:val="16"/>
              </w:rPr>
              <w:t>Can explain a pretraining loop and its tradeoffs</w:t>
            </w:r>
          </w:p>
        </w:tc>
      </w:tr>
      <w:tr>
        <w:tc>
          <w:tcPr>
            <w:tcW w:type="dxa" w:w="3273"/>
            <w:vAlign w:val="center"/>
          </w:tcPr>
          <w:p>
            <w:pPr>
              <w:spacing w:after="20"/>
            </w:pPr>
            <w:r>
              <w:rPr>
                <w:sz w:val="16"/>
              </w:rPr>
              <w:t>06 / Inference systems</w:t>
            </w:r>
          </w:p>
        </w:tc>
        <w:tc>
          <w:tcPr>
            <w:tcW w:type="dxa" w:w="3273"/>
            <w:vAlign w:val="center"/>
          </w:tcPr>
          <w:p>
            <w:pPr>
              <w:spacing w:after="20"/>
            </w:pPr>
            <w:r>
              <w:rPr>
                <w:sz w:val="16"/>
              </w:rPr>
              <w:t>Prefill/decode, logits, sampling, KV cache, quantization, batching</w:t>
            </w:r>
          </w:p>
        </w:tc>
        <w:tc>
          <w:tcPr>
            <w:tcW w:type="dxa" w:w="3273"/>
            <w:vAlign w:val="center"/>
          </w:tcPr>
          <w:p>
            <w:pPr>
              <w:spacing w:after="20"/>
            </w:pPr>
            <w:r>
              <w:rPr>
                <w:sz w:val="16"/>
              </w:rPr>
              <w:t>Can trace repeated token generation and estimate work</w:t>
            </w:r>
          </w:p>
        </w:tc>
      </w:tr>
      <w:tr>
        <w:tc>
          <w:tcPr>
            <w:tcW w:type="dxa" w:w="3273"/>
            <w:vAlign w:val="center"/>
          </w:tcPr>
          <w:p>
            <w:pPr>
              <w:spacing w:after="20"/>
            </w:pPr>
            <w:r>
              <w:rPr>
                <w:sz w:val="16"/>
              </w:rPr>
              <w:t>07 / Contemporary extensions</w:t>
            </w:r>
          </w:p>
        </w:tc>
        <w:tc>
          <w:tcPr>
            <w:tcW w:type="dxa" w:w="3273"/>
            <w:vAlign w:val="center"/>
          </w:tcPr>
          <w:p>
            <w:pPr>
              <w:spacing w:after="20"/>
            </w:pPr>
            <w:r>
              <w:rPr>
                <w:sz w:val="16"/>
              </w:rPr>
              <w:t>Instruction tuning, preference optimization, MoE, RAG, tools, multimodal models, interpretability</w:t>
            </w:r>
          </w:p>
        </w:tc>
        <w:tc>
          <w:tcPr>
            <w:tcW w:type="dxa" w:w="3273"/>
            <w:vAlign w:val="center"/>
          </w:tcPr>
          <w:p>
            <w:pPr>
              <w:spacing w:after="20"/>
            </w:pPr>
            <w:r>
              <w:rPr>
                <w:sz w:val="16"/>
              </w:rPr>
              <w:t>Can distinguish architecture fundamentals from system extensions</w:t>
            </w:r>
          </w:p>
        </w:tc>
      </w:tr>
    </w:tbl>
    <w:p>
      <w:pPr>
        <w:pStyle w:val="Heading1"/>
      </w:pPr>
      <w:r>
        <w:t>4. Signature experience: inspectable execution trace</w:t>
      </w:r>
    </w:p>
    <w:p>
      <w:pPr>
        <w:pStyle w:val="Heading1"/>
      </w:pPr>
      <w:r>
        <w:t>4.1 Reference-model specification</w:t>
      </w:r>
    </w:p>
    <w:p>
      <w:r>
        <w:t>Ship a frozen decoder-only transformer with versioned weights and tokenizer. Suggested pedagogical configuration: 2 layers, 2 attention heads, d_model = 16, head dimension = 8, a deliberately small vocabulary and context window (e.g., 32 tokens), causal masking, and a documented positional-encoding choice. These are design targets, subject to validating that the trained/frozen model yields useful examples. If a simplified tokenizer is used, explicitly contrast it with real subword tokenizers.</w:t>
      </w:r>
    </w:p>
    <w:p>
      <w:r>
        <w:t>Use deterministic CPU-compatible reference math and precomputed canonical traces for default prompts. If user-generated prompts execute locally, expose supported vocabulary and context limits. Quantify small floating-point differences across environments; never silently present rounded numbers as exact internal values.</w:t>
      </w:r>
    </w:p>
    <w:p>
      <w:pPr>
        <w:pStyle w:val="Heading1"/>
      </w:pPr>
      <w:r>
        <w:t>4.2 Inspection contract</w:t>
      </w:r>
    </w:p>
    <w:tbl>
      <w:tblPr>
        <w:tblStyle w:val="LightShading-Accent1"/>
        <w:tblW w:type="auto" w:w="0"/>
        <w:jc w:val="center"/>
        <w:tblLayout w:type="autofit"/>
        <w:tblLook w:firstColumn="1" w:firstRow="1" w:lastColumn="0" w:lastRow="0" w:noHBand="0" w:noVBand="1" w:val="04A0"/>
      </w:tblPr>
      <w:tblGrid>
        <w:gridCol w:w="4910"/>
        <w:gridCol w:w="4910"/>
      </w:tblGrid>
      <w:tr>
        <w:tc>
          <w:tcPr>
            <w:tcW w:type="dxa" w:w="4910"/>
            <w:vAlign w:val="center"/>
          </w:tcPr>
          <w:p>
            <w:pPr>
              <w:spacing w:after="20"/>
            </w:pPr>
            <w:r>
              <w:rPr>
                <w:b/>
                <w:color w:val="143757"/>
                <w:sz w:val="16"/>
              </w:rPr>
              <w:t>For each operation</w:t>
            </w:r>
          </w:p>
        </w:tc>
        <w:tc>
          <w:tcPr>
            <w:tcW w:type="dxa" w:w="4910"/>
            <w:vAlign w:val="center"/>
          </w:tcPr>
          <w:p>
            <w:pPr>
              <w:spacing w:after="20"/>
            </w:pPr>
            <w:r>
              <w:rPr>
                <w:b/>
                <w:color w:val="143757"/>
                <w:sz w:val="16"/>
              </w:rPr>
              <w:t>Required fields</w:t>
            </w:r>
          </w:p>
        </w:tc>
      </w:tr>
      <w:tr>
        <w:tc>
          <w:tcPr>
            <w:tcW w:type="dxa" w:w="4910"/>
            <w:vAlign w:val="center"/>
          </w:tcPr>
          <w:p>
            <w:pPr>
              <w:spacing w:after="20"/>
            </w:pPr>
            <w:r>
              <w:rPr>
                <w:sz w:val="16"/>
              </w:rPr>
              <w:t>Identity</w:t>
            </w:r>
          </w:p>
        </w:tc>
        <w:tc>
          <w:tcPr>
            <w:tcW w:type="dxa" w:w="4910"/>
            <w:vAlign w:val="center"/>
          </w:tcPr>
          <w:p>
            <w:pPr>
              <w:spacing w:after="20"/>
            </w:pPr>
            <w:r>
              <w:rPr>
                <w:sz w:val="16"/>
              </w:rPr>
              <w:t>Operation ID; block/layer/head; human-readable purpose</w:t>
            </w:r>
          </w:p>
        </w:tc>
      </w:tr>
      <w:tr>
        <w:tc>
          <w:tcPr>
            <w:tcW w:type="dxa" w:w="4910"/>
            <w:vAlign w:val="center"/>
          </w:tcPr>
          <w:p>
            <w:pPr>
              <w:spacing w:after="20"/>
            </w:pPr>
            <w:r>
              <w:rPr>
                <w:sz w:val="16"/>
              </w:rPr>
              <w:t>Inputs</w:t>
            </w:r>
          </w:p>
        </w:tc>
        <w:tc>
          <w:tcPr>
            <w:tcW w:type="dxa" w:w="4910"/>
            <w:vAlign w:val="center"/>
          </w:tcPr>
          <w:p>
            <w:pPr>
              <w:spacing w:after="20"/>
            </w:pPr>
            <w:r>
              <w:rPr>
                <w:sz w:val="16"/>
              </w:rPr>
              <w:t>Tensor values or browsable slice, shape, dtype, origin</w:t>
            </w:r>
          </w:p>
        </w:tc>
      </w:tr>
      <w:tr>
        <w:tc>
          <w:tcPr>
            <w:tcW w:type="dxa" w:w="4910"/>
            <w:vAlign w:val="center"/>
          </w:tcPr>
          <w:p>
            <w:pPr>
              <w:spacing w:after="20"/>
            </w:pPr>
            <w:r>
              <w:rPr>
                <w:sz w:val="16"/>
              </w:rPr>
              <w:t>Transformation</w:t>
            </w:r>
          </w:p>
        </w:tc>
        <w:tc>
          <w:tcPr>
            <w:tcW w:type="dxa" w:w="4910"/>
            <w:vAlign w:val="center"/>
          </w:tcPr>
          <w:p>
            <w:pPr>
              <w:spacing w:after="20"/>
            </w:pPr>
            <w:r>
              <w:rPr>
                <w:sz w:val="16"/>
              </w:rPr>
              <w:t>Equation, algorithm, code line, mask/normalization conventions</w:t>
            </w:r>
          </w:p>
        </w:tc>
      </w:tr>
      <w:tr>
        <w:tc>
          <w:tcPr>
            <w:tcW w:type="dxa" w:w="4910"/>
            <w:vAlign w:val="center"/>
          </w:tcPr>
          <w:p>
            <w:pPr>
              <w:spacing w:after="20"/>
            </w:pPr>
            <w:r>
              <w:rPr>
                <w:sz w:val="16"/>
              </w:rPr>
              <w:t>Outputs</w:t>
            </w:r>
          </w:p>
        </w:tc>
        <w:tc>
          <w:tcPr>
            <w:tcW w:type="dxa" w:w="4910"/>
            <w:vAlign w:val="center"/>
          </w:tcPr>
          <w:p>
            <w:pPr>
              <w:spacing w:after="20"/>
            </w:pPr>
            <w:r>
              <w:rPr>
                <w:sz w:val="16"/>
              </w:rPr>
              <w:t>Actual values, shape, dtype, numerical precision</w:t>
            </w:r>
          </w:p>
        </w:tc>
      </w:tr>
      <w:tr>
        <w:tc>
          <w:tcPr>
            <w:tcW w:type="dxa" w:w="4910"/>
            <w:vAlign w:val="center"/>
          </w:tcPr>
          <w:p>
            <w:pPr>
              <w:spacing w:after="20"/>
            </w:pPr>
            <w:r>
              <w:rPr>
                <w:sz w:val="16"/>
              </w:rPr>
              <w:t>Navigation</w:t>
            </w:r>
          </w:p>
        </w:tc>
        <w:tc>
          <w:tcPr>
            <w:tcW w:type="dxa" w:w="4910"/>
            <w:vAlign w:val="center"/>
          </w:tcPr>
          <w:p>
            <w:pPr>
              <w:spacing w:after="20"/>
            </w:pPr>
            <w:r>
              <w:rPr>
                <w:sz w:val="16"/>
              </w:rPr>
              <w:t>Previous/next step, upstream/downstream connections, reset</w:t>
            </w:r>
          </w:p>
        </w:tc>
      </w:tr>
      <w:tr>
        <w:tc>
          <w:tcPr>
            <w:tcW w:type="dxa" w:w="4910"/>
            <w:vAlign w:val="center"/>
          </w:tcPr>
          <w:p>
            <w:pPr>
              <w:spacing w:after="20"/>
            </w:pPr>
            <w:r>
              <w:rPr>
                <w:sz w:val="16"/>
              </w:rPr>
              <w:t>Context</w:t>
            </w:r>
          </w:p>
        </w:tc>
        <w:tc>
          <w:tcPr>
            <w:tcW w:type="dxa" w:w="4910"/>
            <w:vAlign w:val="center"/>
          </w:tcPr>
          <w:p>
            <w:pPr>
              <w:spacing w:after="20"/>
            </w:pPr>
            <w:r>
              <w:rPr>
                <w:sz w:val="16"/>
              </w:rPr>
              <w:t>Conceptual interpretation, edge cases, limitations</w:t>
            </w:r>
          </w:p>
        </w:tc>
      </w:tr>
    </w:tbl>
    <w:p>
      <w:pPr>
        <w:pStyle w:val="Heading1"/>
      </w:pPr>
      <w:r>
        <w:t>4.3 Trace pipeline</w:t>
      </w:r>
    </w:p>
    <w:p>
      <w:r>
        <w:t>Prompt → token IDs → embedding lookup → positional information → repeated block: normalization/projections → masked scaled dot-product attention → output projection → residual → normalization/MLP → residual → final normalization → vocabulary projection → logits → sampling → next token. The precise sequence must match the frozen reference implementation, including whether normalization is pre- or post-block.</w:t>
      </w:r>
    </w:p>
    <w:p>
      <w:pPr>
        <w:pStyle w:val="Heading1"/>
      </w:pPr>
      <w:r>
        <w:t>4.4 Three synchronized views</w:t>
      </w:r>
    </w:p>
    <w:tbl>
      <w:tblPr>
        <w:tblStyle w:val="LightShading-Accent1"/>
        <w:tblW w:type="auto" w:w="0"/>
        <w:jc w:val="center"/>
        <w:tblLayout w:type="autofit"/>
        <w:tblLook w:firstColumn="1" w:firstRow="1" w:lastColumn="0" w:lastRow="0" w:noHBand="0" w:noVBand="1" w:val="04A0"/>
      </w:tblPr>
      <w:tblGrid>
        <w:gridCol w:w="4910"/>
        <w:gridCol w:w="4910"/>
      </w:tblGrid>
      <w:tr>
        <w:tc>
          <w:tcPr>
            <w:tcW w:type="dxa" w:w="4910"/>
            <w:vAlign w:val="center"/>
          </w:tcPr>
          <w:p>
            <w:pPr>
              <w:spacing w:after="20"/>
            </w:pPr>
            <w:r>
              <w:rPr>
                <w:b/>
                <w:color w:val="143757"/>
                <w:sz w:val="16"/>
              </w:rPr>
              <w:t>View</w:t>
            </w:r>
          </w:p>
        </w:tc>
        <w:tc>
          <w:tcPr>
            <w:tcW w:type="dxa" w:w="4910"/>
            <w:vAlign w:val="center"/>
          </w:tcPr>
          <w:p>
            <w:pPr>
              <w:spacing w:after="20"/>
            </w:pPr>
            <w:r>
              <w:rPr>
                <w:b/>
                <w:color w:val="143757"/>
                <w:sz w:val="16"/>
              </w:rPr>
              <w:t>Behavior</w:t>
            </w:r>
          </w:p>
        </w:tc>
      </w:tr>
      <w:tr>
        <w:tc>
          <w:tcPr>
            <w:tcW w:type="dxa" w:w="4910"/>
            <w:vAlign w:val="center"/>
          </w:tcPr>
          <w:p>
            <w:pPr>
              <w:spacing w:after="20"/>
            </w:pPr>
            <w:r>
              <w:rPr>
                <w:sz w:val="16"/>
              </w:rPr>
              <w:t>Visual</w:t>
            </w:r>
          </w:p>
        </w:tc>
        <w:tc>
          <w:tcPr>
            <w:tcW w:type="dxa" w:w="4910"/>
            <w:vAlign w:val="center"/>
          </w:tcPr>
          <w:p>
            <w:pPr>
              <w:spacing w:after="20"/>
            </w:pPr>
            <w:r>
              <w:rPr>
                <w:sz w:val="16"/>
              </w:rPr>
              <w:t>Animate data flow and attention weights; hover/focus to inspect values</w:t>
            </w:r>
          </w:p>
        </w:tc>
      </w:tr>
      <w:tr>
        <w:tc>
          <w:tcPr>
            <w:tcW w:type="dxa" w:w="4910"/>
            <w:vAlign w:val="center"/>
          </w:tcPr>
          <w:p>
            <w:pPr>
              <w:spacing w:after="20"/>
            </w:pPr>
            <w:r>
              <w:rPr>
                <w:sz w:val="16"/>
              </w:rPr>
              <w:t>Math</w:t>
            </w:r>
          </w:p>
        </w:tc>
        <w:tc>
          <w:tcPr>
            <w:tcW w:type="dxa" w:w="4910"/>
            <w:vAlign w:val="center"/>
          </w:tcPr>
          <w:p>
            <w:pPr>
              <w:spacing w:after="20"/>
            </w:pPr>
            <w:r>
              <w:rPr>
                <w:sz w:val="16"/>
              </w:rPr>
              <w:t>Show actual dimensions and substitute selected values into equations</w:t>
            </w:r>
          </w:p>
        </w:tc>
      </w:tr>
      <w:tr>
        <w:tc>
          <w:tcPr>
            <w:tcW w:type="dxa" w:w="4910"/>
            <w:vAlign w:val="center"/>
          </w:tcPr>
          <w:p>
            <w:pPr>
              <w:spacing w:after="20"/>
            </w:pPr>
            <w:r>
              <w:rPr>
                <w:sz w:val="16"/>
              </w:rPr>
              <w:t>Code</w:t>
            </w:r>
          </w:p>
        </w:tc>
        <w:tc>
          <w:tcPr>
            <w:tcW w:type="dxa" w:w="4910"/>
            <w:vAlign w:val="center"/>
          </w:tcPr>
          <w:p>
            <w:pPr>
              <w:spacing w:after="20"/>
            </w:pPr>
            <w:r>
              <w:rPr>
                <w:sz w:val="16"/>
              </w:rPr>
              <w:t>Show aligned reference implementation; highlight the active operation and downloadable test fixtures</w:t>
            </w:r>
          </w:p>
        </w:tc>
      </w:tr>
    </w:tbl>
    <w:p>
      <w:pPr>
        <w:pStyle w:val="Heading1"/>
      </w:pPr>
      <w:r>
        <w:t>5. Core screens and interactions</w:t>
      </w:r>
    </w:p>
    <w:tbl>
      <w:tblPr>
        <w:tblStyle w:val="LightShading-Accent1"/>
        <w:tblW w:type="auto" w:w="0"/>
        <w:jc w:val="center"/>
        <w:tblLayout w:type="autofit"/>
        <w:tblLook w:firstColumn="1" w:firstRow="1" w:lastColumn="0" w:lastRow="0" w:noHBand="0" w:noVBand="1" w:val="04A0"/>
      </w:tblPr>
      <w:tblGrid>
        <w:gridCol w:w="3273"/>
        <w:gridCol w:w="3273"/>
        <w:gridCol w:w="3273"/>
      </w:tblGrid>
      <w:tr>
        <w:tc>
          <w:tcPr>
            <w:tcW w:type="dxa" w:w="3273"/>
            <w:vAlign w:val="center"/>
          </w:tcPr>
          <w:p>
            <w:pPr>
              <w:spacing w:after="20"/>
            </w:pPr>
            <w:r>
              <w:rPr>
                <w:b/>
                <w:color w:val="143757"/>
                <w:sz w:val="16"/>
              </w:rPr>
              <w:t>Screen</w:t>
            </w:r>
          </w:p>
        </w:tc>
        <w:tc>
          <w:tcPr>
            <w:tcW w:type="dxa" w:w="3273"/>
            <w:vAlign w:val="center"/>
          </w:tcPr>
          <w:p>
            <w:pPr>
              <w:spacing w:after="20"/>
            </w:pPr>
            <w:r>
              <w:rPr>
                <w:b/>
                <w:color w:val="143757"/>
                <w:sz w:val="16"/>
              </w:rPr>
              <w:t>Primary content</w:t>
            </w:r>
          </w:p>
        </w:tc>
        <w:tc>
          <w:tcPr>
            <w:tcW w:type="dxa" w:w="3273"/>
            <w:vAlign w:val="center"/>
          </w:tcPr>
          <w:p>
            <w:pPr>
              <w:spacing w:after="20"/>
            </w:pPr>
            <w:r>
              <w:rPr>
                <w:b/>
                <w:color w:val="143757"/>
                <w:sz w:val="16"/>
              </w:rPr>
              <w:t>Important interactions</w:t>
            </w:r>
          </w:p>
        </w:tc>
      </w:tr>
      <w:tr>
        <w:tc>
          <w:tcPr>
            <w:tcW w:type="dxa" w:w="3273"/>
            <w:vAlign w:val="center"/>
          </w:tcPr>
          <w:p>
            <w:pPr>
              <w:spacing w:after="20"/>
            </w:pPr>
            <w:r>
              <w:rPr>
                <w:sz w:val="16"/>
              </w:rPr>
              <w:t>Landing</w:t>
            </w:r>
          </w:p>
        </w:tc>
        <w:tc>
          <w:tcPr>
            <w:tcW w:type="dxa" w:w="3273"/>
            <w:vAlign w:val="center"/>
          </w:tcPr>
          <w:p>
            <w:pPr>
              <w:spacing w:after="20"/>
            </w:pPr>
            <w:r>
              <w:rPr>
                <w:sz w:val="16"/>
              </w:rPr>
              <w:t>Value proposition, “trace a token” demo, curriculum map</w:t>
            </w:r>
          </w:p>
        </w:tc>
        <w:tc>
          <w:tcPr>
            <w:tcW w:type="dxa" w:w="3273"/>
            <w:vAlign w:val="center"/>
          </w:tcPr>
          <w:p>
            <w:pPr>
              <w:spacing w:after="20"/>
            </w:pPr>
            <w:r>
              <w:rPr>
                <w:sz w:val="16"/>
              </w:rPr>
              <w:t>Start guided tour; resume local chapter</w:t>
            </w:r>
          </w:p>
        </w:tc>
      </w:tr>
      <w:tr>
        <w:tc>
          <w:tcPr>
            <w:tcW w:type="dxa" w:w="3273"/>
            <w:vAlign w:val="center"/>
          </w:tcPr>
          <w:p>
            <w:pPr>
              <w:spacing w:after="20"/>
            </w:pPr>
            <w:r>
              <w:rPr>
                <w:sz w:val="16"/>
              </w:rPr>
              <w:t>Lesson page</w:t>
            </w:r>
          </w:p>
        </w:tc>
        <w:tc>
          <w:tcPr>
            <w:tcW w:type="dxa" w:w="3273"/>
            <w:vAlign w:val="center"/>
          </w:tcPr>
          <w:p>
            <w:pPr>
              <w:spacing w:after="20"/>
            </w:pPr>
            <w:r>
              <w:rPr>
                <w:sz w:val="16"/>
              </w:rPr>
              <w:t>Narrative, anchored visual stage, depth selector, glossary rail</w:t>
            </w:r>
          </w:p>
        </w:tc>
        <w:tc>
          <w:tcPr>
            <w:tcW w:type="dxa" w:w="3273"/>
            <w:vAlign w:val="center"/>
          </w:tcPr>
          <w:p>
            <w:pPr>
              <w:spacing w:after="20"/>
            </w:pPr>
            <w:r>
              <w:rPr>
                <w:sz w:val="16"/>
              </w:rPr>
              <w:t>Step, inspect, reveal, quiz, copy permalink</w:t>
            </w:r>
          </w:p>
        </w:tc>
      </w:tr>
      <w:tr>
        <w:tc>
          <w:tcPr>
            <w:tcW w:type="dxa" w:w="3273"/>
            <w:vAlign w:val="center"/>
          </w:tcPr>
          <w:p>
            <w:pPr>
              <w:spacing w:after="20"/>
            </w:pPr>
            <w:r>
              <w:rPr>
                <w:sz w:val="16"/>
              </w:rPr>
              <w:t>Model explorer</w:t>
            </w:r>
          </w:p>
        </w:tc>
        <w:tc>
          <w:tcPr>
            <w:tcW w:type="dxa" w:w="3273"/>
            <w:vAlign w:val="center"/>
          </w:tcPr>
          <w:p>
            <w:pPr>
              <w:spacing w:after="20"/>
            </w:pPr>
            <w:r>
              <w:rPr>
                <w:sz w:val="16"/>
              </w:rPr>
              <w:t>Prompt entry, token strip, transformer graph, tensor inspector</w:t>
            </w:r>
          </w:p>
        </w:tc>
        <w:tc>
          <w:tcPr>
            <w:tcW w:type="dxa" w:w="3273"/>
            <w:vAlign w:val="center"/>
          </w:tcPr>
          <w:p>
            <w:pPr>
              <w:spacing w:after="20"/>
            </w:pPr>
            <w:r>
              <w:rPr>
                <w:sz w:val="16"/>
              </w:rPr>
              <w:t>Select token/layer/head, reset, compare selected states</w:t>
            </w:r>
          </w:p>
        </w:tc>
      </w:tr>
      <w:tr>
        <w:tc>
          <w:tcPr>
            <w:tcW w:type="dxa" w:w="3273"/>
            <w:vAlign w:val="center"/>
          </w:tcPr>
          <w:p>
            <w:pPr>
              <w:spacing w:after="20"/>
            </w:pPr>
            <w:r>
              <w:rPr>
                <w:sz w:val="16"/>
              </w:rPr>
              <w:t>Code laboratory</w:t>
            </w:r>
          </w:p>
        </w:tc>
        <w:tc>
          <w:tcPr>
            <w:tcW w:type="dxa" w:w="3273"/>
            <w:vAlign w:val="center"/>
          </w:tcPr>
          <w:p>
            <w:pPr>
              <w:spacing w:after="20"/>
            </w:pPr>
            <w:r>
              <w:rPr>
                <w:sz w:val="16"/>
              </w:rPr>
              <w:t>Minimal implementation and deterministic fixtures</w:t>
            </w:r>
          </w:p>
        </w:tc>
        <w:tc>
          <w:tcPr>
            <w:tcW w:type="dxa" w:w="3273"/>
            <w:vAlign w:val="center"/>
          </w:tcPr>
          <w:p>
            <w:pPr>
              <w:spacing w:after="20"/>
            </w:pPr>
            <w:r>
              <w:rPr>
                <w:sz w:val="16"/>
              </w:rPr>
              <w:t>Copy snippet; optionally run bounded exercises in browser</w:t>
            </w:r>
          </w:p>
        </w:tc>
      </w:tr>
      <w:tr>
        <w:tc>
          <w:tcPr>
            <w:tcW w:type="dxa" w:w="3273"/>
            <w:vAlign w:val="center"/>
          </w:tcPr>
          <w:p>
            <w:pPr>
              <w:spacing w:after="20"/>
            </w:pPr>
            <w:r>
              <w:rPr>
                <w:sz w:val="16"/>
              </w:rPr>
              <w:t>Curriculum index</w:t>
            </w:r>
          </w:p>
        </w:tc>
        <w:tc>
          <w:tcPr>
            <w:tcW w:type="dxa" w:w="3273"/>
            <w:vAlign w:val="center"/>
          </w:tcPr>
          <w:p>
            <w:pPr>
              <w:spacing w:after="20"/>
            </w:pPr>
            <w:r>
              <w:rPr>
                <w:sz w:val="16"/>
              </w:rPr>
              <w:t>Prerequisites, chapter outcomes, estimated effort</w:t>
            </w:r>
          </w:p>
        </w:tc>
        <w:tc>
          <w:tcPr>
            <w:tcW w:type="dxa" w:w="3273"/>
            <w:vAlign w:val="center"/>
          </w:tcPr>
          <w:p>
            <w:pPr>
              <w:spacing w:after="20"/>
            </w:pPr>
            <w:r>
              <w:rPr>
                <w:sz w:val="16"/>
              </w:rPr>
              <w:t>Jump to chapter; view dependency map</w:t>
            </w:r>
          </w:p>
        </w:tc>
      </w:tr>
      <w:tr>
        <w:tc>
          <w:tcPr>
            <w:tcW w:type="dxa" w:w="3273"/>
            <w:vAlign w:val="center"/>
          </w:tcPr>
          <w:p>
            <w:pPr>
              <w:spacing w:after="20"/>
            </w:pPr>
            <w:r>
              <w:rPr>
                <w:sz w:val="16"/>
              </w:rPr>
              <w:t>Reference glossary</w:t>
            </w:r>
          </w:p>
        </w:tc>
        <w:tc>
          <w:tcPr>
            <w:tcW w:type="dxa" w:w="3273"/>
            <w:vAlign w:val="center"/>
          </w:tcPr>
          <w:p>
            <w:pPr>
              <w:spacing w:after="20"/>
            </w:pPr>
            <w:r>
              <w:rPr>
                <w:sz w:val="16"/>
              </w:rPr>
              <w:t>Definitions, symbols, tensor notation, architecture caveats</w:t>
            </w:r>
          </w:p>
        </w:tc>
        <w:tc>
          <w:tcPr>
            <w:tcW w:type="dxa" w:w="3273"/>
            <w:vAlign w:val="center"/>
          </w:tcPr>
          <w:p>
            <w:pPr>
              <w:spacing w:after="20"/>
            </w:pPr>
            <w:r>
              <w:rPr>
                <w:sz w:val="16"/>
              </w:rPr>
              <w:t>Search and cross-link</w:t>
            </w:r>
          </w:p>
        </w:tc>
      </w:tr>
    </w:tbl>
    <w:p>
      <w:pPr>
        <w:pStyle w:val="Heading1"/>
      </w:pPr>
      <w:r>
        <w:t>5.1 Example interaction: self-attention</w:t>
      </w:r>
    </w:p>
    <w:p>
      <w:pPr>
        <w:pStyle w:val="ListNumber"/>
      </w:pPr>
      <w:r>
        <w:t>Reader selects the token “sat” and attention head 1.</w:t>
      </w:r>
    </w:p>
    <w:p>
      <w:pPr>
        <w:pStyle w:val="ListNumber"/>
      </w:pPr>
      <w:r>
        <w:t>UI highlights its query vector and the allowed key vectors (future positions masked).</w:t>
      </w:r>
    </w:p>
    <w:p>
      <w:pPr>
        <w:pStyle w:val="ListNumber"/>
      </w:pPr>
      <w:r>
        <w:t>Dot products appear with the scaling factor 1/√d_k; masked logits are represented explicitly.</w:t>
      </w:r>
    </w:p>
    <w:p>
      <w:pPr>
        <w:pStyle w:val="ListNumber"/>
      </w:pPr>
      <w:r>
        <w:t>Softmax normalizes valid scores; the view explains why weights sum to approximately 1.</w:t>
      </w:r>
    </w:p>
    <w:p>
      <w:pPr>
        <w:pStyle w:val="ListNumber"/>
      </w:pPr>
      <w:r>
        <w:t>Weighted value vectors are aggregated; the resulting head output is exposed numerically.</w:t>
      </w:r>
    </w:p>
    <w:p>
      <w:pPr>
        <w:pStyle w:val="ListNumber"/>
      </w:pPr>
      <w:r>
        <w:t>The user switches to Math or Code without changing the selected token, head, or values.</w:t>
      </w:r>
    </w:p>
    <w:p>
      <w:pPr>
        <w:pStyle w:val="Heading1"/>
      </w:pPr>
      <w:r>
        <w:t>6. Visual and content design</w:t>
      </w:r>
    </w:p>
    <w:p>
      <w:r>
        <w:t>Editorial, technical, calm. Light and dark themes; generous whitespace; neutral surfaces with restrained semantic accents for tensors, operations, and active selections. Never rely on color alone to communicate values. Use a sticky desktop stage paired with scroll-driven explanation; collapse into a vertically sequenced stage on mobile. Long vector/matrix values belong in scrollable inspectors with shape labels, not tiny text embedded in an illustration.</w:t>
      </w:r>
    </w:p>
    <w:p>
      <w:r>
        <w:t>Lesson content template: learning objective → intuition → concrete example → operation trace → equation → code → pitfalls/assumptions → knowledge check → next prerequisite. Establish a notation guide and a glossary; introduce every symbol before reuse. Separate verified statements about the reference model from illustrative analogies and open research questions.</w:t>
      </w:r>
    </w:p>
    <w:p>
      <w:pPr>
        <w:pStyle w:val="Heading1"/>
      </w:pPr>
      <w:r>
        <w:t>7. Technical architecture</w:t>
      </w:r>
    </w:p>
    <w:tbl>
      <w:tblPr>
        <w:tblStyle w:val="LightShading-Accent1"/>
        <w:tblW w:type="auto" w:w="0"/>
        <w:jc w:val="center"/>
        <w:tblLayout w:type="autofit"/>
        <w:tblLook w:firstColumn="1" w:firstRow="1" w:lastColumn="0" w:lastRow="0" w:noHBand="0" w:noVBand="1" w:val="04A0"/>
      </w:tblPr>
      <w:tblGrid>
        <w:gridCol w:w="3273"/>
        <w:gridCol w:w="3273"/>
        <w:gridCol w:w="3273"/>
      </w:tblGrid>
      <w:tr>
        <w:tc>
          <w:tcPr>
            <w:tcW w:type="dxa" w:w="3273"/>
            <w:vAlign w:val="center"/>
          </w:tcPr>
          <w:p>
            <w:pPr>
              <w:spacing w:after="20"/>
            </w:pPr>
            <w:r>
              <w:rPr>
                <w:b/>
                <w:color w:val="143757"/>
                <w:sz w:val="16"/>
              </w:rPr>
              <w:t>Layer</w:t>
            </w:r>
          </w:p>
        </w:tc>
        <w:tc>
          <w:tcPr>
            <w:tcW w:type="dxa" w:w="3273"/>
            <w:vAlign w:val="center"/>
          </w:tcPr>
          <w:p>
            <w:pPr>
              <w:spacing w:after="20"/>
            </w:pPr>
            <w:r>
              <w:rPr>
                <w:b/>
                <w:color w:val="143757"/>
                <w:sz w:val="16"/>
              </w:rPr>
              <w:t>Recommended choice</w:t>
            </w:r>
          </w:p>
        </w:tc>
        <w:tc>
          <w:tcPr>
            <w:tcW w:type="dxa" w:w="3273"/>
            <w:vAlign w:val="center"/>
          </w:tcPr>
          <w:p>
            <w:pPr>
              <w:spacing w:after="20"/>
            </w:pPr>
            <w:r>
              <w:rPr>
                <w:b/>
                <w:color w:val="143757"/>
                <w:sz w:val="16"/>
              </w:rPr>
              <w:t>Responsibility</w:t>
            </w:r>
          </w:p>
        </w:tc>
      </w:tr>
      <w:tr>
        <w:tc>
          <w:tcPr>
            <w:tcW w:type="dxa" w:w="3273"/>
            <w:vAlign w:val="center"/>
          </w:tcPr>
          <w:p>
            <w:pPr>
              <w:spacing w:after="20"/>
            </w:pPr>
            <w:r>
              <w:rPr>
                <w:sz w:val="16"/>
              </w:rPr>
              <w:t>Site framework</w:t>
            </w:r>
          </w:p>
        </w:tc>
        <w:tc>
          <w:tcPr>
            <w:tcW w:type="dxa" w:w="3273"/>
            <w:vAlign w:val="center"/>
          </w:tcPr>
          <w:p>
            <w:pPr>
              <w:spacing w:after="20"/>
            </w:pPr>
            <w:r>
              <w:rPr>
                <w:sz w:val="16"/>
              </w:rPr>
              <w:t>Astro + MDX + TypeScript</w:t>
            </w:r>
          </w:p>
        </w:tc>
        <w:tc>
          <w:tcPr>
            <w:tcW w:type="dxa" w:w="3273"/>
            <w:vAlign w:val="center"/>
          </w:tcPr>
          <w:p>
            <w:pPr>
              <w:spacing w:after="20"/>
            </w:pPr>
            <w:r>
              <w:rPr>
                <w:sz w:val="16"/>
              </w:rPr>
              <w:t>Static routes, editorial content, embedded components</w:t>
            </w:r>
          </w:p>
        </w:tc>
      </w:tr>
      <w:tr>
        <w:tc>
          <w:tcPr>
            <w:tcW w:type="dxa" w:w="3273"/>
            <w:vAlign w:val="center"/>
          </w:tcPr>
          <w:p>
            <w:pPr>
              <w:spacing w:after="20"/>
            </w:pPr>
            <w:r>
              <w:rPr>
                <w:sz w:val="16"/>
              </w:rPr>
              <w:t>Client UI</w:t>
            </w:r>
          </w:p>
        </w:tc>
        <w:tc>
          <w:tcPr>
            <w:tcW w:type="dxa" w:w="3273"/>
            <w:vAlign w:val="center"/>
          </w:tcPr>
          <w:p>
            <w:pPr>
              <w:spacing w:after="20"/>
            </w:pPr>
            <w:r>
              <w:rPr>
                <w:sz w:val="16"/>
              </w:rPr>
              <w:t>Framework islands as needed</w:t>
            </w:r>
          </w:p>
        </w:tc>
        <w:tc>
          <w:tcPr>
            <w:tcW w:type="dxa" w:w="3273"/>
            <w:vAlign w:val="center"/>
          </w:tcPr>
          <w:p>
            <w:pPr>
              <w:spacing w:after="20"/>
            </w:pPr>
            <w:r>
              <w:rPr>
                <w:sz w:val="16"/>
              </w:rPr>
              <w:t>Stateful inspectors and synchronized selected operation</w:t>
            </w:r>
          </w:p>
        </w:tc>
      </w:tr>
      <w:tr>
        <w:tc>
          <w:tcPr>
            <w:tcW w:type="dxa" w:w="3273"/>
            <w:vAlign w:val="center"/>
          </w:tcPr>
          <w:p>
            <w:pPr>
              <w:spacing w:after="20"/>
            </w:pPr>
            <w:r>
              <w:rPr>
                <w:sz w:val="16"/>
              </w:rPr>
              <w:t>Visualization</w:t>
            </w:r>
          </w:p>
        </w:tc>
        <w:tc>
          <w:tcPr>
            <w:tcW w:type="dxa" w:w="3273"/>
            <w:vAlign w:val="center"/>
          </w:tcPr>
          <w:p>
            <w:pPr>
              <w:spacing w:after="20"/>
            </w:pPr>
            <w:r>
              <w:rPr>
                <w:sz w:val="16"/>
              </w:rPr>
              <w:t>SVG/D3 for diagrams; Canvas for large heatmaps</w:t>
            </w:r>
          </w:p>
        </w:tc>
        <w:tc>
          <w:tcPr>
            <w:tcW w:type="dxa" w:w="3273"/>
            <w:vAlign w:val="center"/>
          </w:tcPr>
          <w:p>
            <w:pPr>
              <w:spacing w:after="20"/>
            </w:pPr>
            <w:r>
              <w:rPr>
                <w:sz w:val="16"/>
              </w:rPr>
              <w:t>Accessible graph and matrix presentation</w:t>
            </w:r>
          </w:p>
        </w:tc>
      </w:tr>
      <w:tr>
        <w:tc>
          <w:tcPr>
            <w:tcW w:type="dxa" w:w="3273"/>
            <w:vAlign w:val="center"/>
          </w:tcPr>
          <w:p>
            <w:pPr>
              <w:spacing w:after="20"/>
            </w:pPr>
            <w:r>
              <w:rPr>
                <w:sz w:val="16"/>
              </w:rPr>
              <w:t>Math/code</w:t>
            </w:r>
          </w:p>
        </w:tc>
        <w:tc>
          <w:tcPr>
            <w:tcW w:type="dxa" w:w="3273"/>
            <w:vAlign w:val="center"/>
          </w:tcPr>
          <w:p>
            <w:pPr>
              <w:spacing w:after="20"/>
            </w:pPr>
            <w:r>
              <w:rPr>
                <w:sz w:val="16"/>
              </w:rPr>
              <w:t>KaTeX + Shiki</w:t>
            </w:r>
          </w:p>
        </w:tc>
        <w:tc>
          <w:tcPr>
            <w:tcW w:type="dxa" w:w="3273"/>
            <w:vAlign w:val="center"/>
          </w:tcPr>
          <w:p>
            <w:pPr>
              <w:spacing w:after="20"/>
            </w:pPr>
            <w:r>
              <w:rPr>
                <w:sz w:val="16"/>
              </w:rPr>
              <w:t>Equation rendering and source display</w:t>
            </w:r>
          </w:p>
        </w:tc>
      </w:tr>
      <w:tr>
        <w:tc>
          <w:tcPr>
            <w:tcW w:type="dxa" w:w="3273"/>
            <w:vAlign w:val="center"/>
          </w:tcPr>
          <w:p>
            <w:pPr>
              <w:spacing w:after="20"/>
            </w:pPr>
            <w:r>
              <w:rPr>
                <w:sz w:val="16"/>
              </w:rPr>
              <w:t>Trace engine</w:t>
            </w:r>
          </w:p>
        </w:tc>
        <w:tc>
          <w:tcPr>
            <w:tcW w:type="dxa" w:w="3273"/>
            <w:vAlign w:val="center"/>
          </w:tcPr>
          <w:p>
            <w:pPr>
              <w:spacing w:after="20"/>
            </w:pPr>
            <w:r>
              <w:rPr>
                <w:sz w:val="16"/>
              </w:rPr>
              <w:t>Pure, versioned TypeScript + JSON fixtures</w:t>
            </w:r>
          </w:p>
        </w:tc>
        <w:tc>
          <w:tcPr>
            <w:tcW w:type="dxa" w:w="3273"/>
            <w:vAlign w:val="center"/>
          </w:tcPr>
          <w:p>
            <w:pPr>
              <w:spacing w:after="20"/>
            </w:pPr>
            <w:r>
              <w:rPr>
                <w:sz w:val="16"/>
              </w:rPr>
              <w:t>Deterministic model operations and trace serialization</w:t>
            </w:r>
          </w:p>
        </w:tc>
      </w:tr>
      <w:tr>
        <w:tc>
          <w:tcPr>
            <w:tcW w:type="dxa" w:w="3273"/>
            <w:vAlign w:val="center"/>
          </w:tcPr>
          <w:p>
            <w:pPr>
              <w:spacing w:after="20"/>
            </w:pPr>
            <w:r>
              <w:rPr>
                <w:sz w:val="16"/>
              </w:rPr>
              <w:t>Optional runtime</w:t>
            </w:r>
          </w:p>
        </w:tc>
        <w:tc>
          <w:tcPr>
            <w:tcW w:type="dxa" w:w="3273"/>
            <w:vAlign w:val="center"/>
          </w:tcPr>
          <w:p>
            <w:pPr>
              <w:spacing w:after="20"/>
            </w:pPr>
            <w:r>
              <w:rPr>
                <w:sz w:val="16"/>
              </w:rPr>
              <w:t>WebGPU / WASM (later)</w:t>
            </w:r>
          </w:p>
        </w:tc>
        <w:tc>
          <w:tcPr>
            <w:tcW w:type="dxa" w:w="3273"/>
            <w:vAlign w:val="center"/>
          </w:tcPr>
          <w:p>
            <w:pPr>
              <w:spacing w:after="20"/>
            </w:pPr>
            <w:r>
              <w:rPr>
                <w:sz w:val="16"/>
              </w:rPr>
              <w:t>Interactive prompt execution with graceful fallback</w:t>
            </w:r>
          </w:p>
        </w:tc>
      </w:tr>
      <w:tr>
        <w:tc>
          <w:tcPr>
            <w:tcW w:type="dxa" w:w="3273"/>
            <w:vAlign w:val="center"/>
          </w:tcPr>
          <w:p>
            <w:pPr>
              <w:spacing w:after="20"/>
            </w:pPr>
            <w:r>
              <w:rPr>
                <w:sz w:val="16"/>
              </w:rPr>
              <w:t>Delivery</w:t>
            </w:r>
          </w:p>
        </w:tc>
        <w:tc>
          <w:tcPr>
            <w:tcW w:type="dxa" w:w="3273"/>
            <w:vAlign w:val="center"/>
          </w:tcPr>
          <w:p>
            <w:pPr>
              <w:spacing w:after="20"/>
            </w:pPr>
            <w:r>
              <w:rPr>
                <w:sz w:val="16"/>
              </w:rPr>
              <w:t>Static CDN / Vercel</w:t>
            </w:r>
          </w:p>
        </w:tc>
        <w:tc>
          <w:tcPr>
            <w:tcW w:type="dxa" w:w="3273"/>
            <w:vAlign w:val="center"/>
          </w:tcPr>
          <w:p>
            <w:pPr>
              <w:spacing w:after="20"/>
            </w:pPr>
            <w:r>
              <w:rPr>
                <w:sz w:val="16"/>
              </w:rPr>
              <w:t>No required backend; versioned immutable assets</w:t>
            </w:r>
          </w:p>
        </w:tc>
      </w:tr>
    </w:tbl>
    <w:p>
      <w:pPr>
        <w:pStyle w:val="Heading1"/>
      </w:pPr>
      <w:r>
        <w:t>7.1 Data contracts</w:t>
      </w:r>
    </w:p>
    <w:p>
      <w:r>
        <w:t>Define ModelManifest (architecture, tensor dimensions, tokenizer version, weight checksum, numeric conventions), TraceRun (prompt, tokens, model version, operations), and TraceOperation (ID, parents, layer/head/token coordinates, input/output tensor references, equation/code identifiers, precision). Store large tensor arrays separately from narrative MDX. Tests must ensure every shown numeric value derives from the trace artifacts.</w:t>
      </w:r>
    </w:p>
    <w:p>
      <w:pPr>
        <w:pStyle w:val="Heading1"/>
      </w:pPr>
      <w:r>
        <w:t>7.2 State and performance</w:t>
      </w:r>
    </w:p>
    <w:p>
      <w:r>
        <w:t>URL encodes chapter and optionally a compact selection (step/token/layer/head) for shareable examples. Local storage may preserve reading progress, but is optional and never necessary for learning. Lazy-load the explorer and large numerical arrays; pre-render the curriculum and canonical traces. Target fast first content paint on mobile and keep all essential content available without WebGPU. Cap interactive prompt length to prevent UI freezing.</w:t>
      </w:r>
    </w:p>
    <w:p>
      <w:pPr>
        <w:pStyle w:val="Heading1"/>
      </w:pPr>
      <w:r>
        <w:t>7.3 Verification</w:t>
      </w:r>
    </w:p>
    <w:p>
      <w:pPr>
        <w:pStyle w:val="ListBullet"/>
      </w:pPr>
      <w:r>
        <w:t>Golden numeric fixtures generated by a separate reference implementation (e.g., PyTorch) and checked against the TypeScript engine within specified tolerances.</w:t>
      </w:r>
    </w:p>
    <w:p>
      <w:pPr>
        <w:pStyle w:val="ListBullet"/>
      </w:pPr>
      <w:r>
        <w:t>Unit/property tests: shapes, masking, softmax normalization, causal independence from future tokens, reproducible sampling with seeded PRNG, and layer ordering.</w:t>
      </w:r>
    </w:p>
    <w:p>
      <w:pPr>
        <w:pStyle w:val="ListBullet"/>
      </w:pPr>
      <w:r>
        <w:t>Editorial review: one-to-one alignment among diagram, equation, code, and trace; clear separation of simplifications.</w:t>
      </w:r>
    </w:p>
    <w:p>
      <w:pPr>
        <w:pStyle w:val="ListBullet"/>
      </w:pPr>
      <w:r>
        <w:t>Accessibility: WCAG 2.2 AA target, keyboard navigation, focus states, reduced motion, screen-reader descriptions, and mobile checks.</w:t>
      </w:r>
    </w:p>
    <w:p>
      <w:pPr>
        <w:pStyle w:val="ListBullet"/>
      </w:pPr>
      <w:r>
        <w:t>Automated static build/link validation, browser smoke tests, asset size budgets, and basic visual regression tests.</w:t>
      </w:r>
    </w:p>
    <w:p>
      <w:pPr>
        <w:pStyle w:val="Heading1"/>
      </w:pPr>
      <w:r>
        <w:t>8. MVP definition and delivery sequence</w:t>
      </w:r>
    </w:p>
    <w:tbl>
      <w:tblPr>
        <w:tblStyle w:val="LightShading-Accent1"/>
        <w:tblW w:type="auto" w:w="0"/>
        <w:jc w:val="center"/>
        <w:tblLayout w:type="autofit"/>
        <w:tblLook w:firstColumn="1" w:firstRow="1" w:lastColumn="0" w:lastRow="0" w:noHBand="0" w:noVBand="1" w:val="04A0"/>
      </w:tblPr>
      <w:tblGrid>
        <w:gridCol w:w="3273"/>
        <w:gridCol w:w="3273"/>
        <w:gridCol w:w="3273"/>
      </w:tblGrid>
      <w:tr>
        <w:tc>
          <w:tcPr>
            <w:tcW w:type="dxa" w:w="3273"/>
            <w:vAlign w:val="center"/>
          </w:tcPr>
          <w:p>
            <w:pPr>
              <w:spacing w:after="20"/>
            </w:pPr>
            <w:r>
              <w:rPr>
                <w:b/>
                <w:color w:val="143757"/>
                <w:sz w:val="16"/>
              </w:rPr>
              <w:t>Phase</w:t>
            </w:r>
          </w:p>
        </w:tc>
        <w:tc>
          <w:tcPr>
            <w:tcW w:type="dxa" w:w="3273"/>
            <w:vAlign w:val="center"/>
          </w:tcPr>
          <w:p>
            <w:pPr>
              <w:spacing w:after="20"/>
            </w:pPr>
            <w:r>
              <w:rPr>
                <w:b/>
                <w:color w:val="143757"/>
                <w:sz w:val="16"/>
              </w:rPr>
              <w:t>Deliverables</w:t>
            </w:r>
          </w:p>
        </w:tc>
        <w:tc>
          <w:tcPr>
            <w:tcW w:type="dxa" w:w="3273"/>
            <w:vAlign w:val="center"/>
          </w:tcPr>
          <w:p>
            <w:pPr>
              <w:spacing w:after="20"/>
            </w:pPr>
            <w:r>
              <w:rPr>
                <w:b/>
                <w:color w:val="143757"/>
                <w:sz w:val="16"/>
              </w:rPr>
              <w:t>Exit criterion</w:t>
            </w:r>
          </w:p>
        </w:tc>
      </w:tr>
      <w:tr>
        <w:tc>
          <w:tcPr>
            <w:tcW w:type="dxa" w:w="3273"/>
            <w:vAlign w:val="center"/>
          </w:tcPr>
          <w:p>
            <w:pPr>
              <w:spacing w:after="20"/>
            </w:pPr>
            <w:r>
              <w:rPr>
                <w:sz w:val="16"/>
              </w:rPr>
              <w:t>0 / Proof of truth</w:t>
            </w:r>
          </w:p>
        </w:tc>
        <w:tc>
          <w:tcPr>
            <w:tcW w:type="dxa" w:w="3273"/>
            <w:vAlign w:val="center"/>
          </w:tcPr>
          <w:p>
            <w:pPr>
              <w:spacing w:after="20"/>
            </w:pPr>
            <w:r>
              <w:rPr>
                <w:sz w:val="16"/>
              </w:rPr>
              <w:t>Freeze model convention, choose tokenizer, reference implementation, trace schema, validated example</w:t>
            </w:r>
          </w:p>
        </w:tc>
        <w:tc>
          <w:tcPr>
            <w:tcW w:type="dxa" w:w="3273"/>
            <w:vAlign w:val="center"/>
          </w:tcPr>
          <w:p>
            <w:pPr>
              <w:spacing w:after="20"/>
            </w:pPr>
            <w:r>
              <w:rPr>
                <w:sz w:val="16"/>
              </w:rPr>
              <w:t>A single prompt produces identical documented results in reference and browser within tolerance</w:t>
            </w:r>
          </w:p>
        </w:tc>
      </w:tr>
      <w:tr>
        <w:tc>
          <w:tcPr>
            <w:tcW w:type="dxa" w:w="3273"/>
            <w:vAlign w:val="center"/>
          </w:tcPr>
          <w:p>
            <w:pPr>
              <w:spacing w:after="20"/>
            </w:pPr>
            <w:r>
              <w:rPr>
                <w:sz w:val="16"/>
              </w:rPr>
              <w:t>1 / Vertical slice</w:t>
            </w:r>
          </w:p>
        </w:tc>
        <w:tc>
          <w:tcPr>
            <w:tcW w:type="dxa" w:w="3273"/>
            <w:vAlign w:val="center"/>
          </w:tcPr>
          <w:p>
            <w:pPr>
              <w:spacing w:after="20"/>
            </w:pPr>
            <w:r>
              <w:rPr>
                <w:sz w:val="16"/>
              </w:rPr>
              <w:t>Landing, lesson shell, attention walkthrough, token/head selector, visual/math/code modes</w:t>
            </w:r>
          </w:p>
        </w:tc>
        <w:tc>
          <w:tcPr>
            <w:tcW w:type="dxa" w:w="3273"/>
            <w:vAlign w:val="center"/>
          </w:tcPr>
          <w:p>
            <w:pPr>
              <w:spacing w:after="20"/>
            </w:pPr>
            <w:r>
              <w:rPr>
                <w:sz w:val="16"/>
              </w:rPr>
              <w:t>Reader can reproduce attention output for a selected head</w:t>
            </w:r>
          </w:p>
        </w:tc>
      </w:tr>
      <w:tr>
        <w:tc>
          <w:tcPr>
            <w:tcW w:type="dxa" w:w="3273"/>
            <w:vAlign w:val="center"/>
          </w:tcPr>
          <w:p>
            <w:pPr>
              <w:spacing w:after="20"/>
            </w:pPr>
            <w:r>
              <w:rPr>
                <w:sz w:val="16"/>
              </w:rPr>
              <w:t>2 / End-to-end trace</w:t>
            </w:r>
          </w:p>
        </w:tc>
        <w:tc>
          <w:tcPr>
            <w:tcW w:type="dxa" w:w="3273"/>
            <w:vAlign w:val="center"/>
          </w:tcPr>
          <w:p>
            <w:pPr>
              <w:spacing w:after="20"/>
            </w:pPr>
            <w:r>
              <w:rPr>
                <w:sz w:val="16"/>
              </w:rPr>
              <w:t>Embeddings through logits, complete step navigation, inspector, glossary, canonical fixtures</w:t>
            </w:r>
          </w:p>
        </w:tc>
        <w:tc>
          <w:tcPr>
            <w:tcW w:type="dxa" w:w="3273"/>
            <w:vAlign w:val="center"/>
          </w:tcPr>
          <w:p>
            <w:pPr>
              <w:spacing w:after="20"/>
            </w:pPr>
            <w:r>
              <w:rPr>
                <w:sz w:val="16"/>
              </w:rPr>
              <w:t>All displayed forward-pass values link to data and code</w:t>
            </w:r>
          </w:p>
        </w:tc>
      </w:tr>
      <w:tr>
        <w:tc>
          <w:tcPr>
            <w:tcW w:type="dxa" w:w="3273"/>
            <w:vAlign w:val="center"/>
          </w:tcPr>
          <w:p>
            <w:pPr>
              <w:spacing w:after="20"/>
            </w:pPr>
            <w:r>
              <w:rPr>
                <w:sz w:val="16"/>
              </w:rPr>
              <w:t>3 / Learning quality</w:t>
            </w:r>
          </w:p>
        </w:tc>
        <w:tc>
          <w:tcPr>
            <w:tcW w:type="dxa" w:w="3273"/>
            <w:vAlign w:val="center"/>
          </w:tcPr>
          <w:p>
            <w:pPr>
              <w:spacing w:after="20"/>
            </w:pPr>
            <w:r>
              <w:rPr>
                <w:sz w:val="16"/>
              </w:rPr>
              <w:t>Exercises, responsive/a11y hardening, speed work, analytics respecting privacy</w:t>
            </w:r>
          </w:p>
        </w:tc>
        <w:tc>
          <w:tcPr>
            <w:tcW w:type="dxa" w:w="3273"/>
            <w:vAlign w:val="center"/>
          </w:tcPr>
          <w:p>
            <w:pPr>
              <w:spacing w:after="20"/>
            </w:pPr>
            <w:r>
              <w:rPr>
                <w:sz w:val="16"/>
              </w:rPr>
              <w:t>First external learners can complete the trace unaided</w:t>
            </w:r>
          </w:p>
        </w:tc>
      </w:tr>
      <w:tr>
        <w:tc>
          <w:tcPr>
            <w:tcW w:type="dxa" w:w="3273"/>
            <w:vAlign w:val="center"/>
          </w:tcPr>
          <w:p>
            <w:pPr>
              <w:spacing w:after="20"/>
            </w:pPr>
            <w:r>
              <w:rPr>
                <w:sz w:val="16"/>
              </w:rPr>
              <w:t>4 / Curriculum expansion</w:t>
            </w:r>
          </w:p>
        </w:tc>
        <w:tc>
          <w:tcPr>
            <w:tcW w:type="dxa" w:w="3273"/>
            <w:vAlign w:val="center"/>
          </w:tcPr>
          <w:p>
            <w:pPr>
              <w:spacing w:after="20"/>
            </w:pPr>
            <w:r>
              <w:rPr>
                <w:sz w:val="16"/>
              </w:rPr>
              <w:t>Training, inference systems, chapter authoring pipeline, optional local runtime</w:t>
            </w:r>
          </w:p>
        </w:tc>
        <w:tc>
          <w:tcPr>
            <w:tcW w:type="dxa" w:w="3273"/>
            <w:vAlign w:val="center"/>
          </w:tcPr>
          <w:p>
            <w:pPr>
              <w:spacing w:after="20"/>
            </w:pPr>
            <w:r>
              <w:rPr>
                <w:sz w:val="16"/>
              </w:rPr>
              <w:t>New chapters reuse stable components and verified contracts</w:t>
            </w:r>
          </w:p>
        </w:tc>
      </w:tr>
    </w:tbl>
    <w:p>
      <w:pPr>
        <w:pStyle w:val="Heading1"/>
      </w:pPr>
      <w:r>
        <w:t>8.1 Must-have vs. later</w:t>
      </w:r>
    </w:p>
    <w:p>
      <w:r>
        <w:t>MVP must-have: static lessons, frozen model, one canonical prompt, attention inspection, synchronized views, source/fixture access, keyboard-friendly UI, glossary, responsive design. Later: arbitrary text generation, multiple architectures, sophisticated training simulation, progress sync, localization, community contributions, and comparative frontier-model dashboards.</w:t>
      </w:r>
    </w:p>
    <w:p>
      <w:pPr>
        <w:pStyle w:val="Heading1"/>
      </w:pPr>
      <w:r>
        <w:t>9. Acceptance criteria and measurements</w:t>
      </w:r>
    </w:p>
    <w:tbl>
      <w:tblPr>
        <w:tblStyle w:val="LightShading-Accent1"/>
        <w:tblW w:type="auto" w:w="0"/>
        <w:jc w:val="center"/>
        <w:tblLayout w:type="autofit"/>
        <w:tblLook w:firstColumn="1" w:firstRow="1" w:lastColumn="0" w:lastRow="0" w:noHBand="0" w:noVBand="1" w:val="04A0"/>
      </w:tblPr>
      <w:tblGrid>
        <w:gridCol w:w="4910"/>
        <w:gridCol w:w="4910"/>
      </w:tblGrid>
      <w:tr>
        <w:tc>
          <w:tcPr>
            <w:tcW w:type="dxa" w:w="4910"/>
            <w:vAlign w:val="center"/>
          </w:tcPr>
          <w:p>
            <w:pPr>
              <w:spacing w:after="20"/>
            </w:pPr>
            <w:r>
              <w:rPr>
                <w:b/>
                <w:color w:val="143757"/>
                <w:sz w:val="16"/>
              </w:rPr>
              <w:t>Area</w:t>
            </w:r>
          </w:p>
        </w:tc>
        <w:tc>
          <w:tcPr>
            <w:tcW w:type="dxa" w:w="4910"/>
            <w:vAlign w:val="center"/>
          </w:tcPr>
          <w:p>
            <w:pPr>
              <w:spacing w:after="20"/>
            </w:pPr>
            <w:r>
              <w:rPr>
                <w:b/>
                <w:color w:val="143757"/>
                <w:sz w:val="16"/>
              </w:rPr>
              <w:t>Acceptance criterion</w:t>
            </w:r>
          </w:p>
        </w:tc>
      </w:tr>
      <w:tr>
        <w:tc>
          <w:tcPr>
            <w:tcW w:type="dxa" w:w="4910"/>
            <w:vAlign w:val="center"/>
          </w:tcPr>
          <w:p>
            <w:pPr>
              <w:spacing w:after="20"/>
            </w:pPr>
            <w:r>
              <w:rPr>
                <w:sz w:val="16"/>
              </w:rPr>
              <w:t>Accuracy</w:t>
            </w:r>
          </w:p>
        </w:tc>
        <w:tc>
          <w:tcPr>
            <w:tcW w:type="dxa" w:w="4910"/>
            <w:vAlign w:val="center"/>
          </w:tcPr>
          <w:p>
            <w:pPr>
              <w:spacing w:after="20"/>
            </w:pPr>
            <w:r>
              <w:rPr>
                <w:sz w:val="16"/>
              </w:rPr>
              <w:t>A selected attention output can be recomputed by hand from displayed Q, K, V and mask, within stated rounding tolerance</w:t>
            </w:r>
          </w:p>
        </w:tc>
      </w:tr>
      <w:tr>
        <w:tc>
          <w:tcPr>
            <w:tcW w:type="dxa" w:w="4910"/>
            <w:vAlign w:val="center"/>
          </w:tcPr>
          <w:p>
            <w:pPr>
              <w:spacing w:after="20"/>
            </w:pPr>
            <w:r>
              <w:rPr>
                <w:sz w:val="16"/>
              </w:rPr>
              <w:t>Consistency</w:t>
            </w:r>
          </w:p>
        </w:tc>
        <w:tc>
          <w:tcPr>
            <w:tcW w:type="dxa" w:w="4910"/>
            <w:vAlign w:val="center"/>
          </w:tcPr>
          <w:p>
            <w:pPr>
              <w:spacing w:after="20"/>
            </w:pPr>
            <w:r>
              <w:rPr>
                <w:sz w:val="16"/>
              </w:rPr>
              <w:t>Every equation, highlighted code fragment, and visualization maps to the selected trace operation</w:t>
            </w:r>
          </w:p>
        </w:tc>
      </w:tr>
      <w:tr>
        <w:tc>
          <w:tcPr>
            <w:tcW w:type="dxa" w:w="4910"/>
            <w:vAlign w:val="center"/>
          </w:tcPr>
          <w:p>
            <w:pPr>
              <w:spacing w:after="20"/>
            </w:pPr>
            <w:r>
              <w:rPr>
                <w:sz w:val="16"/>
              </w:rPr>
              <w:t>Reproducibility</w:t>
            </w:r>
          </w:p>
        </w:tc>
        <w:tc>
          <w:tcPr>
            <w:tcW w:type="dxa" w:w="4910"/>
            <w:vAlign w:val="center"/>
          </w:tcPr>
          <w:p>
            <w:pPr>
              <w:spacing w:after="20"/>
            </w:pPr>
            <w:r>
              <w:rPr>
                <w:sz w:val="16"/>
              </w:rPr>
              <w:t>Model/weight/tokenizer version and checksum are provided; default example produces stable values</w:t>
            </w:r>
          </w:p>
        </w:tc>
      </w:tr>
      <w:tr>
        <w:tc>
          <w:tcPr>
            <w:tcW w:type="dxa" w:w="4910"/>
            <w:vAlign w:val="center"/>
          </w:tcPr>
          <w:p>
            <w:pPr>
              <w:spacing w:after="20"/>
            </w:pPr>
            <w:r>
              <w:rPr>
                <w:sz w:val="16"/>
              </w:rPr>
              <w:t>Usability</w:t>
            </w:r>
          </w:p>
        </w:tc>
        <w:tc>
          <w:tcPr>
            <w:tcW w:type="dxa" w:w="4910"/>
            <w:vAlign w:val="center"/>
          </w:tcPr>
          <w:p>
            <w:pPr>
              <w:spacing w:after="20"/>
            </w:pPr>
            <w:r>
              <w:rPr>
                <w:sz w:val="16"/>
              </w:rPr>
              <w:t>Users can return to prior operation, reset the trace, and identify active token, layer, and head</w:t>
            </w:r>
          </w:p>
        </w:tc>
      </w:tr>
      <w:tr>
        <w:tc>
          <w:tcPr>
            <w:tcW w:type="dxa" w:w="4910"/>
            <w:vAlign w:val="center"/>
          </w:tcPr>
          <w:p>
            <w:pPr>
              <w:spacing w:after="20"/>
            </w:pPr>
            <w:r>
              <w:rPr>
                <w:sz w:val="16"/>
              </w:rPr>
              <w:t>Accessibility</w:t>
            </w:r>
          </w:p>
        </w:tc>
        <w:tc>
          <w:tcPr>
            <w:tcW w:type="dxa" w:w="4910"/>
            <w:vAlign w:val="center"/>
          </w:tcPr>
          <w:p>
            <w:pPr>
              <w:spacing w:after="20"/>
            </w:pPr>
            <w:r>
              <w:rPr>
                <w:sz w:val="16"/>
              </w:rPr>
              <w:t>Core path usable by keyboard, with text equivalents and reduced motion</w:t>
            </w:r>
          </w:p>
        </w:tc>
      </w:tr>
      <w:tr>
        <w:tc>
          <w:tcPr>
            <w:tcW w:type="dxa" w:w="4910"/>
            <w:vAlign w:val="center"/>
          </w:tcPr>
          <w:p>
            <w:pPr>
              <w:spacing w:after="20"/>
            </w:pPr>
            <w:r>
              <w:rPr>
                <w:sz w:val="16"/>
              </w:rPr>
              <w:t>Performance</w:t>
            </w:r>
          </w:p>
        </w:tc>
        <w:tc>
          <w:tcPr>
            <w:tcW w:type="dxa" w:w="4910"/>
            <w:vAlign w:val="center"/>
          </w:tcPr>
          <w:p>
            <w:pPr>
              <w:spacing w:after="20"/>
            </w:pPr>
            <w:r>
              <w:rPr>
                <w:sz w:val="16"/>
              </w:rPr>
              <w:t>Core static lesson accessible without WebGPU or account; large data loaded only on demand</w:t>
            </w:r>
          </w:p>
        </w:tc>
      </w:tr>
      <w:tr>
        <w:tc>
          <w:tcPr>
            <w:tcW w:type="dxa" w:w="4910"/>
            <w:vAlign w:val="center"/>
          </w:tcPr>
          <w:p>
            <w:pPr>
              <w:spacing w:after="20"/>
            </w:pPr>
            <w:r>
              <w:rPr>
                <w:sz w:val="16"/>
              </w:rPr>
              <w:t>Learning</w:t>
            </w:r>
          </w:p>
        </w:tc>
        <w:tc>
          <w:tcPr>
            <w:tcW w:type="dxa" w:w="4910"/>
            <w:vAlign w:val="center"/>
          </w:tcPr>
          <w:p>
            <w:pPr>
              <w:spacing w:after="20"/>
            </w:pPr>
            <w:r>
              <w:rPr>
                <w:sz w:val="16"/>
              </w:rPr>
              <w:t>Pilot users can correctly explain masking and calculate a small attention example after lesson</w:t>
            </w:r>
          </w:p>
        </w:tc>
      </w:tr>
    </w:tbl>
    <w:p>
      <w:r>
        <w:t>Track anonymous aggregate chapter starts/completions and exercise correctness only with explicit privacy-conscious analytics choices. Qualitative pilot interviews are more useful than optimizing raw time-on-page early on.</w:t>
      </w:r>
    </w:p>
    <w:p>
      <w:pPr>
        <w:pStyle w:val="Heading1"/>
      </w:pPr>
      <w:r>
        <w:t>10. Risks and decisions to resolve</w:t>
      </w:r>
    </w:p>
    <w:tbl>
      <w:tblPr>
        <w:tblStyle w:val="LightShading-Accent1"/>
        <w:tblW w:type="auto" w:w="0"/>
        <w:jc w:val="center"/>
        <w:tblLayout w:type="autofit"/>
        <w:tblLook w:firstColumn="1" w:firstRow="1" w:lastColumn="0" w:lastRow="0" w:noHBand="0" w:noVBand="1" w:val="04A0"/>
      </w:tblPr>
      <w:tblGrid>
        <w:gridCol w:w="4910"/>
        <w:gridCol w:w="4910"/>
      </w:tblGrid>
      <w:tr>
        <w:tc>
          <w:tcPr>
            <w:tcW w:type="dxa" w:w="4910"/>
            <w:vAlign w:val="center"/>
          </w:tcPr>
          <w:p>
            <w:pPr>
              <w:spacing w:after="20"/>
            </w:pPr>
            <w:r>
              <w:rPr>
                <w:b/>
                <w:color w:val="143757"/>
                <w:sz w:val="16"/>
              </w:rPr>
              <w:t>Risk / decision</w:t>
            </w:r>
          </w:p>
        </w:tc>
        <w:tc>
          <w:tcPr>
            <w:tcW w:type="dxa" w:w="4910"/>
            <w:vAlign w:val="center"/>
          </w:tcPr>
          <w:p>
            <w:pPr>
              <w:spacing w:after="20"/>
            </w:pPr>
            <w:r>
              <w:rPr>
                <w:b/>
                <w:color w:val="143757"/>
                <w:sz w:val="16"/>
              </w:rPr>
              <w:t>Mitigation / proposed direction</w:t>
            </w:r>
          </w:p>
        </w:tc>
      </w:tr>
      <w:tr>
        <w:tc>
          <w:tcPr>
            <w:tcW w:type="dxa" w:w="4910"/>
            <w:vAlign w:val="center"/>
          </w:tcPr>
          <w:p>
            <w:pPr>
              <w:spacing w:after="20"/>
            </w:pPr>
            <w:r>
              <w:rPr>
                <w:sz w:val="16"/>
              </w:rPr>
              <w:t>Toy model accidentally misrepresents production models</w:t>
            </w:r>
          </w:p>
        </w:tc>
        <w:tc>
          <w:tcPr>
            <w:tcW w:type="dxa" w:w="4910"/>
            <w:vAlign w:val="center"/>
          </w:tcPr>
          <w:p>
            <w:pPr>
              <w:spacing w:after="20"/>
            </w:pPr>
            <w:r>
              <w:rPr>
                <w:sz w:val="16"/>
              </w:rPr>
              <w:t>Mark simplifications inline; add “in production” comparative notes</w:t>
            </w:r>
          </w:p>
        </w:tc>
      </w:tr>
      <w:tr>
        <w:tc>
          <w:tcPr>
            <w:tcW w:type="dxa" w:w="4910"/>
            <w:vAlign w:val="center"/>
          </w:tcPr>
          <w:p>
            <w:pPr>
              <w:spacing w:after="20"/>
            </w:pPr>
            <w:r>
              <w:rPr>
                <w:sz w:val="16"/>
              </w:rPr>
              <w:t>A frozen tiny model makes nonsensical text predictions</w:t>
            </w:r>
          </w:p>
        </w:tc>
        <w:tc>
          <w:tcPr>
            <w:tcW w:type="dxa" w:w="4910"/>
            <w:vAlign w:val="center"/>
          </w:tcPr>
          <w:p>
            <w:pPr>
              <w:spacing w:after="20"/>
            </w:pPr>
            <w:r>
              <w:rPr>
                <w:sz w:val="16"/>
              </w:rPr>
              <w:t>Choose example prompts for teachable behavior; do not claim language quality</w:t>
            </w:r>
          </w:p>
        </w:tc>
      </w:tr>
      <w:tr>
        <w:tc>
          <w:tcPr>
            <w:tcW w:type="dxa" w:w="4910"/>
            <w:vAlign w:val="center"/>
          </w:tcPr>
          <w:p>
            <w:pPr>
              <w:spacing w:after="20"/>
            </w:pPr>
            <w:r>
              <w:rPr>
                <w:sz w:val="16"/>
              </w:rPr>
              <w:t>Float rounding creates apparent discrepancies</w:t>
            </w:r>
          </w:p>
        </w:tc>
        <w:tc>
          <w:tcPr>
            <w:tcW w:type="dxa" w:w="4910"/>
            <w:vAlign w:val="center"/>
          </w:tcPr>
          <w:p>
            <w:pPr>
              <w:spacing w:after="20"/>
            </w:pPr>
            <w:r>
              <w:rPr>
                <w:sz w:val="16"/>
              </w:rPr>
              <w:t>Display precision controls, methodology and tolerance</w:t>
            </w:r>
          </w:p>
        </w:tc>
      </w:tr>
      <w:tr>
        <w:tc>
          <w:tcPr>
            <w:tcW w:type="dxa" w:w="4910"/>
            <w:vAlign w:val="center"/>
          </w:tcPr>
          <w:p>
            <w:pPr>
              <w:spacing w:after="20"/>
            </w:pPr>
            <w:r>
              <w:rPr>
                <w:sz w:val="16"/>
              </w:rPr>
              <w:t>Animations hide rather than clarify operations</w:t>
            </w:r>
          </w:p>
        </w:tc>
        <w:tc>
          <w:tcPr>
            <w:tcW w:type="dxa" w:w="4910"/>
            <w:vAlign w:val="center"/>
          </w:tcPr>
          <w:p>
            <w:pPr>
              <w:spacing w:after="20"/>
            </w:pPr>
            <w:r>
              <w:rPr>
                <w:sz w:val="16"/>
              </w:rPr>
              <w:t>Provide static diagrams, raw data, text explanations and reduced-motion mode</w:t>
            </w:r>
          </w:p>
        </w:tc>
      </w:tr>
      <w:tr>
        <w:tc>
          <w:tcPr>
            <w:tcW w:type="dxa" w:w="4910"/>
            <w:vAlign w:val="center"/>
          </w:tcPr>
          <w:p>
            <w:pPr>
              <w:spacing w:after="20"/>
            </w:pPr>
            <w:r>
              <w:rPr>
                <w:sz w:val="16"/>
              </w:rPr>
              <w:t>Curriculum scope grows before the core interaction works</w:t>
            </w:r>
          </w:p>
        </w:tc>
        <w:tc>
          <w:tcPr>
            <w:tcW w:type="dxa" w:w="4910"/>
            <w:vAlign w:val="center"/>
          </w:tcPr>
          <w:p>
            <w:pPr>
              <w:spacing w:after="20"/>
            </w:pPr>
            <w:r>
              <w:rPr>
                <w:sz w:val="16"/>
              </w:rPr>
              <w:t>Gate expansion on the verified vertical slice</w:t>
            </w:r>
          </w:p>
        </w:tc>
      </w:tr>
      <w:tr>
        <w:tc>
          <w:tcPr>
            <w:tcW w:type="dxa" w:w="4910"/>
            <w:vAlign w:val="center"/>
          </w:tcPr>
          <w:p>
            <w:pPr>
              <w:spacing w:after="20"/>
            </w:pPr>
            <w:r>
              <w:rPr>
                <w:sz w:val="16"/>
              </w:rPr>
              <w:t>Trace data payload becomes large</w:t>
            </w:r>
          </w:p>
        </w:tc>
        <w:tc>
          <w:tcPr>
            <w:tcW w:type="dxa" w:w="4910"/>
            <w:vAlign w:val="center"/>
          </w:tcPr>
          <w:p>
            <w:pPr>
              <w:spacing w:after="20"/>
            </w:pPr>
            <w:r>
              <w:rPr>
                <w:sz w:val="16"/>
              </w:rPr>
              <w:t>Canonical fixtures, chunks, lazy loading, compact tensor serialization</w:t>
            </w:r>
          </w:p>
        </w:tc>
      </w:tr>
      <w:tr>
        <w:tc>
          <w:tcPr>
            <w:tcW w:type="dxa" w:w="4910"/>
            <w:vAlign w:val="center"/>
          </w:tcPr>
          <w:p>
            <w:pPr>
              <w:spacing w:after="20"/>
            </w:pPr>
            <w:r>
              <w:rPr>
                <w:sz w:val="16"/>
              </w:rPr>
              <w:t>Architecture differences are flattened into one universal story</w:t>
            </w:r>
          </w:p>
        </w:tc>
        <w:tc>
          <w:tcPr>
            <w:tcW w:type="dxa" w:w="4910"/>
            <w:vAlign w:val="center"/>
          </w:tcPr>
          <w:p>
            <w:pPr>
              <w:spacing w:after="20"/>
            </w:pPr>
            <w:r>
              <w:rPr>
                <w:sz w:val="16"/>
              </w:rPr>
              <w:t>Specify exact reference design and add versioned comparison lessons</w:t>
            </w:r>
          </w:p>
        </w:tc>
      </w:tr>
    </w:tbl>
    <w:p>
      <w:pPr>
        <w:pStyle w:val="Heading1"/>
      </w:pPr>
      <w:r>
        <w:t>11. First implementation backlog</w:t>
      </w:r>
    </w:p>
    <w:p>
      <w:pPr>
        <w:pStyle w:val="ListNumber"/>
      </w:pPr>
      <w:r>
        <w:t>Write an architecture decision record for tokenizer, positional encoding, activation, normalization placement, and sampler.</w:t>
      </w:r>
    </w:p>
    <w:p>
      <w:pPr>
        <w:pStyle w:val="ListNumber"/>
      </w:pPr>
      <w:r>
        <w:t>Create the reference model, export weight manifest, generate one canonical execution trace, and test numerical invariants.</w:t>
      </w:r>
    </w:p>
    <w:p>
      <w:pPr>
        <w:pStyle w:val="ListNumber"/>
      </w:pPr>
      <w:r>
        <w:t>Define trace schema and build a minimal TypeScript reader/inspector.</w:t>
      </w:r>
    </w:p>
    <w:p>
      <w:pPr>
        <w:pStyle w:val="ListNumber"/>
      </w:pPr>
      <w:r>
        <w:t>Prototype the attention walkthrough with linked token/head selection and Visual / Math / Code tabs.</w:t>
      </w:r>
    </w:p>
    <w:p>
      <w:pPr>
        <w:pStyle w:val="ListNumber"/>
      </w:pPr>
      <w:r>
        <w:t>Author the first lesson and recruit 5–8 readers across beginner and engineering skill levels.</w:t>
      </w:r>
    </w:p>
    <w:p>
      <w:pPr>
        <w:pStyle w:val="ListNumber"/>
      </w:pPr>
      <w:r>
        <w:t>Resolve pilot misunderstandings before expanding to the complete forward-pass explorer.</w:t>
      </w:r>
    </w:p>
    <w:p>
      <w:pPr>
        <w:pStyle w:val="Heading1"/>
      </w:pPr>
      <w:r>
        <w:t>12. External references and inspiration</w:t>
      </w:r>
    </w:p>
    <w:p>
      <w:r>
        <w:t>Georgia Tech Transformer Explainer — https://poloclub.github.io/transformer-explainer/</w:t>
        <w:br/>
        <w:t>The Anatomy of an LLM — https://www.royvanrijn.com/anatomy-of-an-llm/</w:t>
        <w:br/>
        <w:t>Brendan Bycroft LLM Visualization — https://bbycroft.net/llm</w:t>
        <w:br/>
        <w:t>3Blue1Brown GPT visual introduction — https://www.3blue1brown.com/lessons/gpt/</w:t>
        <w:br/>
        <w:t>The Loss Curve — https://thelosscurve.com/</w:t>
        <w:br/>
        <w:t>Step by Token — https://www.stepbytoken.com/en</w:t>
      </w:r>
    </w:p>
    <w:p>
      <w:r>
        <w:t>These are design references, not endorsements or claims that their implementations are interchangeable. Confirm licensing independently before adapting code, assets, or written material.</w:t>
      </w:r>
    </w:p>
    <w:sectPr w:rsidR="00FC693F" w:rsidRPr="0006063C" w:rsidSect="00034616">
      <w:headerReference w:type="default" r:id="rId9"/>
      <w:footerReference w:type="default" r:id="rId10"/>
      <w:pgSz w:w="12240" w:h="15840"/>
      <w:pgMar w:top="1037" w:right="1210" w:bottom="936"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Concept specification  •  v1.0  •  12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F707E"/>
      </w:rPr>
      <w:t>INSIDE THE MODEL  /  PRODUCT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0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53E63"/>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D5177"/>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27556F"/>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0264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