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footer+xml" PartName="/word/footer3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800"/>
      </w:pPr>
      <w:r>
        <w:rPr>
          <w:rFonts w:ascii="Arial" w:cs="Arial" w:eastAsia="Arial" w:hAnsi="Arial"/>
          <w:b/>
          <w:bCs/>
          <w:color w:val="1A42A8"/>
          <w:spacing w:val="20"/>
          <w:sz w:val="18"/>
          <w:szCs w:val="18"/>
        </w:rPr>
        <w:t xml:space="preserve">ХАКАТОН ФЦ БАС · «ЛИДЕРЫ ЦИФРОВОЙ ТРАНСФОРМАЦИИ», 2026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11827"/>
          <w:sz w:val="60"/>
          <w:szCs w:val="60"/>
        </w:rPr>
        <w:t xml:space="preserve">Платформа оценки роботизации</w:t>
      </w:r>
    </w:p>
    <w:p>
      <w:pPr>
        <w:spacing w:after="480" w:before="0"/>
      </w:pPr>
      <w:r>
        <w:rPr>
          <w:rFonts w:ascii="Arial" w:cs="Arial" w:eastAsia="Arial" w:hAnsi="Arial"/>
          <w:color w:val="1A42A8"/>
          <w:sz w:val="34"/>
          <w:szCs w:val="34"/>
        </w:rPr>
        <w:t xml:space="preserve">Сопроводительная документация</w:t>
      </w:r>
    </w:p>
    <w:p>
      <w:pPr>
        <w:spacing w:after="48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Веб-платформа подбора роботизированных решений с расчётом экономического эффекта и визуализацией работы роботов на объекте — решение задачи ФЦ БАС («Лидеры цифровой трансформации», 2026).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C8CFDB" w:sz="4"/>
          <w:insideV w:val="none" w:color="FFFFFF" w:sz="0"/>
        </w:tblBorders>
      </w:tblPr>
      <w:tblGrid>
        <w:gridCol w:w="3200"/>
        <w:gridCol w:w="6438"/>
      </w:tblGrid>
      <w:tr>
        <w:tc>
          <w:tcPr>
            <w:tcW w:type="dxa" w:w="32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B7280"/>
                <w:sz w:val="18"/>
                <w:szCs w:val="18"/>
              </w:rPr>
              <w:t xml:space="preserve">Демонстрационный объект</w:t>
            </w:r>
          </w:p>
        </w:tc>
        <w:tc>
          <w:tcPr>
            <w:tcW w:type="dxa" w:w="6438"/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pPr>
              <w:spacing w:after="0"/>
            </w:pPr>
            <w:r>
              <w:rPr>
                <w:color w:val="111827"/>
                <w:sz w:val="19"/>
                <w:szCs w:val="19"/>
              </w:rPr>
              <w:t xml:space="preserve">склад из датасета организатора: подбор, экономика, сценарии, имитация; аэропорт и медучреждение — выбор, параметры и доступные решения (ТЗ §5.5)</w:t>
            </w:r>
          </w:p>
        </w:tc>
      </w:tr>
      <w:tr>
        <w:tc>
          <w:tcPr>
            <w:tcW w:type="dxa" w:w="32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B7280"/>
                <w:sz w:val="18"/>
                <w:szCs w:val="18"/>
              </w:rPr>
              <w:t xml:space="preserve">Модель расчёта</w:t>
            </w:r>
          </w:p>
        </w:tc>
        <w:tc>
          <w:tcPr>
            <w:tcW w:type="dxa" w:w="6438"/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pPr>
              <w:spacing w:after="0"/>
            </w:pPr>
            <w:r>
              <w:rPr>
                <w:color w:val="111827"/>
                <w:sz w:val="19"/>
                <w:szCs w:val="19"/>
              </w:rPr>
              <w:t xml:space="preserve">tz-1.0.0; имитация sim-1.0.0</w:t>
            </w:r>
          </w:p>
        </w:tc>
      </w:tr>
      <w:tr>
        <w:tc>
          <w:tcPr>
            <w:tcW w:type="dxa" w:w="32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B7280"/>
                <w:sz w:val="18"/>
                <w:szCs w:val="18"/>
              </w:rPr>
              <w:t xml:space="preserve">Выпуск данных организатора</w:t>
            </w:r>
          </w:p>
        </w:tc>
        <w:tc>
          <w:tcPr>
            <w:tcW w:type="dxa" w:w="6438"/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pPr>
              <w:spacing w:after="0"/>
            </w:pPr>
            <w:r>
              <w:rPr>
                <w:color w:val="111827"/>
                <w:sz w:val="19"/>
                <w:szCs w:val="19"/>
              </w:rPr>
              <w:t xml:space="preserve">72eb7f93</w:t>
            </w:r>
          </w:p>
        </w:tc>
      </w:tr>
      <w:tr>
        <w:tc>
          <w:tcPr>
            <w:tcW w:type="dxa" w:w="32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B7280"/>
                <w:sz w:val="18"/>
                <w:szCs w:val="18"/>
              </w:rPr>
              <w:t xml:space="preserve">Версия данных расчёта демо-проекта</w:t>
            </w:r>
          </w:p>
        </w:tc>
        <w:tc>
          <w:tcPr>
            <w:tcW w:type="dxa" w:w="6438"/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pPr>
              <w:spacing w:after="0"/>
            </w:pPr>
            <w:r>
              <w:rPr>
                <w:color w:val="111827"/>
                <w:sz w:val="19"/>
                <w:szCs w:val="19"/>
              </w:rPr>
              <w:t xml:space="preserve">7be2cba2</w:t>
            </w:r>
          </w:p>
        </w:tc>
      </w:tr>
      <w:tr>
        <w:tc>
          <w:tcPr>
            <w:tcW w:type="dxa" w:w="32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B7280"/>
                <w:sz w:val="18"/>
                <w:szCs w:val="18"/>
              </w:rPr>
              <w:t xml:space="preserve">Репозиторий</w:t>
            </w:r>
          </w:p>
        </w:tc>
        <w:tc>
          <w:tcPr>
            <w:tcW w:type="dxa" w:w="6438"/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pPr>
              <w:spacing w:after="0"/>
            </w:pPr>
            <w:hyperlink w:history="1" r:id="rIdof0ocnmfpfkhkvfwib0ln">
              <w:r>
                <w:rPr>
                  <w:color w:val="1A42A8"/>
                  <w:sz w:val="19"/>
                  <w:szCs w:val="19"/>
                  <w:u w:val="single"/>
                </w:rPr>
                <w:t xml:space="preserve">https://github.com/jordanbarnesceo88-tech/hackaton</w:t>
              </w:r>
            </w:hyperlink>
          </w:p>
        </w:tc>
      </w:tr>
      <w:tr>
        <w:tc>
          <w:tcPr>
            <w:tcW w:type="dxa" w:w="32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B7280"/>
                <w:sz w:val="18"/>
                <w:szCs w:val="18"/>
              </w:rPr>
              <w:t xml:space="preserve">Требования ТЗ</w:t>
            </w:r>
          </w:p>
        </w:tc>
        <w:tc>
          <w:tcPr>
            <w:tcW w:type="dxa" w:w="6438"/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pPr>
              <w:spacing w:after="0"/>
            </w:pPr>
            <w:r>
              <w:rPr>
                <w:color w:val="111827"/>
                <w:sz w:val="19"/>
                <w:szCs w:val="19"/>
              </w:rPr>
              <w:t xml:space="preserve">§6.1–6.10 (сопроводительная документация), §8.2.4 (формат DOCX или PDF)</w:t>
            </w:r>
          </w:p>
        </w:tc>
      </w:tr>
      <w:tr>
        <w:tc>
          <w:tcPr>
            <w:tcW w:type="dxa" w:w="32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B7280"/>
                <w:sz w:val="18"/>
                <w:szCs w:val="18"/>
              </w:rPr>
              <w:t xml:space="preserve">Редакция</w:t>
            </w:r>
          </w:p>
        </w:tc>
        <w:tc>
          <w:tcPr>
            <w:tcW w:type="dxa" w:w="6438"/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pPr>
              <w:spacing w:after="0"/>
            </w:pPr>
            <w:r>
              <w:rPr>
                <w:color w:val="111827"/>
                <w:sz w:val="19"/>
                <w:szCs w:val="19"/>
              </w:rPr>
              <w:t xml:space="preserve">2026-09-25</w:t>
            </w:r>
          </w:p>
        </w:tc>
      </w:tr>
    </w:tbl>
    <w:p>
      <w:pPr>
        <w:spacing w:after="360" w:before="0"/>
      </w:pPr>
      <w:r>
        <w:rPr>
          <w:rFonts w:ascii="Arial" w:cs="Arial" w:eastAsia="Arial" w:hAnsi="Arial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Документ собран из файлов документации репозитория (docs/*.md и README.md); у каждой главы указан исходный файл, при расхождении прав исходный файл. Числа результата расчёта — только из docs/submission/demo-numbers.md, который печатает сборка (ТЗ §5.6). Результат является предварительной оценкой и требует верификации при обследовании объекта.</w:t>
      </w:r>
    </w:p>
    <w:p>
      <w:pPr>
        <w:pageBreakBefore/>
        <w:spacing w:after="240"/>
      </w:pPr>
      <w:r>
        <w:rPr>
          <w:b/>
          <w:bCs/>
          <w:color w:val="1A42A8"/>
          <w:sz w:val="36"/>
          <w:szCs w:val="36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pPr>
            <w:pStyle w:val="TOC1"/>
          </w:pPr>
          <w:hyperlink w:anchor="guide" w:history="1">
            <w:r>
              <w:t xml:space="preserve">Как читать документ</w:t>
            </w:r>
            <w:r>
              <w:tab/>
            </w:r>
            <w:r>
              <w:t>4</w:t>
            </w:r>
          </w:hyperlink>
        </w:p>
        <w:p>
          <w:pPr>
            <w:pStyle w:val="TOC1"/>
          </w:pPr>
          <w:hyperlink w:anchor="ch1" w:history="1">
            <w:r>
              <w:t xml:space="preserve">1. Назначение и состав решения</w:t>
            </w:r>
            <w:r>
              <w:tab/>
            </w:r>
            <w:r>
              <w:t>5</w:t>
            </w:r>
          </w:hyperlink>
        </w:p>
        <w:p>
          <w:pPr>
            <w:pStyle w:val="TOC2"/>
          </w:pPr>
          <w:hyperlink w:anchor="toc3" w:history="1">
            <w:r>
              <w:t xml:space="preserve">Путь жюри (ТЗ §5.4) — 8 шагов</w:t>
            </w:r>
            <w:r>
              <w:tab/>
            </w:r>
            <w:r>
              <w:t>5</w:t>
            </w:r>
          </w:hyperlink>
        </w:p>
        <w:p>
          <w:pPr>
            <w:pStyle w:val="TOC2"/>
          </w:pPr>
          <w:hyperlink w:anchor="toc4" w:history="1">
            <w:r>
              <w:t xml:space="preserve">Состав сдачи (ТЗ §8.2)</w:t>
            </w:r>
            <w:r>
              <w:tab/>
            </w:r>
            <w:r>
              <w:t>5</w:t>
            </w:r>
          </w:hyperlink>
        </w:p>
        <w:p>
          <w:pPr>
            <w:pStyle w:val="TOC2"/>
          </w:pPr>
          <w:hyperlink w:anchor="toc5" w:history="1">
            <w:r>
              <w:t xml:space="preserve">Документация</w:t>
            </w:r>
            <w:r>
              <w:tab/>
            </w:r>
            <w:r>
              <w:t>6</w:t>
            </w:r>
          </w:hyperlink>
        </w:p>
        <w:p>
          <w:pPr>
            <w:pStyle w:val="TOC2"/>
          </w:pPr>
          <w:hyperlink w:anchor="toc6" w:history="1">
            <w:r>
              <w:t xml:space="preserve">Прежняя модель v1</w:t>
            </w:r>
            <w:r>
              <w:tab/>
            </w:r>
            <w:r>
              <w:t>6</w:t>
            </w:r>
          </w:hyperlink>
        </w:p>
        <w:p>
          <w:pPr>
            <w:pStyle w:val="TOC1"/>
          </w:pPr>
          <w:hyperlink w:anchor="ch2" w:history="1">
            <w:r>
              <w:t xml:space="preserve">2. Архитектура, модель данных и алгоритм подбора</w:t>
            </w:r>
            <w:r>
              <w:tab/>
            </w:r>
            <w:r>
              <w:t>8</w:t>
            </w:r>
          </w:hyperlink>
        </w:p>
        <w:p>
          <w:pPr>
            <w:pStyle w:val="TOC2"/>
          </w:pPr>
          <w:hyperlink w:anchor="toc8" w:history="1">
            <w:r>
              <w:t xml:space="preserve">1. Аудитория, сценарии и границы решения (ТЗ §6.1)</w:t>
            </w:r>
            <w:r>
              <w:tab/>
            </w:r>
            <w:r>
              <w:t>8</w:t>
            </w:r>
          </w:hyperlink>
        </w:p>
        <w:p>
          <w:pPr>
            <w:pStyle w:val="TOC2"/>
          </w:pPr>
          <w:hyperlink w:anchor="toc9" w:history="1">
            <w:r>
              <w:t xml:space="preserve">2. Стек</w:t>
            </w:r>
            <w:r>
              <w:tab/>
            </w:r>
            <w:r>
              <w:t>8</w:t>
            </w:r>
          </w:hyperlink>
        </w:p>
        <w:p>
          <w:pPr>
            <w:pStyle w:val="TOC2"/>
          </w:pPr>
          <w:hyperlink w:anchor="toc10" w:history="1">
            <w:r>
              <w:t xml:space="preserve">3. Компоненты</w:t>
            </w:r>
            <w:r>
              <w:tab/>
            </w:r>
            <w:r>
              <w:t>9</w:t>
            </w:r>
          </w:hyperlink>
        </w:p>
        <w:p>
          <w:pPr>
            <w:pStyle w:val="TOC2"/>
          </w:pPr>
          <w:hyperlink w:anchor="toc11" w:history="1">
            <w:r>
              <w:t xml:space="preserve">4. Модель данных</w:t>
            </w:r>
            <w:r>
              <w:tab/>
            </w:r>
            <w:r>
              <w:t>10</w:t>
            </w:r>
          </w:hyperlink>
        </w:p>
        <w:p>
          <w:pPr>
            <w:pStyle w:val="TOC2"/>
          </w:pPr>
          <w:hyperlink w:anchor="toc12" w:history="1">
            <w:r>
              <w:t xml:space="preserve">5. Потоки данных</w:t>
            </w:r>
            <w:r>
              <w:tab/>
            </w:r>
            <w:r>
              <w:t>13</w:t>
            </w:r>
          </w:hyperlink>
        </w:p>
        <w:p>
          <w:pPr>
            <w:pStyle w:val="TOC2"/>
          </w:pPr>
          <w:hyperlink w:anchor="toc13" w:history="1">
            <w:r>
              <w:t xml:space="preserve">6. Алгоритм подбора и ранжирования (ТЗ §6.4)</w:t>
            </w:r>
            <w:r>
              <w:tab/>
            </w:r>
            <w:r>
              <w:t>14</w:t>
            </w:r>
          </w:hyperlink>
        </w:p>
        <w:p>
          <w:pPr>
            <w:pStyle w:val="TOC2"/>
          </w:pPr>
          <w:hyperlink w:anchor="toc14" w:history="1">
            <w:r>
              <w:t xml:space="preserve">7. API и интеграции (ТЗ §3.8, §4.2.5)</w:t>
            </w:r>
            <w:r>
              <w:tab/>
            </w:r>
            <w:r>
              <w:t>16</w:t>
            </w:r>
          </w:hyperlink>
        </w:p>
        <w:p>
          <w:pPr>
            <w:pStyle w:val="TOC2"/>
          </w:pPr>
          <w:hyperlink w:anchor="toc15" w:history="1">
            <w:r>
              <w:t xml:space="preserve">8. Безопасность (ТЗ §4.4)</w:t>
            </w:r>
            <w:r>
              <w:tab/>
            </w:r>
            <w:r>
              <w:t>16</w:t>
            </w:r>
          </w:hyperlink>
        </w:p>
        <w:p>
          <w:pPr>
            <w:pStyle w:val="TOC2"/>
          </w:pPr>
          <w:hyperlink w:anchor="toc16" w:history="1">
            <w:r>
              <w:t xml:space="preserve">9. Производительность (ТЗ §4.3)</w:t>
            </w:r>
            <w:r>
              <w:tab/>
            </w:r>
            <w:r>
              <w:t>17</w:t>
            </w:r>
          </w:hyperlink>
        </w:p>
        <w:p>
          <w:pPr>
            <w:pStyle w:val="TOC2"/>
          </w:pPr>
          <w:hyperlink w:anchor="toc17" w:history="1">
            <w:r>
              <w:t xml:space="preserve">10. Внешние библиотеки и источники данных (ТЗ §6.8)</w:t>
            </w:r>
            <w:r>
              <w:tab/>
            </w:r>
            <w:r>
              <w:t>17</w:t>
            </w:r>
          </w:hyperlink>
        </w:p>
        <w:p>
          <w:pPr>
            <w:pStyle w:val="TOC2"/>
          </w:pPr>
          <w:hyperlink w:anchor="toc18" w:history="1">
            <w:r>
              <w:t xml:space="preserve">11. Тесты и CI</w:t>
            </w:r>
            <w:r>
              <w:tab/>
            </w:r>
            <w:r>
              <w:t>18</w:t>
            </w:r>
          </w:hyperlink>
        </w:p>
        <w:p>
          <w:pPr>
            <w:pStyle w:val="TOC2"/>
          </w:pPr>
          <w:hyperlink w:anchor="toc19" w:history="1">
            <w:r>
              <w:t xml:space="preserve">12. Расширяемость (ТЗ §4.2.6)</w:t>
            </w:r>
            <w:r>
              <w:tab/>
            </w:r>
            <w:r>
              <w:t>18</w:t>
            </w:r>
          </w:hyperlink>
        </w:p>
        <w:p>
          <w:pPr>
            <w:pStyle w:val="TOC1"/>
          </w:pPr>
          <w:hyperlink w:anchor="ch3" w:history="1">
            <w:r>
              <w:t xml:space="preserve">3. Экономическая модель и имитация</w:t>
            </w:r>
            <w:r>
              <w:tab/>
            </w:r>
            <w:r>
              <w:t>19</w:t>
            </w:r>
          </w:hyperlink>
        </w:p>
        <w:p>
          <w:pPr>
            <w:pStyle w:val="TOC2"/>
          </w:pPr>
          <w:hyperlink w:anchor="toc21" w:history="1">
            <w:r>
              <w:t xml:space="preserve">1. Что считает модель</w:t>
            </w:r>
            <w:r>
              <w:tab/>
            </w:r>
            <w:r>
              <w:t>19</w:t>
            </w:r>
          </w:hyperlink>
        </w:p>
        <w:p>
          <w:pPr>
            <w:pStyle w:val="TOC2"/>
          </w:pPr>
          <w:hyperlink w:anchor="toc22" w:history="1">
            <w:r>
              <w:t xml:space="preserve">2. Входные данные</w:t>
            </w:r>
            <w:r>
              <w:tab/>
            </w:r>
            <w:r>
              <w:t>19</w:t>
            </w:r>
          </w:hyperlink>
        </w:p>
        <w:p>
          <w:pPr>
            <w:pStyle w:val="TOC2"/>
          </w:pPr>
          <w:hyperlink w:anchor="toc23" w:history="1">
            <w:r>
              <w:t xml:space="preserve">3. Формулы</w:t>
            </w:r>
            <w:r>
              <w:tab/>
            </w:r>
            <w:r>
              <w:t>21</w:t>
            </w:r>
          </w:hyperlink>
        </w:p>
        <w:p>
          <w:pPr>
            <w:pStyle w:val="TOC2"/>
          </w:pPr>
          <w:hyperlink w:anchor="toc24" w:history="1">
            <w:r>
              <w:t xml:space="preserve">4. Нормативы</w:t>
            </w:r>
            <w:r>
              <w:tab/>
            </w:r>
            <w:r>
              <w:t>25</w:t>
            </w:r>
          </w:hyperlink>
        </w:p>
        <w:p>
          <w:pPr>
            <w:pStyle w:val="TOC2"/>
          </w:pPr>
          <w:hyperlink w:anchor="toc25" w:history="1">
            <w:r>
              <w:t xml:space="preserve">5. Имитация (ТЗ §3.6)</w:t>
            </w:r>
            <w:r>
              <w:tab/>
            </w:r>
            <w:r>
              <w:t>27</w:t>
            </w:r>
          </w:hyperlink>
        </w:p>
        <w:p>
          <w:pPr>
            <w:pStyle w:val="TOC2"/>
          </w:pPr>
          <w:hyperlink w:anchor="toc26" w:history="1">
            <w:r>
              <w:t xml:space="preserve">6. Контрольный пример на демо-складе</w:t>
            </w:r>
            <w:r>
              <w:tab/>
            </w:r>
            <w:r>
              <w:t>29</w:t>
            </w:r>
          </w:hyperlink>
        </w:p>
        <w:p>
          <w:pPr>
            <w:pStyle w:val="TOC2"/>
          </w:pPr>
          <w:hyperlink w:anchor="toc27" w:history="1">
            <w:r>
              <w:t xml:space="preserve">7. Проверка: подтверждает ли имитация расчёт</w:t>
            </w:r>
            <w:r>
              <w:tab/>
            </w:r>
            <w:r>
              <w:t>32</w:t>
            </w:r>
          </w:hyperlink>
        </w:p>
        <w:p>
          <w:pPr>
            <w:pStyle w:val="TOC2"/>
          </w:pPr>
          <w:hyperlink w:anchor="toc28" w:history="1">
            <w:r>
              <w:t xml:space="preserve">8. Как воспроизвести демонстрационный расчёт</w:t>
            </w:r>
            <w:r>
              <w:tab/>
            </w:r>
            <w:r>
              <w:t>33</w:t>
            </w:r>
          </w:hyperlink>
        </w:p>
        <w:p>
          <w:pPr>
            <w:pStyle w:val="TOC1"/>
          </w:pPr>
          <w:hyperlink w:anchor="ch4" w:history="1">
            <w:r>
              <w:t xml:space="preserve">4. Данные организатора, исследование открытых источников и нормативы</w:t>
            </w:r>
            <w:r>
              <w:tab/>
            </w:r>
            <w:r>
              <w:t>34</w:t>
            </w:r>
          </w:hyperlink>
        </w:p>
        <w:p>
          <w:pPr>
            <w:pStyle w:val="TOC2"/>
          </w:pPr>
          <w:hyperlink w:anchor="toc30" w:history="1">
            <w:r>
              <w:t xml:space="preserve">Входные файлы генератора</w:t>
            </w:r>
            <w:r>
              <w:tab/>
            </w:r>
            <w:r>
              <w:t>34</w:t>
            </w:r>
          </w:hyperlink>
        </w:p>
        <w:p>
          <w:pPr>
            <w:pStyle w:val="TOC2"/>
          </w:pPr>
          <w:hyperlink w:anchor="toc31" w:history="1">
            <w:r>
              <w:t xml:space="preserve">Организатор: датасеты, каталог, примеры; исследование svod + found_batch</w:t>
            </w:r>
            <w:r>
              <w:tab/>
            </w:r>
            <w:r>
              <w:t>35</w:t>
            </w:r>
          </w:hyperlink>
        </w:p>
        <w:p>
          <w:pPr>
            <w:pStyle w:val="TOC2"/>
          </w:pPr>
          <w:hyperlink w:anchor="toc32" w:history="1">
            <w:r>
              <w:t xml:space="preserve">Нормативы модели tz-1.0.0</w:t>
            </w:r>
            <w:r>
              <w:tab/>
            </w:r>
            <w:r>
              <w:t>35</w:t>
            </w:r>
          </w:hyperlink>
        </w:p>
        <w:p>
          <w:pPr>
            <w:pStyle w:val="TOC1"/>
          </w:pPr>
          <w:hyperlink w:anchor="ch5" w:history="1">
            <w:r>
              <w:t xml:space="preserve">5. API и интеграции</w:t>
            </w:r>
            <w:r>
              <w:tab/>
            </w:r>
            <w:r>
              <w:t>41</w:t>
            </w:r>
          </w:hyperlink>
        </w:p>
        <w:p>
          <w:pPr>
            <w:pStyle w:val="TOC2"/>
          </w:pPr>
          <w:hyperlink w:anchor="toc34" w:history="1">
            <w:r>
              <w:t xml:space="preserve">1. Состав API</w:t>
            </w:r>
            <w:r>
              <w:tab/>
            </w:r>
            <w:r>
              <w:t>41</w:t>
            </w:r>
          </w:hyperlink>
        </w:p>
        <w:p>
          <w:pPr>
            <w:pStyle w:val="TOC2"/>
          </w:pPr>
          <w:hyperlink w:anchor="toc35" w:history="1">
            <w:r>
              <w:t xml:space="preserve">2. WMS, ERP и 1С → объект и объёмы</w:t>
            </w:r>
            <w:r>
              <w:tab/>
            </w:r>
            <w:r>
              <w:t>42</w:t>
            </w:r>
          </w:hyperlink>
        </w:p>
        <w:p>
          <w:pPr>
            <w:pStyle w:val="TOC2"/>
          </w:pPr>
          <w:hyperlink w:anchor="toc36" w:history="1">
            <w:r>
              <w:t xml:space="preserve">3. Обновление каталога</w:t>
            </w:r>
            <w:r>
              <w:tab/>
            </w:r>
            <w:r>
              <w:t>44</w:t>
            </w:r>
          </w:hyperlink>
        </w:p>
        <w:p>
          <w:pPr>
            <w:pStyle w:val="TOC2"/>
          </w:pPr>
          <w:hyperlink w:anchor="toc37" w:history="1">
            <w:r>
              <w:t xml:space="preserve">4. Нормативы</w:t>
            </w:r>
            <w:r>
              <w:tab/>
            </w:r>
            <w:r>
              <w:t>44</w:t>
            </w:r>
          </w:hyperlink>
        </w:p>
        <w:p>
          <w:pPr>
            <w:pStyle w:val="TOC2"/>
          </w:pPr>
          <w:hyperlink w:anchor="toc38" w:history="1">
            <w:r>
              <w:t xml:space="preserve">5. Мониторинг</w:t>
            </w:r>
            <w:r>
              <w:tab/>
            </w:r>
            <w:r>
              <w:t>45</w:t>
            </w:r>
          </w:hyperlink>
        </w:p>
        <w:p>
          <w:pPr>
            <w:pStyle w:val="TOC2"/>
          </w:pPr>
          <w:hyperlink w:anchor="toc39" w:history="1">
            <w:r>
              <w:t xml:space="preserve">6. Аналитика ФЦ БАС</w:t>
            </w:r>
            <w:r>
              <w:tab/>
            </w:r>
            <w:r>
              <w:t>45</w:t>
            </w:r>
          </w:hyperlink>
        </w:p>
        <w:p>
          <w:pPr>
            <w:pStyle w:val="TOC2"/>
          </w:pPr>
          <w:hyperlink w:anchor="toc40" w:history="1">
            <w:r>
              <w:t xml:space="preserve">7. Безопасность</w:t>
            </w:r>
            <w:r>
              <w:tab/>
            </w:r>
            <w:r>
              <w:t>45</w:t>
            </w:r>
          </w:hyperlink>
        </w:p>
        <w:p>
          <w:pPr>
            <w:pStyle w:val="TOC2"/>
          </w:pPr>
          <w:hyperlink w:anchor="toc41" w:history="1">
            <w:r>
              <w:t xml:space="preserve">8. Что не построено</w:t>
            </w:r>
            <w:r>
              <w:tab/>
            </w:r>
            <w:r>
              <w:t>46</w:t>
            </w:r>
          </w:hyperlink>
        </w:p>
        <w:p>
          <w:pPr>
            <w:pStyle w:val="TOC1"/>
          </w:pPr>
          <w:hyperlink w:anchor="ch6" w:history="1">
            <w:r>
              <w:t xml:space="preserve">6. Развёртывание и запуск</w:t>
            </w:r>
            <w:r>
              <w:tab/>
            </w:r>
            <w:r>
              <w:t>48</w:t>
            </w:r>
          </w:hyperlink>
        </w:p>
        <w:p>
          <w:pPr>
            <w:pStyle w:val="TOC2"/>
          </w:pPr>
          <w:hyperlink w:anchor="toc43" w:history="1">
            <w:r>
              <w:t xml:space="preserve">1. Что нужно приложению</w:t>
            </w:r>
            <w:r>
              <w:tab/>
            </w:r>
            <w:r>
              <w:t>48</w:t>
            </w:r>
          </w:hyperlink>
        </w:p>
        <w:p>
          <w:pPr>
            <w:pStyle w:val="TOC2"/>
          </w:pPr>
          <w:hyperlink w:anchor="toc44" w:history="1">
            <w:r>
              <w:t xml:space="preserve">2. Путь A — Docker одной командой</w:t>
            </w:r>
            <w:r>
              <w:tab/>
            </w:r>
            <w:r>
              <w:t>48</w:t>
            </w:r>
          </w:hyperlink>
        </w:p>
        <w:p>
          <w:pPr>
            <w:pStyle w:val="TOC2"/>
          </w:pPr>
          <w:hyperlink w:anchor="toc45" w:history="1">
            <w:r>
              <w:t xml:space="preserve">3. Путь B — локально без Docker</w:t>
            </w:r>
            <w:r>
              <w:tab/>
            </w:r>
            <w:r>
              <w:t>49</w:t>
            </w:r>
          </w:hyperlink>
        </w:p>
        <w:p>
          <w:pPr>
            <w:pStyle w:val="TOC2"/>
          </w:pPr>
          <w:hyperlink w:anchor="toc46" w:history="1">
            <w:r>
              <w:t xml:space="preserve">4. Проверка на чистом экземпляре без Docker</w:t>
            </w:r>
            <w:r>
              <w:tab/>
            </w:r>
            <w:r>
              <w:t>49</w:t>
            </w:r>
          </w:hyperlink>
        </w:p>
        <w:p>
          <w:pPr>
            <w:pStyle w:val="TOC2"/>
          </w:pPr>
          <w:hyperlink w:anchor="toc47" w:history="1">
            <w:r>
              <w:t xml:space="preserve">5. Проверка дерева перед выкладкой</w:t>
            </w:r>
            <w:r>
              <w:tab/>
            </w:r>
            <w:r>
              <w:t>50</w:t>
            </w:r>
          </w:hyperlink>
        </w:p>
        <w:p>
          <w:pPr>
            <w:pStyle w:val="TOC2"/>
          </w:pPr>
          <w:hyperlink w:anchor="toc48" w:history="1">
            <w:r>
              <w:t xml:space="preserve">6. Vercel и новая база Neon</w:t>
            </w:r>
            <w:r>
              <w:tab/>
            </w:r>
            <w:r>
              <w:t>50</w:t>
            </w:r>
          </w:hyperlink>
        </w:p>
        <w:p>
          <w:pPr>
            <w:pStyle w:val="TOC1"/>
          </w:pPr>
          <w:hyperlink w:anchor="ch7" w:history="1">
            <w:r>
              <w:t xml:space="preserve">7. Руководство пользователя</w:t>
            </w:r>
            <w:r>
              <w:tab/>
            </w:r>
            <w:r>
              <w:t>52</w:t>
            </w:r>
          </w:hyperlink>
        </w:p>
        <w:p>
          <w:pPr>
            <w:pStyle w:val="TOC2"/>
          </w:pPr>
          <w:hyperlink w:anchor="toc50" w:history="1">
            <w:r>
              <w:t xml:space="preserve">1. Что умеет платформа</w:t>
            </w:r>
            <w:r>
              <w:tab/>
            </w:r>
            <w:r>
              <w:t>52</w:t>
            </w:r>
          </w:hyperlink>
        </w:p>
        <w:p>
          <w:pPr>
            <w:pStyle w:val="TOC2"/>
          </w:pPr>
          <w:hyperlink w:anchor="toc51" w:history="1">
            <w:r>
              <w:t xml:space="preserve">2. Без входа: демо-расчёт и каталог</w:t>
            </w:r>
            <w:r>
              <w:tab/>
            </w:r>
            <w:r>
              <w:t>52</w:t>
            </w:r>
          </w:hyperlink>
        </w:p>
        <w:p>
          <w:pPr>
            <w:pStyle w:val="TOC2"/>
          </w:pPr>
          <w:hyperlink w:anchor="toc52" w:history="1">
            <w:r>
              <w:t xml:space="preserve">3. Вход</w:t>
            </w:r>
            <w:r>
              <w:tab/>
            </w:r>
            <w:r>
              <w:t>53</w:t>
            </w:r>
          </w:hyperlink>
        </w:p>
        <w:p>
          <w:pPr>
            <w:pStyle w:val="TOC2"/>
          </w:pPr>
          <w:hyperlink w:anchor="toc53" w:history="1">
            <w:r>
              <w:t xml:space="preserve">4. Мои проекты</w:t>
            </w:r>
            <w:r>
              <w:tab/>
            </w:r>
            <w:r>
              <w:t>53</w:t>
            </w:r>
          </w:hyperlink>
        </w:p>
        <w:p>
          <w:pPr>
            <w:pStyle w:val="TOC2"/>
          </w:pPr>
          <w:hyperlink w:anchor="toc54" w:history="1">
            <w:r>
              <w:t xml:space="preserve">5. Путь по шагам</w:t>
            </w:r>
            <w:r>
              <w:tab/>
            </w:r>
            <w:r>
              <w:t>54</w:t>
            </w:r>
          </w:hyperlink>
        </w:p>
        <w:p>
          <w:pPr>
            <w:pStyle w:val="TOC2"/>
          </w:pPr>
          <w:hyperlink w:anchor="toc55" w:history="1">
            <w:r>
              <w:t xml:space="preserve">6. Загрузка параметров из Excel или CSV</w:t>
            </w:r>
            <w:r>
              <w:tab/>
            </w:r>
            <w:r>
              <w:t>61</w:t>
            </w:r>
          </w:hyperlink>
        </w:p>
        <w:p>
          <w:pPr>
            <w:pStyle w:val="TOC2"/>
          </w:pPr>
          <w:hyperlink w:anchor="toc56" w:history="1">
            <w:r>
              <w:t xml:space="preserve">7. Сообщения и как исправить</w:t>
            </w:r>
            <w:r>
              <w:tab/>
            </w:r>
            <w:r>
              <w:t>62</w:t>
            </w:r>
          </w:hyperlink>
        </w:p>
        <w:p>
          <w:pPr>
            <w:pStyle w:val="TOC2"/>
          </w:pPr>
          <w:hyperlink w:anchor="toc57" w:history="1">
            <w:r>
              <w:t xml:space="preserve">8. Повторное открытие проекта</w:t>
            </w:r>
            <w:r>
              <w:tab/>
            </w:r>
            <w:r>
              <w:t>62</w:t>
            </w:r>
          </w:hyperlink>
        </w:p>
        <w:p>
          <w:pPr>
            <w:pStyle w:val="TOC1"/>
          </w:pPr>
          <w:hyperlink w:anchor="ch8" w:history="1">
            <w:r>
              <w:t xml:space="preserve">8. Руководство администратора</w:t>
            </w:r>
            <w:r>
              <w:tab/>
            </w:r>
            <w:r>
              <w:t>63</w:t>
            </w:r>
          </w:hyperlink>
        </w:p>
        <w:p>
          <w:pPr>
            <w:pStyle w:val="TOC2"/>
          </w:pPr>
          <w:hyperlink w:anchor="toc59" w:history="1">
            <w:r>
              <w:t xml:space="preserve">1. Доступ</w:t>
            </w:r>
            <w:r>
              <w:tab/>
            </w:r>
            <w:r>
              <w:t>63</w:t>
            </w:r>
          </w:hyperlink>
        </w:p>
        <w:p>
          <w:pPr>
            <w:pStyle w:val="TOC2"/>
          </w:pPr>
          <w:hyperlink w:anchor="toc60" w:history="1">
            <w:r>
              <w:t xml:space="preserve">2. Обзор (/admin)</w:t>
            </w:r>
            <w:r>
              <w:tab/>
            </w:r>
            <w:r>
              <w:t>63</w:t>
            </w:r>
          </w:hyperlink>
        </w:p>
        <w:p>
          <w:pPr>
            <w:pStyle w:val="TOC2"/>
          </w:pPr>
          <w:hyperlink w:anchor="toc61" w:history="1">
            <w:r>
              <w:t xml:space="preserve">3. Каталог (/admin/catalog)</w:t>
            </w:r>
            <w:r>
              <w:tab/>
            </w:r>
            <w:r>
              <w:t>64</w:t>
            </w:r>
          </w:hyperlink>
        </w:p>
        <w:p>
          <w:pPr>
            <w:pStyle w:val="TOC2"/>
          </w:pPr>
          <w:hyperlink w:anchor="toc62" w:history="1">
            <w:r>
              <w:t xml:space="preserve">4. Нормативы (/admin/norms)</w:t>
            </w:r>
            <w:r>
              <w:tab/>
            </w:r>
            <w:r>
              <w:t>66</w:t>
            </w:r>
          </w:hyperlink>
        </w:p>
        <w:p>
          <w:pPr>
            <w:pStyle w:val="TOC2"/>
          </w:pPr>
          <w:hyperlink w:anchor="toc63" w:history="1">
            <w:r>
              <w:t xml:space="preserve">5. Параметры объектов (/admin/params)</w:t>
            </w:r>
            <w:r>
              <w:tab/>
            </w:r>
            <w:r>
              <w:t>66</w:t>
            </w:r>
          </w:hyperlink>
        </w:p>
        <w:p>
          <w:pPr>
            <w:pStyle w:val="TOC2"/>
          </w:pPr>
          <w:hyperlink w:anchor="toc64" w:history="1">
            <w:r>
              <w:t xml:space="preserve">6. Данные и журнал (/admin/data)</w:t>
            </w:r>
            <w:r>
              <w:tab/>
            </w:r>
            <w:r>
              <w:t>66</w:t>
            </w:r>
          </w:hyperlink>
        </w:p>
        <w:p>
          <w:pPr>
            <w:pStyle w:val="TOC2"/>
          </w:pPr>
          <w:hyperlink w:anchor="toc65" w:history="1">
            <w:r>
              <w:t xml:space="preserve">7. Как обновить данные организатора</w:t>
            </w:r>
            <w:r>
              <w:tab/>
            </w:r>
            <w:r>
              <w:t>67</w:t>
            </w:r>
          </w:hyperlink>
        </w:p>
        <w:p>
          <w:pPr>
            <w:pStyle w:val="TOC2"/>
          </w:pPr>
          <w:hyperlink w:anchor="toc66" w:history="1">
            <w:r>
              <w:t xml:space="preserve">8. API для администратора</w:t>
            </w:r>
            <w:r>
              <w:tab/>
            </w:r>
            <w:r>
              <w:t>67</w:t>
            </w:r>
          </w:hyperlink>
        </w:p>
        <w:p>
          <w:pPr>
            <w:pStyle w:val="TOC2"/>
          </w:pPr>
          <w:hyperlink w:anchor="toc67" w:history="1">
            <w:r>
              <w:t xml:space="preserve">9. Демо-аккаунты</w:t>
            </w:r>
            <w:r>
              <w:tab/>
            </w:r>
            <w:r>
              <w:t>67</w:t>
            </w:r>
          </w:hyperlink>
        </w:p>
        <w:p>
          <w:pPr>
            <w:pStyle w:val="TOC1"/>
          </w:pPr>
          <w:hyperlink w:anchor="ch9" w:history="1">
            <w:r>
              <w:t xml:space="preserve">9. Что реализовано полностью, частично и как прототип; ограничения и план развития</w:t>
            </w:r>
            <w:r>
              <w:tab/>
            </w:r>
            <w:r>
              <w:t>69</w:t>
            </w:r>
          </w:hyperlink>
        </w:p>
        <w:p>
          <w:pPr>
            <w:pStyle w:val="TOC2"/>
          </w:pPr>
          <w:hyperlink w:anchor="toc69" w:history="1">
            <w:r>
              <w:t xml:space="preserve">1. Таблица §5.7</w:t>
            </w:r>
            <w:r>
              <w:tab/>
            </w:r>
            <w:r>
              <w:t>69</w:t>
            </w:r>
          </w:hyperlink>
        </w:p>
        <w:p>
          <w:pPr>
            <w:pStyle w:val="TOC2"/>
          </w:pPr>
          <w:hyperlink w:anchor="toc70" w:history="1">
            <w:r>
              <w:t xml:space="preserve">2. Ограничения экономической модели</w:t>
            </w:r>
            <w:r>
              <w:tab/>
            </w:r>
            <w:r>
              <w:t>71</w:t>
            </w:r>
          </w:hyperlink>
        </w:p>
        <w:p>
          <w:pPr>
            <w:pStyle w:val="TOC2"/>
          </w:pPr>
          <w:hyperlink w:anchor="toc71" w:history="1">
            <w:r>
              <w:t xml:space="preserve">3. Ограничения имитации</w:t>
            </w:r>
            <w:r>
              <w:tab/>
            </w:r>
            <w:r>
              <w:t>72</w:t>
            </w:r>
          </w:hyperlink>
        </w:p>
        <w:p>
          <w:pPr>
            <w:pStyle w:val="TOC2"/>
          </w:pPr>
          <w:hyperlink w:anchor="toc72" w:history="1">
            <w:r>
              <w:t xml:space="preserve">4. Ограничения данных</w:t>
            </w:r>
            <w:r>
              <w:tab/>
            </w:r>
            <w:r>
              <w:t>72</w:t>
            </w:r>
          </w:hyperlink>
        </w:p>
        <w:p>
          <w:pPr>
            <w:pStyle w:val="TOC2"/>
          </w:pPr>
          <w:hyperlink w:anchor="toc73" w:history="1">
            <w:r>
              <w:t xml:space="preserve">5. Известные открытые вопросы</w:t>
            </w:r>
            <w:r>
              <w:tab/>
            </w:r>
            <w:r>
              <w:t>72</w:t>
            </w:r>
          </w:hyperlink>
        </w:p>
        <w:p>
          <w:pPr>
            <w:pStyle w:val="TOC2"/>
          </w:pPr>
          <w:hyperlink w:anchor="toc74" w:history="1">
            <w:r>
              <w:t xml:space="preserve">6. План развития</w:t>
            </w:r>
            <w:r>
              <w:tab/>
            </w:r>
            <w:r>
              <w:t>72</w:t>
            </w:r>
          </w:hyperlink>
        </w:p>
        <w:p>
          <w:pPr>
            <w:pStyle w:val="TOC1"/>
          </w:pPr>
          <w:hyperlink w:anchor="ch10" w:history="1">
            <w:r>
              <w:t xml:space="preserve">10. Тестирование и воспроизводимость</w:t>
            </w:r>
            <w:r>
              <w:tab/>
            </w:r>
            <w:r>
              <w:t>74</w:t>
            </w:r>
          </w:hyperlink>
        </w:p>
        <w:p>
          <w:pPr>
            <w:pStyle w:val="TOC2"/>
          </w:pPr>
          <w:hyperlink w:anchor="toc76" w:history="1">
            <w:r>
              <w:t xml:space="preserve">Версии расчёта и данные</w:t>
            </w:r>
            <w:r>
              <w:tab/>
            </w:r>
            <w:r>
              <w:t>74</w:t>
            </w:r>
          </w:hyperlink>
        </w:p>
        <w:p>
          <w:pPr>
            <w:pStyle w:val="TOC2"/>
          </w:pPr>
          <w:hyperlink w:anchor="toc77" w:history="1">
            <w:r>
              <w:t xml:space="preserve">Автотесты и CI</w:t>
            </w:r>
            <w:r>
              <w:tab/>
            </w:r>
            <w:r>
              <w:t>74</w:t>
            </w:r>
          </w:hyperlink>
        </w:p>
        <w:p>
          <w:pPr>
            <w:pStyle w:val="TOC2"/>
          </w:pPr>
          <w:hyperlink w:anchor="toc78" w:history="1">
            <w:r>
              <w:t xml:space="preserve">Как воспроизвести демонстрационный расчёт</w:t>
            </w:r>
            <w:r>
              <w:tab/>
            </w:r>
            <w:r>
              <w:t>74</w:t>
            </w:r>
          </w:hyperlink>
        </w:p>
        <w:p>
          <w:pPr>
            <w:pStyle w:val="TOC2"/>
          </w:pPr>
          <w:hyperlink w:anchor="toc79" w:history="1">
            <w:r>
              <w:t xml:space="preserve">Сверка демо-чисел с файлом в репозитории</w:t>
            </w:r>
            <w:r>
              <w:tab/>
            </w:r>
            <w:r>
              <w:t>74</w:t>
            </w:r>
          </w:hyperlink>
        </w:p>
        <w:p>
          <w:pPr>
            <w:pStyle w:val="TOC2"/>
          </w:pPr>
          <w:hyperlink w:anchor="toc80" w:history="1">
            <w:r>
              <w:t xml:space="preserve">Проверка на чистом экземпляре</w:t>
            </w:r>
            <w:r>
              <w:tab/>
            </w:r>
            <w:r>
              <w:t>75</w:t>
            </w:r>
          </w:hyperlink>
        </w:p>
        <w:p>
          <w:pPr>
            <w:pStyle w:val="TOC2"/>
          </w:pPr>
          <w:hyperlink w:anchor="toc81" w:history="1">
            <w:r>
              <w:t xml:space="preserve">Образцы выгрузок (ТЗ §8.2.7)</w:t>
            </w:r>
            <w:r>
              <w:tab/>
            </w:r>
            <w:r>
              <w:t>75</w:t>
            </w:r>
          </w:hyperlink>
        </w:p>
        <w:p>
          <w:pPr>
            <w:pStyle w:val="TOC1"/>
          </w:pPr>
          <w:hyperlink w:anchor="ch11" w:history="1">
            <w:r>
              <w:t xml:space="preserve">11. Сценарий проверки основных функций</w:t>
            </w:r>
            <w:r>
              <w:tab/>
            </w:r>
            <w:r>
              <w:t>76</w:t>
            </w:r>
          </w:hyperlink>
        </w:p>
        <w:p>
          <w:pPr>
            <w:pStyle w:val="TOC2"/>
          </w:pPr>
          <w:hyperlink w:anchor="toc83" w:history="1">
            <w:r>
              <w:t xml:space="preserve">Стенд и учётные записи</w:t>
            </w:r>
            <w:r>
              <w:tab/>
            </w:r>
            <w:r>
              <w:t>76</w:t>
            </w:r>
          </w:hyperlink>
        </w:p>
        <w:p>
          <w:pPr>
            <w:pStyle w:val="TOC2"/>
          </w:pPr>
          <w:hyperlink w:anchor="toc84" w:history="1">
            <w:r>
              <w:t xml:space="preserve">Правило чисел (ТЗ §5.6)</w:t>
            </w:r>
            <w:r>
              <w:tab/>
            </w:r>
            <w:r>
              <w:t>76</w:t>
            </w:r>
          </w:hyperlink>
        </w:p>
        <w:p>
          <w:pPr>
            <w:pStyle w:val="TOC2"/>
          </w:pPr>
          <w:hyperlink w:anchor="toc85" w:history="1">
            <w:r>
              <w:t xml:space="preserve">Шпаргалка: числа, которые звучат в показе</w:t>
            </w:r>
            <w:r>
              <w:tab/>
            </w:r>
            <w:r>
              <w:t>77</w:t>
            </w:r>
          </w:hyperlink>
        </w:p>
        <w:p>
          <w:pPr>
            <w:pStyle w:val="TOC2"/>
          </w:pPr>
          <w:hyperlink w:anchor="toc86" w:history="1">
            <w:r>
              <w:t xml:space="preserve">Таймлайн</w:t>
            </w:r>
            <w:r>
              <w:tab/>
            </w:r>
            <w:r>
              <w:t>78</w:t>
            </w:r>
          </w:hyperlink>
        </w:p>
        <w:p>
          <w:pPr>
            <w:pStyle w:val="TOC2"/>
          </w:pPr>
          <w:hyperlink w:anchor="toc87" w:history="1">
            <w:r>
              <w:t xml:space="preserve">Подробно по отрезкам</w:t>
            </w:r>
            <w:r>
              <w:tab/>
            </w:r>
            <w:r>
              <w:t>78</w:t>
            </w:r>
          </w:hyperlink>
        </w:p>
        <w:p>
          <w:pPr>
            <w:pStyle w:val="TOC2"/>
          </w:pPr>
          <w:hyperlink w:anchor="toc88" w:history="1">
            <w:r>
              <w:t xml:space="preserve">Реплика про норму и цикл</w:t>
            </w:r>
            <w:r>
              <w:tab/>
            </w:r>
            <w:r>
              <w:t>82</w:t>
            </w:r>
          </w:hyperlink>
        </w:p>
        <w:p>
          <w:pPr>
            <w:pStyle w:val="TOC2"/>
          </w:pPr>
          <w:hyperlink w:anchor="toc89" w:history="1">
            <w:r>
              <w:t xml:space="preserve">Запасные пути</w:t>
            </w:r>
            <w:r>
              <w:tab/>
            </w:r>
            <w:r>
              <w:t>82</w:t>
            </w:r>
          </w:hyperlink>
        </w:p>
        <w:p>
          <w:pPr>
            <w:pStyle w:val="TOC2"/>
          </w:pPr>
          <w:hyperlink w:anchor="toc90" w:history="1">
            <w:r>
              <w:t xml:space="preserve">Чек-лист перед показом</w:t>
            </w:r>
            <w:r>
              <w:tab/>
            </w:r>
            <w:r>
              <w:t>83</w:t>
            </w:r>
          </w:hyperlink>
        </w:p>
        <w:p>
          <w:pPr>
            <w:pStyle w:val="TOC2"/>
          </w:pPr>
          <w:hyperlink w:anchor="toc91" w:history="1">
            <w:r>
              <w:t xml:space="preserve">Вопросы жюри: короткие ответы</w:t>
            </w:r>
            <w:r>
              <w:tab/>
            </w:r>
            <w:r>
              <w:t>84</w:t>
            </w:r>
          </w:hyperlink>
        </w:p>
        <w:p>
          <w:pPr>
            <w:pStyle w:val="TOC1"/>
          </w:pPr>
          <w:hyperlink w:anchor="ch12" w:history="1">
            <w:r>
              <w:t xml:space="preserve">12. Контакты и доступ</w:t>
            </w:r>
            <w:r>
              <w:tab/>
            </w:r>
            <w:r>
              <w:t>86</w:t>
            </w:r>
          </w:hyperlink>
        </w:p>
        <w:p>
          <w:pPr>
            <w:pStyle w:val="TOC1"/>
          </w:pPr>
          <w:hyperlink w:anchor="appA" w:history="1">
            <w:r>
              <w:t xml:space="preserve">Приложение А. Демо-числа, напечатанные сборкой</w:t>
            </w:r>
            <w:r>
              <w:tab/>
            </w:r>
            <w:r>
              <w:t>87</w:t>
            </w:r>
          </w:hyperlink>
        </w:p>
        <w:p>
          <w:pPr>
            <w:pStyle w:val="TOC2"/>
          </w:pPr>
          <w:hyperlink w:anchor="toc94" w:history="1">
            <w:r>
              <w:t xml:space="preserve">Путь жюри (ТЗ §5.4): новый проект на демо-данных склада</w:t>
            </w:r>
            <w:r>
              <w:tab/>
            </w:r>
            <w:r>
              <w:t>87</w:t>
            </w:r>
          </w:hyperlink>
        </w:p>
        <w:p>
          <w:pPr>
            <w:pStyle w:val="TOC2"/>
          </w:pPr>
          <w:hyperlink w:anchor="toc95" w:history="1">
            <w:r>
              <w:t xml:space="preserve">Каталог</w:t>
            </w:r>
            <w:r>
              <w:tab/>
            </w:r>
            <w:r>
              <w:t>91</w:t>
            </w:r>
          </w:hyperlink>
        </w:p>
        <w:p>
          <w:pPr>
            <w:pStyle w:val="TOC2"/>
          </w:pPr>
          <w:hyperlink w:anchor="toc96" w:history="1">
            <w:r>
              <w:t xml:space="preserve">Дополнительный пример: DMR Carrier P из «Примеров решений» организатора (не путь жюри)</w:t>
            </w:r>
            <w:r>
              <w:tab/>
            </w:r>
            <w:r>
              <w:t>92</w:t>
            </w:r>
          </w:hyperlink>
        </w:p>
        <w:p>
          <w:r>
            <w:fldChar w:fldCharType="end"/>
          </w:r>
        </w:p>
      </w:sdtContent>
    </w:sdt>
    <w:p>
      <w:pPr>
        <w:pStyle w:val="Heading1"/>
        <w:pageBreakBefore/>
        <w:outlineLvl w:val="0"/>
      </w:pPr>
      <w:bookmarkStart w:name="guide" w:id="1"/>
      <w:r>
        <w:t xml:space="preserve">Как читать документ</w:t>
      </w:r>
      <w:bookmarkEnd w:id="1"/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Документ отвечает на требования ТЗ §6 к сопроводительной документации. Где искать каждый пункт: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6"/>
        <w:gridCol w:w="5406"/>
        <w:gridCol w:w="3206"/>
      </w:tblGrid>
      <w:tr>
        <w:trPr>
          <w:cantSplit/>
          <w:tblHeader/>
        </w:trPr>
        <w:tc>
          <w:tcPr>
            <w:tcW w:type="dxa" w:w="102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Пункт ТЗ</w:t>
            </w:r>
          </w:p>
        </w:tc>
        <w:tc>
          <w:tcPr>
            <w:tcW w:type="dxa" w:w="540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Что требуется</w:t>
            </w:r>
          </w:p>
        </w:tc>
        <w:tc>
          <w:tcPr>
            <w:tcW w:type="dxa" w:w="320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Где в документе</w:t>
            </w:r>
          </w:p>
        </w:tc>
      </w:tr>
      <w:tr>
        <w:trPr>
          <w:cantSplit/>
        </w:trPr>
        <w:tc>
          <w:tcPr>
            <w:tcW w:type="dxa" w:w="102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§6.1</w:t>
            </w:r>
          </w:p>
        </w:tc>
        <w:tc>
          <w:tcPr>
            <w:tcW w:type="dxa" w:w="540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Целевая аудитория, пользовательские сценарии, границы решения</w:t>
            </w:r>
          </w:p>
        </w:tc>
        <w:tc>
          <w:tcPr>
            <w:tcW w:type="dxa" w:w="320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гл. 1; гл. 2, §1</w:t>
            </w:r>
          </w:p>
        </w:tc>
      </w:tr>
      <w:tr>
        <w:trPr>
          <w:cantSplit/>
        </w:trPr>
        <w:tc>
          <w:tcPr>
            <w:tcW w:type="dxa" w:w="102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§6.2</w:t>
            </w:r>
          </w:p>
        </w:tc>
        <w:tc>
          <w:tcPr>
            <w:tcW w:type="dxa" w:w="540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Инструкция по развёртыванию и запуску</w:t>
            </w:r>
          </w:p>
        </w:tc>
        <w:tc>
          <w:tcPr>
            <w:tcW w:type="dxa" w:w="320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гл. 6</w:t>
            </w:r>
          </w:p>
        </w:tc>
      </w:tr>
      <w:tr>
        <w:trPr>
          <w:cantSplit/>
        </w:trPr>
        <w:tc>
          <w:tcPr>
            <w:tcW w:type="dxa" w:w="102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§6.3</w:t>
            </w:r>
          </w:p>
        </w:tc>
        <w:tc>
          <w:tcPr>
            <w:tcW w:type="dxa" w:w="540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Архитектура, компоненты, структура данных и API</w:t>
            </w:r>
          </w:p>
        </w:tc>
        <w:tc>
          <w:tcPr>
            <w:tcW w:type="dxa" w:w="320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гл. 2 (§2–§5, §7–§9, §12); гл. 5</w:t>
            </w:r>
          </w:p>
        </w:tc>
      </w:tr>
      <w:tr>
        <w:trPr>
          <w:cantSplit/>
        </w:trPr>
        <w:tc>
          <w:tcPr>
            <w:tcW w:type="dxa" w:w="102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§6.4</w:t>
            </w:r>
          </w:p>
        </w:tc>
        <w:tc>
          <w:tcPr>
            <w:tcW w:type="dxa" w:w="540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Алгоритм подбора и ранжирования решений</w:t>
            </w:r>
          </w:p>
        </w:tc>
        <w:tc>
          <w:tcPr>
            <w:tcW w:type="dxa" w:w="320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гл. 2, §6</w:t>
            </w:r>
          </w:p>
        </w:tc>
      </w:tr>
      <w:tr>
        <w:trPr>
          <w:cantSplit/>
        </w:trPr>
        <w:tc>
          <w:tcPr>
            <w:tcW w:type="dxa" w:w="102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§6.5</w:t>
            </w:r>
          </w:p>
        </w:tc>
        <w:tc>
          <w:tcPr>
            <w:tcW w:type="dxa" w:w="540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Экономическая модель: формулы, источники, единицы, допущения</w:t>
            </w:r>
          </w:p>
        </w:tc>
        <w:tc>
          <w:tcPr>
            <w:tcW w:type="dxa" w:w="320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гл. 3</w:t>
            </w:r>
          </w:p>
        </w:tc>
      </w:tr>
      <w:tr>
        <w:trPr>
          <w:cantSplit/>
        </w:trPr>
        <w:tc>
          <w:tcPr>
            <w:tcW w:type="dxa" w:w="102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§6.6</w:t>
            </w:r>
          </w:p>
        </w:tc>
        <w:tc>
          <w:tcPr>
            <w:tcW w:type="dxa" w:w="540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Загрузка и актуализация данных</w:t>
            </w:r>
          </w:p>
        </w:tc>
        <w:tc>
          <w:tcPr>
            <w:tcW w:type="dxa" w:w="320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гл. 4; гл. 8, §6–§7</w:t>
            </w:r>
          </w:p>
        </w:tc>
      </w:tr>
      <w:tr>
        <w:trPr>
          <w:cantSplit/>
        </w:trPr>
        <w:tc>
          <w:tcPr>
            <w:tcW w:type="dxa" w:w="102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§6.7</w:t>
            </w:r>
          </w:p>
        </w:tc>
        <w:tc>
          <w:tcPr>
            <w:tcW w:type="dxa" w:w="540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Руководство пользователя и администратора</w:t>
            </w:r>
          </w:p>
        </w:tc>
        <w:tc>
          <w:tcPr>
            <w:tcW w:type="dxa" w:w="320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гл. 7, гл. 8</w:t>
            </w:r>
          </w:p>
        </w:tc>
      </w:tr>
      <w:tr>
        <w:trPr>
          <w:cantSplit/>
        </w:trPr>
        <w:tc>
          <w:tcPr>
            <w:tcW w:type="dxa" w:w="102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§6.8</w:t>
            </w:r>
          </w:p>
        </w:tc>
        <w:tc>
          <w:tcPr>
            <w:tcW w:type="dxa" w:w="540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Внешние библиотеки и источники данных со ссылками</w:t>
            </w:r>
          </w:p>
        </w:tc>
        <w:tc>
          <w:tcPr>
            <w:tcW w:type="dxa" w:w="320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гл. 2, §10; гл. 4</w:t>
            </w:r>
          </w:p>
        </w:tc>
      </w:tr>
      <w:tr>
        <w:trPr>
          <w:cantSplit/>
        </w:trPr>
        <w:tc>
          <w:tcPr>
            <w:tcW w:type="dxa" w:w="102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§6.9</w:t>
            </w:r>
          </w:p>
        </w:tc>
        <w:tc>
          <w:tcPr>
            <w:tcW w:type="dxa" w:w="540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Известные ограничения и план развития</w:t>
            </w:r>
          </w:p>
        </w:tc>
        <w:tc>
          <w:tcPr>
            <w:tcW w:type="dxa" w:w="320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гл. 9</w:t>
            </w:r>
          </w:p>
        </w:tc>
      </w:tr>
      <w:tr>
        <w:trPr>
          <w:cantSplit/>
        </w:trPr>
        <w:tc>
          <w:tcPr>
            <w:tcW w:type="dxa" w:w="102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§6.10</w:t>
            </w:r>
          </w:p>
        </w:tc>
        <w:tc>
          <w:tcPr>
            <w:tcW w:type="dxa" w:w="540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Развернуть решение и воспроизвести демонстрационный расчёт</w:t>
            </w:r>
          </w:p>
        </w:tc>
        <w:tc>
          <w:tcPr>
            <w:tcW w:type="dxa" w:w="320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гл. 6, гл. 10, гл. 11, приложение А</w:t>
            </w:r>
          </w:p>
        </w:tc>
      </w:tr>
    </w:tbl>
    <w:p>
      <w:pPr>
        <w:spacing w:after="60"/>
      </w:pP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Главы 2–9 и 11 — файлы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docs/*.md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репозитория целиком или их разделы, поэтому внутри главы сохранена нумерация разделов исходного файла, и ссылки вида «§N» или «раздел N» указывают на разделы этой же главы. Ссылка на другой файл документации дополнена номером главы, например «MODEL-TZ.md (гл. 3)». Файлы, которые в документ не вошли, названы путём в репозитории.</w:t>
      </w:r>
    </w:p>
    <w:p>
      <w:pPr>
        <w:pStyle w:val="Heading1"/>
        <w:pageBreakBefore/>
        <w:outlineLvl w:val="0"/>
      </w:pPr>
      <w:bookmarkStart w:name="ch1" w:id="1"/>
      <w:r>
        <w:t xml:space="preserve">1. Назначение и состав решения</w:t>
      </w:r>
      <w:bookmarkEnd w:id="1"/>
    </w:p>
    <w:p>
      <w:pPr>
        <w:pBdr>
          <w:bottom w:val="single" w:color="C8CFDB" w:sz="4" w:space="6"/>
        </w:pBdr>
        <w:spacing w:after="200"/>
      </w:pPr>
      <w:r>
        <w:rPr>
          <w:i/>
          <w:iCs/>
          <w:color w:val="6B7280"/>
          <w:sz w:val="17"/>
          <w:szCs w:val="17"/>
        </w:rPr>
        <w:t xml:space="preserve">Источник: README.md репозитория; таблица «Состав сдачи» — перечень файлов сдачи. Требования: ТЗ §6.1, §8.2.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Веб-платформа подбора роботизированных решений с расчётом экономического эффекта и
визуализацией работы роботов на объекте — решение задачи ФЦ БАС («Лидеры цифровой
трансформации», 2026).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Пользователь выбирает объект, вводит или загружает его параметры, получает объяснимую
подборку решений из каталога, сравнивает сценарии «Как есть», «Покупка» и «Услуга (RaaS)» по
CAPEX, OPEX, эффекту, окупаемости, ROI, NPV и TCO, проверяет расчёт имитацией работы роботов на
2D-схеме и выгружает отчёт. Всё — в рублях, на данных организатора, с источником у каждого
числа.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Демонстрационный объект — склад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из датасета организатора: полная модель (подбор,
экономика, сценарии, имитация). Аэропорт и медучреждение — выбор, параметры и доступные
решения (ТЗ §5.5).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Модель: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tz-1.0.0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имитация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sim-1.0.0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. Формулы, нормативы и контрольный пример —
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docs/MODEL-TZ.md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(</w:t>
      </w:r>
      <w:hyperlink w:history="1" w:anchor="ch3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1A42A8"/>
            <w:u w:val="single"/>
          </w:rPr>
          <w:t xml:space="preserve">гл. 3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Что реализовано полностью, частично и как прототип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docs/LIMITATIONS.md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(</w:t>
      </w:r>
      <w:hyperlink w:history="1" w:anchor="ch9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1A42A8"/>
            <w:u w:val="single"/>
          </w:rPr>
          <w:t xml:space="preserve">гл. 9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Демо-числа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печатает только сборка: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npx tsx scripts/print-demo-numbers.ts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файл —
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docs/submission/demo-numbers.md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(</w:t>
      </w:r>
      <w:hyperlink w:history="1" w:anchor="appA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1A42A8"/>
            <w:u w:val="single"/>
          </w:rPr>
          <w:t xml:space="preserve">прил. А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. Например, парк Ronavi
H1500 по расчёту — 11 роботов, и имитация его подтверждает (132,5 из 129,5 пал./ч), а парк по
паспортной норме — 3 робота, и имитация его опровергает. Результат — предварительная оценка,
она требует верификации при обследовании объекта.</w:t>
      </w:r>
    </w:p>
    <w:p>
      <w:pPr>
        <w:pStyle w:val="Heading2"/>
        <w:keepNext/>
        <w:outlineLvl w:val="1"/>
      </w:pPr>
      <w:bookmarkStart w:name="toc3" w:id="1"/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Путь жюри (ТЗ §5.4) — 8 шагов</w:t>
      </w:r>
      <w:bookmarkEnd w:id="1"/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Вход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демо-пользователем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demo@demo.local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demo-user-2026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→ «Мои проекты».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Новый проект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→ «Склад» → «Демо-данные организатора» (или «Загрузить Excel/CSV по
шаблону») → «Создать проект».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Шаг 2 · Параметры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— поля с единицами, примерами, диапазонами и источником каждого
значения; правка → «Пересчитать».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Шаг 3 · Подбор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— решения с причинами включения и исключения, ограничениями,
недостающими данными и баллом из пяти факторов.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Шаг 4 · Сравнение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и </w:t>
      </w: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Шаг 5 · Экономика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— характеристики решений, состав
оборудования, CAPEX и OPEX по статьям с формулами и источниками, «Как посчитано».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Шаг 6 · Сценарии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— «Как есть», покупка и услуга в одной таблице, чувствительность,
риски, вывод с интерпретацией.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Шаг 7 · Имитация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— «▶ Старт», вердикт «Расчёт подтверждён имитацией» или узкое место,
три варианта парка, «Скачать PNG».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Шаг 8 · Сохранение и отчёт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— «Сохранить проект», «Отчёт (PDF)», «Excel», «CSV».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Запасные пути: гостевой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/demo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без входа (весь путь без сохранения) и готовый проект
«Склад организатора (демо)» у демо-пользователя. Аэропорт и медучреждение —
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/demo?facility=airport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и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/demo?facility=medical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. Подробно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docs/USER-GUIDE.md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(</w:t>
      </w:r>
      <w:hyperlink w:history="1" w:anchor="ch7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1A42A8"/>
            <w:u w:val="single"/>
          </w:rPr>
          <w:t xml:space="preserve">гл. 7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.</w:t>
      </w:r>
    </w:p>
    <w:p>
      <w:pPr>
        <w:pStyle w:val="Heading2"/>
        <w:keepNext/>
        <w:outlineLvl w:val="1"/>
      </w:pPr>
      <w:bookmarkStart w:name="toc4" w:id="1"/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Состав сдачи (ТЗ §8.2)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99"/>
        <w:gridCol w:w="4059"/>
        <w:gridCol w:w="4680"/>
      </w:tblGrid>
      <w:tr>
        <w:trPr>
          <w:cantSplit/>
          <w:tblHeader/>
        </w:trPr>
        <w:tc>
          <w:tcPr>
            <w:tcW w:type="dxa" w:w="89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Пункт ТЗ</w:t>
            </w:r>
          </w:p>
        </w:tc>
        <w:tc>
          <w:tcPr>
            <w:tcW w:type="dxa" w:w="405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Что сдаётся</w:t>
            </w:r>
          </w:p>
        </w:tc>
        <w:tc>
          <w:tcPr>
            <w:tcW w:type="dxa" w:w="468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Где</w:t>
            </w:r>
          </w:p>
        </w:tc>
      </w:tr>
      <w:tr>
        <w:trPr>
          <w:cantSplit/>
        </w:trPr>
        <w:tc>
          <w:tcPr>
            <w:tcW w:type="dxa" w:w="89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§8.2.1</w:t>
            </w:r>
          </w:p>
        </w:tc>
        <w:tc>
          <w:tcPr>
            <w:tcW w:type="dxa" w:w="405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Репозиторий с исходным кодом</w:t>
            </w:r>
          </w:p>
        </w:tc>
        <w:tc>
          <w:tcPr>
            <w:tcW w:type="dxa" w:w="468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hyperlink w:history="1" r:id="rId6ppsa1nuqv2if4wqor586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1A42A8"/>
                  <w:sz w:val="18"/>
                  <w:szCs w:val="18"/>
                  <w:u w:val="single"/>
                </w:rPr>
                <w:t xml:space="preserve">https://github.com/jordanbarnesceo88-tech/hackaton</w:t>
              </w:r>
            </w:hyperlink>
          </w:p>
        </w:tc>
      </w:tr>
      <w:tr>
        <w:trPr>
          <w:cantSplit/>
        </w:trPr>
        <w:tc>
          <w:tcPr>
            <w:tcW w:type="dxa" w:w="89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§8.2.2</w:t>
            </w:r>
          </w:p>
        </w:tc>
        <w:tc>
          <w:tcPr>
            <w:tcW w:type="dxa" w:w="405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Инструкция по локальному запуску: Docker одной командой, локально без Docker, Vercel и Neon</w:t>
            </w:r>
          </w:p>
        </w:tc>
        <w:tc>
          <w:tcPr>
            <w:tcW w:type="dxa" w:w="468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DEPLOY-QUICKSTART.md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 (</w:t>
            </w:r>
            <w:hyperlink w:history="1" w:anchor="ch6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1A42A8"/>
                  <w:sz w:val="18"/>
                  <w:szCs w:val="18"/>
                  <w:u w:val="single"/>
                </w:rPr>
                <w:t xml:space="preserve">гл. 6</w:t>
              </w:r>
            </w:hyperlink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89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§8.2.3</w:t>
            </w:r>
          </w:p>
        </w:tc>
        <w:tc>
          <w:tcPr>
            <w:tcW w:type="dxa" w:w="405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Презентация</w:t>
            </w:r>
          </w:p>
        </w:tc>
        <w:tc>
          <w:tcPr>
            <w:tcW w:type="dxa" w:w="468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docs/submission/presentation.pptx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docs/submission/presentation.pdf</w:t>
            </w:r>
          </w:p>
        </w:tc>
      </w:tr>
      <w:tr>
        <w:trPr>
          <w:cantSplit/>
        </w:trPr>
        <w:tc>
          <w:tcPr>
            <w:tcW w:type="dxa" w:w="89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§8.2.4</w:t>
            </w:r>
          </w:p>
        </w:tc>
        <w:tc>
          <w:tcPr>
            <w:tcW w:type="dxa" w:w="405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Сопроводительная документация — этот документ</w:t>
            </w:r>
          </w:p>
        </w:tc>
        <w:tc>
          <w:tcPr>
            <w:tcW w:type="dxa" w:w="468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docs/submission/documentation.docx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docs/submission/documentation.pdf</w:t>
            </w:r>
          </w:p>
        </w:tc>
      </w:tr>
      <w:tr>
        <w:trPr>
          <w:cantSplit/>
        </w:trPr>
        <w:tc>
          <w:tcPr>
            <w:tcW w:type="dxa" w:w="89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§8.2.5</w:t>
            </w:r>
          </w:p>
        </w:tc>
        <w:tc>
          <w:tcPr>
            <w:tcW w:type="dxa" w:w="405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Демонстрационные учётные записи пользователя и администратора</w:t>
            </w:r>
          </w:p>
        </w:tc>
        <w:tc>
          <w:tcPr>
            <w:tcW w:type="dxa" w:w="468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demo@demo.local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demo-user-2026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admin@demo.local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demo-admin-2026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DEPLOY-QUICKSTART.md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 (</w:t>
            </w:r>
            <w:hyperlink w:history="1" w:anchor="ch6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1A42A8"/>
                  <w:sz w:val="18"/>
                  <w:szCs w:val="18"/>
                  <w:u w:val="single"/>
                </w:rPr>
                <w:t xml:space="preserve">гл. 6</w:t>
              </w:r>
            </w:hyperlink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, §2</w:t>
            </w:r>
          </w:p>
        </w:tc>
      </w:tr>
      <w:tr>
        <w:trPr>
          <w:cantSplit/>
        </w:trPr>
        <w:tc>
          <w:tcPr>
            <w:tcW w:type="dxa" w:w="89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§8.2.6</w:t>
            </w:r>
          </w:p>
        </w:tc>
        <w:tc>
          <w:tcPr>
            <w:tcW w:type="dxa" w:w="405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Демонстрационные данные и сценарий проверки основных функций</w:t>
            </w:r>
          </w:p>
        </w:tc>
        <w:tc>
          <w:tcPr>
            <w:tcW w:type="dxa" w:w="468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данные организатора загружаются севом, демо-проект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demo-warehouse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; сценарий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DEMO-SCRIPT.md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 (</w:t>
            </w:r>
            <w:hyperlink w:history="1" w:anchor="ch11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1A42A8"/>
                  <w:sz w:val="18"/>
                  <w:szCs w:val="18"/>
                  <w:u w:val="single"/>
                </w:rPr>
                <w:t xml:space="preserve">гл. 11</w:t>
              </w:r>
            </w:hyperlink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89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§8.2.7</w:t>
            </w:r>
          </w:p>
        </w:tc>
        <w:tc>
          <w:tcPr>
            <w:tcW w:type="dxa" w:w="405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Экспортированный пример итогового отчёта</w:t>
            </w:r>
          </w:p>
        </w:tc>
        <w:tc>
          <w:tcPr>
            <w:tcW w:type="dxa" w:w="468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docs/submission/sample-report.pdf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sample-report.xlsx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sample-report.csv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sample-simulation.png</w:t>
            </w:r>
          </w:p>
        </w:tc>
      </w:tr>
      <w:tr>
        <w:trPr>
          <w:cantSplit/>
        </w:trPr>
        <w:tc>
          <w:tcPr>
            <w:tcW w:type="dxa" w:w="89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§8.2.8</w:t>
            </w:r>
          </w:p>
        </w:tc>
        <w:tc>
          <w:tcPr>
            <w:tcW w:type="dxa" w:w="405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Показ сборки и запуска</w:t>
            </w:r>
          </w:p>
        </w:tc>
        <w:tc>
          <w:tcPr>
            <w:tcW w:type="dxa" w:w="468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DEPLOY-QUICKSTART.md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 (</w:t>
            </w:r>
            <w:hyperlink w:history="1" w:anchor="ch6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1A42A8"/>
                  <w:sz w:val="18"/>
                  <w:szCs w:val="18"/>
                  <w:u w:val="single"/>
                </w:rPr>
                <w:t xml:space="preserve">гл. 6</w:t>
              </w:r>
            </w:hyperlink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; журнал проверки на чистом экземпляре —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docs/submission/fresh-instance-log.txt</w:t>
            </w:r>
          </w:p>
        </w:tc>
      </w:tr>
    </w:tbl>
    <w:p>
      <w:pPr>
        <w:spacing w:after="60"/>
      </w:pPr>
    </w:p>
    <w:p>
      <w:pPr>
        <w:pStyle w:val="Heading2"/>
        <w:keepNext/>
        <w:outlineLvl w:val="1"/>
      </w:pPr>
      <w:bookmarkStart w:name="toc5" w:id="1"/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Документация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57"/>
        <w:gridCol w:w="6581"/>
      </w:tblGrid>
      <w:tr>
        <w:trPr>
          <w:cantSplit/>
          <w:tblHeader/>
        </w:trPr>
        <w:tc>
          <w:tcPr>
            <w:tcW w:type="dxa" w:w="305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Документ</w:t>
            </w:r>
          </w:p>
        </w:tc>
        <w:tc>
          <w:tcPr>
            <w:tcW w:type="dxa" w:w="658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О чём</w:t>
            </w:r>
          </w:p>
        </w:tc>
      </w:tr>
      <w:tr>
        <w:trPr>
          <w:cantSplit/>
        </w:trPr>
        <w:tc>
          <w:tcPr>
            <w:tcW w:type="dxa" w:w="305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docs/ARCHITECTURE.md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 (</w:t>
            </w:r>
            <w:hyperlink w:history="1" w:anchor="ch2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1A42A8"/>
                  <w:sz w:val="18"/>
                  <w:szCs w:val="18"/>
                  <w:u w:val="single"/>
                </w:rPr>
                <w:t xml:space="preserve">гл. 2</w:t>
              </w:r>
            </w:hyperlink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)</w:t>
            </w:r>
          </w:p>
        </w:tc>
        <w:tc>
          <w:tcPr>
            <w:tcW w:type="dxa" w:w="658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аудитория и границы, компоненты, модель данных, потоки, алгоритм подбора, API, безопасность, производительность, библиотеки</w:t>
            </w:r>
          </w:p>
        </w:tc>
      </w:tr>
      <w:tr>
        <w:trPr>
          <w:cantSplit/>
        </w:trPr>
        <w:tc>
          <w:tcPr>
            <w:tcW w:type="dxa" w:w="305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docs/MODEL-TZ.md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 (</w:t>
            </w:r>
            <w:hyperlink w:history="1" w:anchor="ch3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1A42A8"/>
                  <w:sz w:val="18"/>
                  <w:szCs w:val="18"/>
                  <w:u w:val="single"/>
                </w:rPr>
                <w:t xml:space="preserve">гл. 3</w:t>
              </w:r>
            </w:hyperlink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)</w:t>
            </w:r>
          </w:p>
        </w:tc>
        <w:tc>
          <w:tcPr>
            <w:tcW w:type="dxa" w:w="658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экономическая модель: формулы, нормативы, контрольный пример, имитация и её проверка</w:t>
            </w:r>
          </w:p>
        </w:tc>
      </w:tr>
      <w:tr>
        <w:trPr>
          <w:cantSplit/>
        </w:trPr>
        <w:tc>
          <w:tcPr>
            <w:tcW w:type="dxa" w:w="305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docs/USER-GUIDE.md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 (</w:t>
            </w:r>
            <w:hyperlink w:history="1" w:anchor="ch7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1A42A8"/>
                  <w:sz w:val="18"/>
                  <w:szCs w:val="18"/>
                  <w:u w:val="single"/>
                </w:rPr>
                <w:t xml:space="preserve">гл. 7</w:t>
              </w:r>
            </w:hyperlink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)</w:t>
            </w:r>
          </w:p>
        </w:tc>
        <w:tc>
          <w:tcPr>
            <w:tcW w:type="dxa" w:w="658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руководство пользователя</w:t>
            </w:r>
          </w:p>
        </w:tc>
      </w:tr>
      <w:tr>
        <w:trPr>
          <w:cantSplit/>
        </w:trPr>
        <w:tc>
          <w:tcPr>
            <w:tcW w:type="dxa" w:w="305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docs/ADMIN-GUIDE.md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 (</w:t>
            </w:r>
            <w:hyperlink w:history="1" w:anchor="ch8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1A42A8"/>
                  <w:sz w:val="18"/>
                  <w:szCs w:val="18"/>
                  <w:u w:val="single"/>
                </w:rPr>
                <w:t xml:space="preserve">гл. 8</w:t>
              </w:r>
            </w:hyperlink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)</w:t>
            </w:r>
          </w:p>
        </w:tc>
        <w:tc>
          <w:tcPr>
            <w:tcW w:type="dxa" w:w="658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руководство администратора</w:t>
            </w:r>
          </w:p>
        </w:tc>
      </w:tr>
      <w:tr>
        <w:trPr>
          <w:cantSplit/>
        </w:trPr>
        <w:tc>
          <w:tcPr>
            <w:tcW w:type="dxa" w:w="305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docs/DEPLOY-QUICKSTART.md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 (</w:t>
            </w:r>
            <w:hyperlink w:history="1" w:anchor="ch6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1A42A8"/>
                  <w:sz w:val="18"/>
                  <w:szCs w:val="18"/>
                  <w:u w:val="single"/>
                </w:rPr>
                <w:t xml:space="preserve">гл. 6</w:t>
              </w:r>
            </w:hyperlink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)</w:t>
            </w:r>
          </w:p>
        </w:tc>
        <w:tc>
          <w:tcPr>
            <w:tcW w:type="dxa" w:w="658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запуск: Docker, локально, чистый экземпляр, Vercel и Neon</w:t>
            </w:r>
          </w:p>
        </w:tc>
      </w:tr>
      <w:tr>
        <w:trPr>
          <w:cantSplit/>
        </w:trPr>
        <w:tc>
          <w:tcPr>
            <w:tcW w:type="dxa" w:w="305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docs/DEPLOY.md</w:t>
            </w:r>
          </w:p>
        </w:tc>
        <w:tc>
          <w:tcPr>
            <w:tcW w:type="dxa" w:w="658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справочник по выкладке, безопасности и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npm audit</w:t>
            </w:r>
          </w:p>
        </w:tc>
      </w:tr>
      <w:tr>
        <w:trPr>
          <w:cantSplit/>
        </w:trPr>
        <w:tc>
          <w:tcPr>
            <w:tcW w:type="dxa" w:w="305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docs/INTEGRATIONS.md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 (</w:t>
            </w:r>
            <w:hyperlink w:history="1" w:anchor="ch5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1A42A8"/>
                  <w:sz w:val="18"/>
                  <w:szCs w:val="18"/>
                  <w:u w:val="single"/>
                </w:rPr>
                <w:t xml:space="preserve">гл. 5</w:t>
              </w:r>
            </w:hyperlink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)</w:t>
            </w:r>
          </w:p>
        </w:tc>
        <w:tc>
          <w:tcPr>
            <w:tcW w:type="dxa" w:w="658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API v1 и интеграции с WMS, ERP, 1С, мониторингом, аналитикой ФЦ БАС; описание OpenAPI —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/api-docs</w:t>
            </w:r>
          </w:p>
        </w:tc>
      </w:tr>
      <w:tr>
        <w:trPr>
          <w:cantSplit/>
        </w:trPr>
        <w:tc>
          <w:tcPr>
            <w:tcW w:type="dxa" w:w="305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docs/data-provenance.md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 (</w:t>
            </w:r>
            <w:hyperlink w:history="1" w:anchor="ch4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1A42A8"/>
                  <w:sz w:val="18"/>
                  <w:szCs w:val="18"/>
                  <w:u w:val="single"/>
                </w:rPr>
                <w:t xml:space="preserve">гл. 4</w:t>
              </w:r>
            </w:hyperlink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)</w:t>
            </w:r>
          </w:p>
        </w:tc>
        <w:tc>
          <w:tcPr>
            <w:tcW w:type="dxa" w:w="658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происхождение данных и нормативов</w:t>
            </w:r>
          </w:p>
        </w:tc>
      </w:tr>
      <w:tr>
        <w:trPr>
          <w:cantSplit/>
        </w:trPr>
        <w:tc>
          <w:tcPr>
            <w:tcW w:type="dxa" w:w="305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docs/LIMITATIONS.md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 (</w:t>
            </w:r>
            <w:hyperlink w:history="1" w:anchor="ch9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1A42A8"/>
                  <w:sz w:val="18"/>
                  <w:szCs w:val="18"/>
                  <w:u w:val="single"/>
                </w:rPr>
                <w:t xml:space="preserve">гл. 9</w:t>
              </w:r>
            </w:hyperlink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)</w:t>
            </w:r>
          </w:p>
        </w:tc>
        <w:tc>
          <w:tcPr>
            <w:tcW w:type="dxa" w:w="658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полностью, частично, прототип (ТЗ §5.7); ограничения и план развития</w:t>
            </w:r>
          </w:p>
        </w:tc>
      </w:tr>
      <w:tr>
        <w:trPr>
          <w:cantSplit/>
        </w:trPr>
        <w:tc>
          <w:tcPr>
            <w:tcW w:type="dxa" w:w="305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docs/TZ-COMPLIANCE.md</w:t>
            </w:r>
          </w:p>
        </w:tc>
        <w:tc>
          <w:tcPr>
            <w:tcW w:type="dxa" w:w="658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трассировка требований ТЗ к коду</w:t>
            </w:r>
          </w:p>
        </w:tc>
      </w:tr>
      <w:tr>
        <w:trPr>
          <w:cantSplit/>
        </w:trPr>
        <w:tc>
          <w:tcPr>
            <w:tcW w:type="dxa" w:w="305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docs/submission/demo-numbers.md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 (</w:t>
            </w:r>
            <w:hyperlink w:history="1" w:anchor="appA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1A42A8"/>
                  <w:sz w:val="18"/>
                  <w:szCs w:val="18"/>
                  <w:u w:val="single"/>
                </w:rPr>
                <w:t xml:space="preserve">прил. А</w:t>
              </w:r>
            </w:hyperlink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)</w:t>
            </w:r>
          </w:p>
        </w:tc>
        <w:tc>
          <w:tcPr>
            <w:tcW w:type="dxa" w:w="658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демо-числа, сгенерированные сборкой</w:t>
            </w:r>
          </w:p>
        </w:tc>
      </w:tr>
      <w:tr>
        <w:trPr>
          <w:cantSplit/>
        </w:trPr>
        <w:tc>
          <w:tcPr>
            <w:tcW w:type="dxa" w:w="305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docs/DEMO-SCRIPT.md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 (</w:t>
            </w:r>
            <w:hyperlink w:history="1" w:anchor="ch11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1A42A8"/>
                  <w:sz w:val="18"/>
                  <w:szCs w:val="18"/>
                  <w:u w:val="single"/>
                </w:rPr>
                <w:t xml:space="preserve">гл. 11</w:t>
              </w:r>
            </w:hyperlink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)</w:t>
            </w:r>
          </w:p>
        </w:tc>
        <w:tc>
          <w:tcPr>
            <w:tcW w:type="dxa" w:w="658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сценарий демонстрации и проверки основных функций</w:t>
            </w:r>
          </w:p>
        </w:tc>
      </w:tr>
      <w:tr>
        <w:trPr>
          <w:cantSplit/>
        </w:trPr>
        <w:tc>
          <w:tcPr>
            <w:tcW w:type="dxa" w:w="305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docs/submission/PRESENTATION-OUTLINE.md</w:t>
            </w:r>
          </w:p>
        </w:tc>
        <w:tc>
          <w:tcPr>
            <w:tcW w:type="dxa" w:w="658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план презентации</w:t>
            </w:r>
          </w:p>
        </w:tc>
      </w:tr>
      <w:tr>
        <w:trPr>
          <w:cantSplit/>
        </w:trPr>
        <w:tc>
          <w:tcPr>
            <w:tcW w:type="dxa" w:w="305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CHANGELOG.md</w:t>
            </w:r>
          </w:p>
        </w:tc>
        <w:tc>
          <w:tcPr>
            <w:tcW w:type="dxa" w:w="658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журнал изменений; изменения, меняющие числа, помечены «МЕНЯЕТ ЧИСЛА»</w:t>
            </w:r>
          </w:p>
        </w:tc>
      </w:tr>
      <w:tr>
        <w:trPr>
          <w:cantSplit/>
        </w:trPr>
        <w:tc>
          <w:tcPr>
            <w:tcW w:type="dxa" w:w="305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docs/TASKS.md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docs/BACKLOG.md</w:t>
            </w:r>
          </w:p>
        </w:tc>
        <w:tc>
          <w:tcPr>
            <w:tcW w:type="dxa" w:w="658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трекер задач и их история</w:t>
            </w:r>
          </w:p>
        </w:tc>
      </w:tr>
    </w:tbl>
    <w:p>
      <w:pPr>
        <w:spacing w:after="60"/>
      </w:pP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В самом продукте: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/methodology/tz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— формулы, нормативы с источниками, процессы, имитация и
версии;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/catalog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— каталог с источником каждой характеристики.</w:t>
      </w:r>
    </w:p>
    <w:p>
      <w:pPr>
        <w:pStyle w:val="Heading2"/>
        <w:keepNext/>
        <w:outlineLvl w:val="1"/>
      </w:pPr>
      <w:bookmarkStart w:name="toc6" w:id="1"/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Прежняя модель v1</w:t>
      </w:r>
      <w:bookmarkEnd w:id="1"/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До официального ТЗ платформа строилась по краткому брифу
(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docs/00-idea-brief.md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): 47 типов объектов, расчёт в долларах,
мастер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/onboarding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. Эта модель заморожена и в демонстрации по ТЗ не участвует; вход в неё —
со страницы «Проекты» и из нижней секции главной. Её документы: методика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/methodology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
словарь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/glossary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docs/CAPABILITY-ANALYSIS.md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
аудиты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docs/AUDIT.md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и
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docs/audit/2026-09-14-audit.html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исторические
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docs/01-prd.md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и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docs/02-execution-plan.md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.</w:t>
      </w:r>
    </w:p>
    <w:p>
      <w:pPr>
        <w:pStyle w:val="Heading1"/>
        <w:pageBreakBefore/>
        <w:outlineLvl w:val="0"/>
      </w:pPr>
      <w:bookmarkStart w:name="ch2" w:id="1"/>
      <w:r>
        <w:t xml:space="preserve">2. Архитектура, модель данных и алгоритм подбора</w:t>
      </w:r>
      <w:bookmarkEnd w:id="1"/>
    </w:p>
    <w:p>
      <w:pPr>
        <w:pBdr>
          <w:bottom w:val="single" w:color="C8CFDB" w:sz="4" w:space="6"/>
        </w:pBdr>
        <w:spacing w:after="200"/>
      </w:pPr>
      <w:r>
        <w:rPr>
          <w:i/>
          <w:iCs/>
          <w:color w:val="6B7280"/>
          <w:sz w:val="17"/>
          <w:szCs w:val="17"/>
        </w:rPr>
        <w:t xml:space="preserve">Источник: docs/ARCHITECTURE.md. Нумерация разделов главы — нумерация этого файла; ссылки «§N» внутри главы указывают на её разделы. Требования: ТЗ §6.1, §6.3, §6.4, §6.8.</w:t>
      </w:r>
    </w:p>
    <w:p>
      <w:pPr>
        <w:pBdr>
          <w:left w:val="single" w:color="9DB0E0" w:sz="18" w:space="10"/>
        </w:pBdr>
        <w:ind w:left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374151"/>
        </w:rPr>
        <w:t xml:space="preserve">Документ для ТЗ §6.1, §6.3, §6.4 и §6.8: аудитория и границы, компоненты, модель данных,
потоки данных, алгоритм подбора, API, безопасность, производительность, библиотеки.
Экономическая модель и имитация — в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374151"/>
        </w:rPr>
        <w:t xml:space="preserve">MODEL-TZ.md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374151"/>
        </w:rPr>
        <w:t xml:space="preserve"> (</w:t>
      </w:r>
      <w:hyperlink w:history="1" w:anchor="ch3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1A42A8"/>
            <w:u w:val="single"/>
          </w:rPr>
          <w:t xml:space="preserve">гл. 3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374151"/>
        </w:rPr>
        <w:t xml:space="preserve">)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374151"/>
        </w:rPr>
        <w:t xml:space="preserve">, статус функций — в
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374151"/>
        </w:rPr>
        <w:t xml:space="preserve">LIMITATIONS.md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374151"/>
        </w:rPr>
        <w:t xml:space="preserve"> (</w:t>
      </w:r>
      <w:hyperlink w:history="1" w:anchor="ch9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1A42A8"/>
            <w:u w:val="single"/>
          </w:rPr>
          <w:t xml:space="preserve">гл. 9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374151"/>
        </w:rPr>
        <w:t xml:space="preserve">)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374151"/>
        </w:rPr>
        <w:t xml:space="preserve">, развёртывание — в
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374151"/>
        </w:rPr>
        <w:t xml:space="preserve">DEPLOY-QUICKSTART.md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374151"/>
        </w:rPr>
        <w:t xml:space="preserve"> (</w:t>
      </w:r>
      <w:hyperlink w:history="1" w:anchor="ch6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1A42A8"/>
            <w:u w:val="single"/>
          </w:rPr>
          <w:t xml:space="preserve">гл. 6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374151"/>
        </w:rPr>
        <w:t xml:space="preserve">)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374151"/>
        </w:rPr>
        <w:t xml:space="preserve">.</w:t>
      </w:r>
    </w:p>
    <w:p>
      <w:pPr>
        <w:pStyle w:val="Heading2"/>
        <w:keepNext/>
        <w:outlineLvl w:val="1"/>
      </w:pPr>
      <w:bookmarkStart w:name="toc8" w:id="1"/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1. Аудитория, сценарии и границы решения (ТЗ §6.1)</w:t>
      </w:r>
      <w:bookmarkEnd w:id="1"/>
    </w:p>
    <w:p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Для кого.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Руководитель склада или распределительного центра, финансовый директор и
инженер по внедрению, которые решают, роботизировать ли процесс и каким решением. Второй
пользователь — администратор платформы (например, аналитик ФЦ БАС), который ведёт каталог,
нормативы и параметры по умолчанию.</w:t>
      </w:r>
    </w:p>
    <w:p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Сценарии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(ТЗ §2.1):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Гость открывает каталог и демонстрационный расчёт на данных организатора без входа.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Пользователь создаёт проект, вводит параметры своего объекта или загружает файл,
получает подбор решений и сравнивает их.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Пользователь сравнивает «Как есть», покупку и услугу (RaaS): CAPEX, OPEX, эффект,
окупаемость, ROI, NPV, TCO, риски.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Пользователь запускает имитацию и проверяет, достижим ли рассчитанный поток.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Пользователь сохраняет проект и выгружает отчёт (PDF через печать), Excel, CSV и PNG.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Администратор актуализирует каталог, нормативы и параметры по умолчанию; каждое его
действие пишется в журнал.</w:t>
      </w:r>
    </w:p>
    <w:p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Границы.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Полная модель — перемещение паллет на складе. Аэропорт и медучреждение — на
уровне выбора, параметров и доступных решений (ТЗ §5.5). Полный перечень того, что сделано
частично или прототипом,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LIMITATIONS.md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(</w:t>
      </w:r>
      <w:hyperlink w:history="1" w:anchor="ch9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1A42A8"/>
            <w:u w:val="single"/>
          </w:rPr>
          <w:t xml:space="preserve">гл. 9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.</w:t>
      </w:r>
    </w:p>
    <w:p>
      <w:pPr>
        <w:pStyle w:val="Heading2"/>
        <w:keepNext/>
        <w:outlineLvl w:val="1"/>
      </w:pPr>
      <w:bookmarkStart w:name="toc9" w:id="1"/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2. Стек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51"/>
        <w:gridCol w:w="3645"/>
        <w:gridCol w:w="4342"/>
      </w:tblGrid>
      <w:tr>
        <w:trPr>
          <w:cantSplit/>
          <w:tblHeader/>
        </w:trPr>
        <w:tc>
          <w:tcPr>
            <w:tcW w:type="dxa" w:w="16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Слой</w:t>
            </w:r>
          </w:p>
        </w:tc>
        <w:tc>
          <w:tcPr>
            <w:tcW w:type="dxa" w:w="364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Технология</w:t>
            </w:r>
          </w:p>
        </w:tc>
        <w:tc>
          <w:tcPr>
            <w:tcW w:type="dxa" w:w="43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Почему</w:t>
            </w:r>
          </w:p>
        </w:tc>
      </w:tr>
      <w:tr>
        <w:trPr>
          <w:cantSplit/>
        </w:trPr>
        <w:tc>
          <w:tcPr>
            <w:tcW w:type="dxa" w:w="16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Веб-приложение</w:t>
            </w:r>
          </w:p>
        </w:tc>
        <w:tc>
          <w:tcPr>
            <w:tcW w:type="dxa" w:w="364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Next.js 16.3 (App Router), React 19.2, TypeScript 5.9</w:t>
            </w:r>
          </w:p>
        </w:tc>
        <w:tc>
          <w:tcPr>
            <w:tcW w:type="dxa" w:w="43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один язык для сервера и браузера: движок расчёта и имитация работают в обоих без копий кода</w:t>
            </w:r>
          </w:p>
        </w:tc>
      </w:tr>
      <w:tr>
        <w:trPr>
          <w:cantSplit/>
        </w:trPr>
        <w:tc>
          <w:tcPr>
            <w:tcW w:type="dxa" w:w="16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Интерфейс</w:t>
            </w:r>
          </w:p>
        </w:tc>
        <w:tc>
          <w:tcPr>
            <w:tcW w:type="dxa" w:w="364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Tailwind CSS 4, компоненты shadcn на Base UI, lucide-react</w:t>
            </w:r>
          </w:p>
        </w:tc>
        <w:tc>
          <w:tcPr>
            <w:tcW w:type="dxa" w:w="43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русский интерфейс без внешних скриптов, совместимый со строгим CSP</w:t>
            </w:r>
          </w:p>
        </w:tc>
      </w:tr>
      <w:tr>
        <w:trPr>
          <w:cantSplit/>
        </w:trPr>
        <w:tc>
          <w:tcPr>
            <w:tcW w:type="dxa" w:w="16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База данных</w:t>
            </w:r>
          </w:p>
        </w:tc>
        <w:tc>
          <w:tcPr>
            <w:tcW w:type="dxa" w:w="364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PostgreSQL 16, Prisma 7 с драйвер-адаптером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@prisma/adapter-pg</w:t>
            </w:r>
          </w:p>
        </w:tc>
        <w:tc>
          <w:tcPr>
            <w:tcW w:type="dxa" w:w="43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реляционная модель каталога и проектов (ТЗ §4.2.4); миграции в репозитории</w:t>
            </w:r>
          </w:p>
        </w:tc>
      </w:tr>
      <w:tr>
        <w:trPr>
          <w:cantSplit/>
        </w:trPr>
        <w:tc>
          <w:tcPr>
            <w:tcW w:type="dxa" w:w="16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Вход</w:t>
            </w:r>
          </w:p>
        </w:tc>
        <w:tc>
          <w:tcPr>
            <w:tcW w:type="dxa" w:w="364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Auth.js v5 (credentials), пароли bcrypt</w:t>
            </w:r>
          </w:p>
        </w:tc>
        <w:tc>
          <w:tcPr>
            <w:tcW w:type="dxa" w:w="43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роли гость, пользователь, администратор (ТЗ §3.1.1)</w:t>
            </w:r>
          </w:p>
        </w:tc>
      </w:tr>
      <w:tr>
        <w:trPr>
          <w:cantSplit/>
        </w:trPr>
        <w:tc>
          <w:tcPr>
            <w:tcW w:type="dxa" w:w="16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Выгрузки</w:t>
            </w:r>
          </w:p>
        </w:tc>
        <w:tc>
          <w:tcPr>
            <w:tcW w:type="dxa" w:w="364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exceljs (XLSX на сервере), собственный CSV без зависимостей</w:t>
            </w:r>
          </w:p>
        </w:tc>
        <w:tc>
          <w:tcPr>
            <w:tcW w:type="dxa" w:w="43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живые формулы в Excel, CSV для русского Excel</w:t>
            </w:r>
          </w:p>
        </w:tc>
      </w:tr>
      <w:tr>
        <w:trPr>
          <w:cantSplit/>
        </w:trPr>
        <w:tc>
          <w:tcPr>
            <w:tcW w:type="dxa" w:w="16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Тесты</w:t>
            </w:r>
          </w:p>
        </w:tc>
        <w:tc>
          <w:tcPr>
            <w:tcW w:type="dxa" w:w="364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Vitest 4 (наборы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unit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 и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db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), Playwright (Chromium)</w:t>
            </w:r>
          </w:p>
        </w:tc>
        <w:tc>
          <w:tcPr>
            <w:tcW w:type="dxa" w:w="43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модель, данные и путь пользователя</w:t>
            </w:r>
          </w:p>
        </w:tc>
      </w:tr>
      <w:tr>
        <w:trPr>
          <w:cantSplit/>
        </w:trPr>
        <w:tc>
          <w:tcPr>
            <w:tcW w:type="dxa" w:w="16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Запуск</w:t>
            </w:r>
          </w:p>
        </w:tc>
        <w:tc>
          <w:tcPr>
            <w:tcW w:type="dxa" w:w="364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Docker (многостадийный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Dockerfile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),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docker-compose.yml</w:t>
            </w:r>
          </w:p>
        </w:tc>
        <w:tc>
          <w:tcPr>
            <w:tcW w:type="dxa" w:w="43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запуск одной командой (ТЗ §4.2.3)</w:t>
            </w:r>
          </w:p>
        </w:tc>
      </w:tr>
    </w:tbl>
    <w:p>
      <w:pPr>
        <w:spacing w:after="60"/>
      </w:pP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Все библиотеки — свободное ПО с открытым исходным кодом (ТЗ §4.2.2). Полный перечень с
версиями и ссылками — §10.</w:t>
      </w:r>
    </w:p>
    <w:p>
      <w:pPr>
        <w:pStyle w:val="Heading2"/>
        <w:keepNext/>
        <w:outlineLvl w:val="1"/>
      </w:pPr>
      <w:bookmarkStart w:name="toc10" w:id="1"/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3. Компоненты</w:t>
      </w:r>
      <w:bookmarkEnd w:id="1"/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Приложение — одно Next.js-приложение с серверной и клиентской частью (ТЗ §4.2.1). Страницы —
серверные компоненты, мутации — серверные действия и обработчики API. Расчёт — чистые функции
TypeScript, которые вызывает и сервер, и браузер.</w:t>
      </w:r>
    </w:p>
    <w:p>
      <w:pPr>
        <w:pStyle w:val="Heading3"/>
        <w:keepNext/>
        <w:outlineLvl w:val="2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3.1 Два слоя: новая модель и замороженная v1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Проект начинался с краткого брифа из четырёх шагов (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00-idea-brief.md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(docs/00-idea-brief.md)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 и
первой модели v1: 47 типов объектов, расчёт в долларах, мастер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/onboarding → /compare → /calculate → /report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. Официальное ТЗ ФЦ БАС шире: рубли, нормативы организатора, проекты со
сценариями, подбор с причинами, имитация, админка, API.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Новая модель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tz-1.0.0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построена </w:t>
      </w: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рядом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а не поверх v1: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у v1 в 58 файлах 484 упоминания долларов и около 25 тестов, закрепляющих числа; перевод на
месте менял бы все числа сразу, без запасного пути;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v1 продолжает работать на своих таблицах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Solution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Assumption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SavedAnalysis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), её
тесты не менялись;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миграция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20260924120000_tz_v2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только добавляет таблицы и колонку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User.role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Инвариант проверяется на каждом шлюзе: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git diff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по путям v1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lib/economics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
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components/calculator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components/facility-visualization.tsx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app/(wizard)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
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app/(app)/report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app/(app)/analyses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lib/wizard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lib/analyses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lib/scene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
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lib/sources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lib/db/queries.ts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и четыре e2e v1) должен быть пуст. Из v1 новая модель только
импортирует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npv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и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discountedPaybackYears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lib/economics/finance.ts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 и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generateLayout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
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lib/scene/layout.ts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 для статичной схемы аэропорта и больницы. v1 убрана с пути жюри и
доступна со страницы «Проекты» и из нижней секции лендинга.</w:t>
      </w:r>
    </w:p>
    <w:p>
      <w:pPr>
        <w:pStyle w:val="Heading3"/>
        <w:keepNext/>
        <w:outlineLvl w:val="2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3.2 Модули новой модели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16"/>
        <w:gridCol w:w="4248"/>
        <w:gridCol w:w="2374"/>
      </w:tblGrid>
      <w:tr>
        <w:trPr>
          <w:cantSplit/>
          <w:tblHeader/>
        </w:trPr>
        <w:tc>
          <w:tcPr>
            <w:tcW w:type="dxa" w:w="301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Модуль</w:t>
            </w:r>
          </w:p>
        </w:tc>
        <w:tc>
          <w:tcPr>
            <w:tcW w:type="dxa" w:w="424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Назначение</w:t>
            </w:r>
          </w:p>
        </w:tc>
        <w:tc>
          <w:tcPr>
            <w:tcW w:type="dxa" w:w="237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Зависит от</w:t>
            </w:r>
          </w:p>
        </w:tc>
      </w:tr>
      <w:tr>
        <w:trPr>
          <w:cantSplit/>
        </w:trPr>
        <w:tc>
          <w:tcPr>
            <w:tcW w:type="dxa" w:w="301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lib/tz/types.ts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version.ts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norms.ts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processes.ts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characteristics.ts</w:t>
            </w:r>
          </w:p>
        </w:tc>
        <w:tc>
          <w:tcPr>
            <w:tcW w:type="dxa" w:w="424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Контракты: словарь типов, версии и хэш данных, нормативы, процессы и типы решений, 31 обязательная характеристика ТЗ §3.3.4</w:t>
            </w:r>
          </w:p>
        </w:tc>
        <w:tc>
          <w:tcPr>
            <w:tcW w:type="dxa" w:w="237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01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lib/data/organizer/*</w:t>
            </w:r>
          </w:p>
        </w:tc>
        <w:tc>
          <w:tcPr>
            <w:tcW w:type="dxa" w:w="424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Данные организатора и исследования: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params.generated.ts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catalog.generated.json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version.generated.ts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 (генерирует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scripts/gen-organizer-seed.ts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), ручные решения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decisions.ts</w:t>
            </w:r>
          </w:p>
        </w:tc>
        <w:tc>
          <w:tcPr>
            <w:tcW w:type="dxa" w:w="237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контракты</w:t>
            </w:r>
          </w:p>
        </w:tc>
      </w:tr>
      <w:tr>
        <w:trPr>
          <w:cantSplit/>
        </w:trPr>
        <w:tc>
          <w:tcPr>
            <w:tcW w:type="dxa" w:w="301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lib/tz/params</w:t>
            </w:r>
          </w:p>
        </w:tc>
        <w:tc>
          <w:tcPr>
            <w:tcW w:type="dxa" w:w="424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Параметры объекта: значения по умолчанию, приведение типов, проверка, разбор Excel/CSV, шаблоны</w:t>
            </w:r>
          </w:p>
        </w:tc>
        <w:tc>
          <w:tcPr>
            <w:tcW w:type="dxa" w:w="237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контракты,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lib/files/csv.ts</w:t>
            </w:r>
          </w:p>
        </w:tc>
      </w:tr>
      <w:tr>
        <w:trPr>
          <w:cantSplit/>
        </w:trPr>
        <w:tc>
          <w:tcPr>
            <w:tcW w:type="dxa" w:w="301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lib/tz/selection</w:t>
            </w:r>
          </w:p>
        </w:tc>
        <w:tc>
          <w:tcPr>
            <w:tcW w:type="dxa" w:w="424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Подбор решений (§6 ниже)</w:t>
            </w:r>
          </w:p>
        </w:tc>
        <w:tc>
          <w:tcPr>
            <w:tcW w:type="dxa" w:w="237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контракты,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lib/tz/econ/fleet.ts</w:t>
            </w:r>
          </w:p>
        </w:tc>
      </w:tr>
      <w:tr>
        <w:trPr>
          <w:cantSplit/>
        </w:trPr>
        <w:tc>
          <w:tcPr>
            <w:tcW w:type="dxa" w:w="301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lib/tz/econ</w:t>
            </w:r>
          </w:p>
        </w:tc>
        <w:tc>
          <w:tcPr>
            <w:tcW w:type="dxa" w:w="424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Движок экономики (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MODEL-TZ.md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 (</w:t>
            </w:r>
            <w:hyperlink w:history="1" w:anchor="ch3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1A42A8"/>
                  <w:sz w:val="18"/>
                  <w:szCs w:val="18"/>
                  <w:u w:val="single"/>
                </w:rPr>
                <w:t xml:space="preserve">гл. 3</w:t>
              </w:r>
            </w:hyperlink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)</w:t>
            </w:r>
          </w:p>
        </w:tc>
        <w:tc>
          <w:tcPr>
            <w:tcW w:type="dxa" w:w="237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контракты,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lib/economics/finance.ts</w:t>
            </w:r>
          </w:p>
        </w:tc>
      </w:tr>
      <w:tr>
        <w:trPr>
          <w:cantSplit/>
        </w:trPr>
        <w:tc>
          <w:tcPr>
            <w:tcW w:type="dxa" w:w="301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lib/sim</w:t>
            </w:r>
          </w:p>
        </w:tc>
        <w:tc>
          <w:tcPr>
            <w:tcW w:type="dxa" w:w="424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Имитация склада: планировка, маршруты, аналитика цикла, движок, метрики, перебор парка</w:t>
            </w:r>
          </w:p>
        </w:tc>
        <w:tc>
          <w:tcPr>
            <w:tcW w:type="dxa" w:w="237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контракты</w:t>
            </w:r>
          </w:p>
        </w:tc>
      </w:tr>
      <w:tr>
        <w:trPr>
          <w:cantSplit/>
        </w:trPr>
        <w:tc>
          <w:tcPr>
            <w:tcW w:type="dxa" w:w="301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lib/tz/model.ts</w:t>
            </w:r>
          </w:p>
        </w:tc>
        <w:tc>
          <w:tcPr>
            <w:tcW w:type="dxa" w:w="424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Сборка модели проекта из всего перечисленного</w:t>
            </w:r>
          </w:p>
        </w:tc>
        <w:tc>
          <w:tcPr>
            <w:tcW w:type="dxa" w:w="237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всё выше</w:t>
            </w:r>
          </w:p>
        </w:tc>
      </w:tr>
      <w:tr>
        <w:trPr>
          <w:cantSplit/>
        </w:trPr>
        <w:tc>
          <w:tcPr>
            <w:tcW w:type="dxa" w:w="301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lib/catalog/*</w:t>
            </w:r>
          </w:p>
        </w:tc>
        <w:tc>
          <w:tcPr>
            <w:tcW w:type="dxa" w:w="424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Доступ к каталогу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queries.ts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), снимок продукта для расчёта, вынесенные колонки, синхронизация данных организатора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sync.ts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)</w:t>
            </w:r>
          </w:p>
        </w:tc>
        <w:tc>
          <w:tcPr>
            <w:tcW w:type="dxa" w:w="237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Prisma</w:t>
            </w:r>
          </w:p>
        </w:tc>
      </w:tr>
      <w:tr>
        <w:trPr>
          <w:cantSplit/>
        </w:trPr>
        <w:tc>
          <w:tcPr>
            <w:tcW w:type="dxa" w:w="301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lib/projects/*</w:t>
            </w:r>
          </w:p>
        </w:tc>
        <w:tc>
          <w:tcPr>
            <w:tcW w:type="dxa" w:w="424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Проекты: сценарии по умолчанию, проверка ввода, журнал, пересчёт на сервере, запросы, серверные действия, действие загрузки файла</w:t>
            </w:r>
          </w:p>
        </w:tc>
        <w:tc>
          <w:tcPr>
            <w:tcW w:type="dxa" w:w="237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Prisma, модель</w:t>
            </w:r>
          </w:p>
        </w:tc>
      </w:tr>
      <w:tr>
        <w:trPr>
          <w:cantSplit/>
        </w:trPr>
        <w:tc>
          <w:tcPr>
            <w:tcW w:type="dxa" w:w="301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lib/report/tz/*</w:t>
            </w:r>
          </w:p>
        </w:tc>
        <w:tc>
          <w:tcPr>
            <w:tcW w:type="dxa" w:w="424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Строки отчёта, CSV, книга XLSX из 13 листов</w:t>
            </w:r>
          </w:p>
        </w:tc>
        <w:tc>
          <w:tcPr>
            <w:tcW w:type="dxa" w:w="237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модель</w:t>
            </w:r>
          </w:p>
        </w:tc>
      </w:tr>
      <w:tr>
        <w:trPr>
          <w:cantSplit/>
        </w:trPr>
        <w:tc>
          <w:tcPr>
            <w:tcW w:type="dxa" w:w="301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lib/admin/actions.ts</w:t>
            </w:r>
          </w:p>
        </w:tc>
        <w:tc>
          <w:tcPr>
            <w:tcW w:type="dxa" w:w="424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Серверные действия администратора</w:t>
            </w:r>
          </w:p>
        </w:tc>
        <w:tc>
          <w:tcPr>
            <w:tcW w:type="dxa" w:w="237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Prisma, каталог</w:t>
            </w:r>
          </w:p>
        </w:tc>
      </w:tr>
      <w:tr>
        <w:trPr>
          <w:cantSplit/>
        </w:trPr>
        <w:tc>
          <w:tcPr>
            <w:tcW w:type="dxa" w:w="301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lib/api/*</w:t>
            </w:r>
          </w:p>
        </w:tc>
        <w:tc>
          <w:tcPr>
            <w:tcW w:type="dxa" w:w="424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API v1: доступ, разбор тела, описание OpenAPI, импорт каталога, нормативы</w:t>
            </w:r>
          </w:p>
        </w:tc>
        <w:tc>
          <w:tcPr>
            <w:tcW w:type="dxa" w:w="237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каталог, проекты</w:t>
            </w:r>
          </w:p>
        </w:tc>
      </w:tr>
      <w:tr>
        <w:trPr>
          <w:cantSplit/>
        </w:trPr>
        <w:tc>
          <w:tcPr>
            <w:tcW w:type="dxa" w:w="301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lib/auth/guards.ts</w:t>
            </w:r>
          </w:p>
        </w:tc>
        <w:tc>
          <w:tcPr>
            <w:tcW w:type="dxa" w:w="424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requireUser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requireAdmin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getAdminUser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isAdminSession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 — роль перечитывается из базы</w:t>
            </w:r>
          </w:p>
        </w:tc>
        <w:tc>
          <w:tcPr>
            <w:tcW w:type="dxa" w:w="237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Auth.js, Prisma</w:t>
            </w:r>
          </w:p>
        </w:tc>
      </w:tr>
      <w:tr>
        <w:trPr>
          <w:cantSplit/>
        </w:trPr>
        <w:tc>
          <w:tcPr>
            <w:tcW w:type="dxa" w:w="301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components/project/*</w:t>
            </w:r>
          </w:p>
        </w:tc>
        <w:tc>
          <w:tcPr>
            <w:tcW w:type="dxa" w:w="424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Рабочая область проекта: шаги, параметры, подбор, сравнение, сценарии, статьи, трассировка, чувствительность, вывод, журнал, нормативы, отчётная панель</w:t>
            </w:r>
          </w:p>
        </w:tc>
        <w:tc>
          <w:tcPr>
            <w:tcW w:type="dxa" w:w="237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модель</w:t>
            </w:r>
          </w:p>
        </w:tc>
      </w:tr>
      <w:tr>
        <w:trPr>
          <w:cantSplit/>
        </w:trPr>
        <w:tc>
          <w:tcPr>
            <w:tcW w:type="dxa" w:w="301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components/sim/*</w:t>
            </w:r>
          </w:p>
        </w:tc>
        <w:tc>
          <w:tcPr>
            <w:tcW w:type="dxa" w:w="424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Интерфейс имитации: канва, управление, показатели, легенда, PNG</w:t>
            </w:r>
          </w:p>
        </w:tc>
        <w:tc>
          <w:tcPr>
            <w:tcW w:type="dxa" w:w="237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lib/sim</w:t>
            </w:r>
          </w:p>
        </w:tc>
      </w:tr>
      <w:tr>
        <w:trPr>
          <w:cantSplit/>
        </w:trPr>
        <w:tc>
          <w:tcPr>
            <w:tcW w:type="dxa" w:w="301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components/catalog/*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components/admin/*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components/report/tz/*</w:t>
            </w:r>
          </w:p>
        </w:tc>
        <w:tc>
          <w:tcPr>
            <w:tcW w:type="dxa" w:w="424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Каталог, админка, печатный отчёт и выгрузки</w:t>
            </w:r>
          </w:p>
        </w:tc>
        <w:tc>
          <w:tcPr>
            <w:tcW w:type="dxa" w:w="237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каталог, отчёт</w:t>
            </w:r>
          </w:p>
        </w:tc>
      </w:tr>
    </w:tbl>
    <w:p>
      <w:pPr>
        <w:spacing w:after="60"/>
      </w:pPr>
    </w:p>
    <w:p>
      <w:pPr>
        <w:pStyle w:val="Heading3"/>
        <w:keepNext/>
        <w:outlineLvl w:val="2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3.3 Маршруты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По сборке CI на коммите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b112b35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в приложении 43 маршрута (страницы и обработчики), все
серверные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ƒ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), плюс служебный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/_not-found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. Маршруты новой модели: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26"/>
        <w:gridCol w:w="1649"/>
        <w:gridCol w:w="3563"/>
      </w:tblGrid>
      <w:tr>
        <w:trPr>
          <w:cantSplit/>
          <w:tblHeader/>
        </w:trPr>
        <w:tc>
          <w:tcPr>
            <w:tcW w:type="dxa" w:w="442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Маршрут</w:t>
            </w:r>
          </w:p>
        </w:tc>
        <w:tc>
          <w:tcPr>
            <w:tcW w:type="dxa" w:w="164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Доступ</w:t>
            </w:r>
          </w:p>
        </w:tc>
        <w:tc>
          <w:tcPr>
            <w:tcW w:type="dxa" w:w="356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442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/</w:t>
            </w:r>
          </w:p>
        </w:tc>
        <w:tc>
          <w:tcPr>
            <w:tcW w:type="dxa" w:w="164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все</w:t>
            </w:r>
          </w:p>
        </w:tc>
        <w:tc>
          <w:tcPr>
            <w:tcW w:type="dxa" w:w="356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лендинг: «Открыть демо-расчёт склада», «Создать проект»; внизу — вход в v1</w:t>
            </w:r>
          </w:p>
        </w:tc>
      </w:tr>
      <w:tr>
        <w:trPr>
          <w:cantSplit/>
        </w:trPr>
        <w:tc>
          <w:tcPr>
            <w:tcW w:type="dxa" w:w="442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/demo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/demo?facility=airport|medical</w:t>
            </w:r>
          </w:p>
        </w:tc>
        <w:tc>
          <w:tcPr>
            <w:tcW w:type="dxa" w:w="164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все</w:t>
            </w:r>
          </w:p>
        </w:tc>
        <w:tc>
          <w:tcPr>
            <w:tcW w:type="dxa" w:w="356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гостевой расчёт на данных организатора без сохранения (ТЗ §3.1.2, §5.5)</w:t>
            </w:r>
          </w:p>
        </w:tc>
      </w:tr>
      <w:tr>
        <w:trPr>
          <w:cantSplit/>
        </w:trPr>
        <w:tc>
          <w:tcPr>
            <w:tcW w:type="dxa" w:w="442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/projects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/projects/new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/projects/[projectId]</w:t>
            </w:r>
          </w:p>
        </w:tc>
        <w:tc>
          <w:tcPr>
            <w:tcW w:type="dxa" w:w="164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пользователь</w:t>
            </w:r>
          </w:p>
        </w:tc>
        <w:tc>
          <w:tcPr>
            <w:tcW w:type="dxa" w:w="356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список, создание, рабочая область из 8 шагов</w:t>
            </w:r>
          </w:p>
        </w:tc>
      </w:tr>
      <w:tr>
        <w:trPr>
          <w:cantSplit/>
        </w:trPr>
        <w:tc>
          <w:tcPr>
            <w:tcW w:type="dxa" w:w="442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/projects/[projectId]/report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/export.xlsx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/export.csv</w:t>
            </w:r>
          </w:p>
        </w:tc>
        <w:tc>
          <w:tcPr>
            <w:tcW w:type="dxa" w:w="164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владелец проекта</w:t>
            </w:r>
          </w:p>
        </w:tc>
        <w:tc>
          <w:tcPr>
            <w:tcW w:type="dxa" w:w="356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отчёт для печати в PDF, выгрузки</w:t>
            </w:r>
          </w:p>
        </w:tc>
      </w:tr>
      <w:tr>
        <w:trPr>
          <w:cantSplit/>
        </w:trPr>
        <w:tc>
          <w:tcPr>
            <w:tcW w:type="dxa" w:w="442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/catalog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/catalog/[slug]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/catalog/compare</w:t>
            </w:r>
          </w:p>
        </w:tc>
        <w:tc>
          <w:tcPr>
            <w:tcW w:type="dxa" w:w="164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все</w:t>
            </w:r>
          </w:p>
        </w:tc>
        <w:tc>
          <w:tcPr>
            <w:tcW w:type="dxa" w:w="356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каталог, карточка с провенансом, сравнение</w:t>
            </w:r>
          </w:p>
        </w:tc>
      </w:tr>
      <w:tr>
        <w:trPr>
          <w:cantSplit/>
        </w:trPr>
        <w:tc>
          <w:tcPr>
            <w:tcW w:type="dxa" w:w="442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/admin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/admin/catalog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/admin/catalog/[slug]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/admin/norms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/admin/params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/admin/data</w:t>
            </w:r>
          </w:p>
        </w:tc>
        <w:tc>
          <w:tcPr>
            <w:tcW w:type="dxa" w:w="164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администратор</w:t>
            </w:r>
          </w:p>
        </w:tc>
        <w:tc>
          <w:tcPr>
            <w:tcW w:type="dxa" w:w="356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админка</w:t>
            </w:r>
          </w:p>
        </w:tc>
      </w:tr>
      <w:tr>
        <w:trPr>
          <w:cantSplit/>
        </w:trPr>
        <w:tc>
          <w:tcPr>
            <w:tcW w:type="dxa" w:w="442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/methodology/tz</w:t>
            </w:r>
          </w:p>
        </w:tc>
        <w:tc>
          <w:tcPr>
            <w:tcW w:type="dxa" w:w="164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все</w:t>
            </w:r>
          </w:p>
        </w:tc>
        <w:tc>
          <w:tcPr>
            <w:tcW w:type="dxa" w:w="356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формулы, нормативы, процессы, имитация, версии, ограничения</w:t>
            </w:r>
          </w:p>
        </w:tc>
      </w:tr>
      <w:tr>
        <w:trPr>
          <w:cantSplit/>
        </w:trPr>
        <w:tc>
          <w:tcPr>
            <w:tcW w:type="dxa" w:w="442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/api/v1/*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/api/v1/openapi.json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/api-docs</w:t>
            </w:r>
          </w:p>
        </w:tc>
        <w:tc>
          <w:tcPr>
            <w:tcW w:type="dxa" w:w="164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по методу</w:t>
            </w:r>
          </w:p>
        </w:tc>
        <w:tc>
          <w:tcPr>
            <w:tcW w:type="dxa" w:w="356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API и его описание</w:t>
            </w:r>
          </w:p>
        </w:tc>
      </w:tr>
      <w:tr>
        <w:trPr>
          <w:cantSplit/>
        </w:trPr>
        <w:tc>
          <w:tcPr>
            <w:tcW w:type="dxa" w:w="442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/api/health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/api/templates/[facility]</w:t>
            </w:r>
          </w:p>
        </w:tc>
        <w:tc>
          <w:tcPr>
            <w:tcW w:type="dxa" w:w="164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все</w:t>
            </w:r>
          </w:p>
        </w:tc>
        <w:tc>
          <w:tcPr>
            <w:tcW w:type="dxa" w:w="356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проверка здоровья, шаблоны параметров</w:t>
            </w:r>
          </w:p>
        </w:tc>
      </w:tr>
    </w:tbl>
    <w:p>
      <w:pPr>
        <w:spacing w:after="60"/>
      </w:pPr>
    </w:p>
    <w:p>
      <w:pPr>
        <w:pStyle w:val="Heading2"/>
        <w:keepNext/>
        <w:outlineLvl w:val="1"/>
      </w:pPr>
      <w:bookmarkStart w:name="toc11" w:id="1"/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4. Модель данных</w:t>
      </w:r>
      <w:bookmarkEnd w:id="1"/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Таблицы новой модели (миграция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20260924120000_tz_v2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 и их связь с таблицами v1
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Industry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FacilityType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и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User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24575" cy="5353050"/>
            <wp:effectExtent t="0" r="0" b="0" l="0"/>
            <wp:docPr id="1" name="er-diagram.png" descr="Модель данных новой модели и её связь с таблицами Industry, FacilityType и User (ER-диаграмма из docs/ARCHITECTURE.md, §4)" title="Модель данных новой модели и её связь с таблицами Industry, FacilityType и User (ER-диаграмма из docs/ARCHITECTURE.md, §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Рисунок 1 — Модель данных новой модели и её связь с таблицами Industry, FacilityType и User (ER-диаграмма из docs/ARCHITECTURE.md, §4)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85"/>
        <w:gridCol w:w="5200"/>
        <w:gridCol w:w="1753"/>
      </w:tblGrid>
      <w:tr>
        <w:trPr>
          <w:cantSplit/>
          <w:tblHeader/>
        </w:trPr>
        <w:tc>
          <w:tcPr>
            <w:tcW w:type="dxa" w:w="268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Таблица</w:t>
            </w:r>
          </w:p>
        </w:tc>
        <w:tc>
          <w:tcPr>
            <w:tcW w:type="dxa" w:w="520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Что хранит</w:t>
            </w:r>
          </w:p>
        </w:tc>
        <w:tc>
          <w:tcPr>
            <w:tcW w:type="dxa" w:w="175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Требование ТЗ</w:t>
            </w:r>
          </w:p>
        </w:tc>
      </w:tr>
      <w:tr>
        <w:trPr>
          <w:cantSplit/>
        </w:trPr>
        <w:tc>
          <w:tcPr>
            <w:tcW w:type="dxa" w:w="268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Process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FacilityTypeProcess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SolutionType</w:t>
            </w:r>
          </w:p>
        </w:tc>
        <w:tc>
          <w:tcPr>
            <w:tcW w:type="dxa" w:w="520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звено «процесс» и «тип решения» иерархии; модель спроса, единицы, признаки «экономика и имитация реализованы»</w:t>
            </w:r>
          </w:p>
        </w:tc>
        <w:tc>
          <w:tcPr>
            <w:tcW w:type="dxa" w:w="175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§3.3.1</w:t>
            </w:r>
          </w:p>
        </w:tc>
      </w:tr>
      <w:tr>
        <w:trPr>
          <w:cantSplit/>
        </w:trPr>
        <w:tc>
          <w:tcPr>
            <w:tcW w:type="dxa" w:w="268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CatalogProduct</w:t>
            </w:r>
          </w:p>
        </w:tc>
        <w:tc>
          <w:tcPr>
            <w:tcW w:type="dxa" w:w="520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продукт каталога; вынесенные колонки (цена, ставка RaaS, производительность, полнота, доля подтверждённых) для фильтров; признаки исключения, архива, правки администратора</w:t>
            </w:r>
          </w:p>
        </w:tc>
        <w:tc>
          <w:tcPr>
            <w:tcW w:type="dxa" w:w="175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§3.3</w:t>
            </w:r>
          </w:p>
        </w:tc>
      </w:tr>
      <w:tr>
        <w:trPr>
          <w:cantSplit/>
        </w:trPr>
        <w:tc>
          <w:tcPr>
            <w:tcW w:type="dxa" w:w="268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ProductCharacteristic</w:t>
            </w:r>
          </w:p>
        </w:tc>
        <w:tc>
          <w:tcPr>
            <w:tcW w:type="dxa" w:w="520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каждая характеристика со значением, единицей, областью («на робота»), происхождением, ссылкой, датой, подтверждением, цитатой «как в источнике» и альтернативами</w:t>
            </w:r>
          </w:p>
        </w:tc>
        <w:tc>
          <w:tcPr>
            <w:tcW w:type="dxa" w:w="175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§3.3.4</w:t>
            </w:r>
          </w:p>
        </w:tc>
      </w:tr>
      <w:tr>
        <w:trPr>
          <w:cantSplit/>
        </w:trPr>
        <w:tc>
          <w:tcPr>
            <w:tcW w:type="dxa" w:w="268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ParamDefinition</w:t>
            </w:r>
          </w:p>
        </w:tc>
        <w:tc>
          <w:tcPr>
            <w:tcW w:type="dxa" w:w="520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описание параметра объекта: подпись, единица, вид, значение по умолчанию, диапазон, обязательность, подсказка, пример, источник</w:t>
            </w:r>
          </w:p>
        </w:tc>
        <w:tc>
          <w:tcPr>
            <w:tcW w:type="dxa" w:w="175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§3.1.4, §3.2.4–§3.2.6</w:t>
            </w:r>
          </w:p>
        </w:tc>
      </w:tr>
      <w:tr>
        <w:trPr>
          <w:cantSplit/>
        </w:trPr>
        <w:tc>
          <w:tcPr>
            <w:tcW w:type="dxa" w:w="268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Norm</w:t>
            </w:r>
          </w:p>
        </w:tc>
        <w:tc>
          <w:tcPr>
            <w:tcW w:type="dxa" w:w="520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норматив расчёта с диапазоном и основанием</w:t>
            </w:r>
          </w:p>
        </w:tc>
        <w:tc>
          <w:tcPr>
            <w:tcW w:type="dxa" w:w="175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§3.1.4, §3.5.1</w:t>
            </w:r>
          </w:p>
        </w:tc>
      </w:tr>
      <w:tr>
        <w:trPr>
          <w:cantSplit/>
        </w:trPr>
        <w:tc>
          <w:tcPr>
            <w:tcW w:type="dxa" w:w="268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DataRelease</w:t>
            </w:r>
          </w:p>
        </w:tc>
        <w:tc>
          <w:tcPr>
            <w:tcW w:type="dxa" w:w="520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выпуск данных организатора: версия и состав выгрузок</w:t>
            </w:r>
          </w:p>
        </w:tc>
        <w:tc>
          <w:tcPr>
            <w:tcW w:type="dxa" w:w="175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§3.1.5</w:t>
            </w:r>
          </w:p>
        </w:tc>
      </w:tr>
      <w:tr>
        <w:trPr>
          <w:cantSplit/>
        </w:trPr>
        <w:tc>
          <w:tcPr>
            <w:tcW w:type="dxa" w:w="268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Project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Scenario</w:t>
            </w:r>
          </w:p>
        </w:tc>
        <w:tc>
          <w:tcPr>
            <w:tcW w:type="dxa" w:w="520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проект пользователя, сценарии, снимок расчёта с версиями модели и данных</w:t>
            </w:r>
          </w:p>
        </w:tc>
        <w:tc>
          <w:tcPr>
            <w:tcW w:type="dxa" w:w="175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§3.1.3, §3.1.5</w:t>
            </w:r>
          </w:p>
        </w:tc>
      </w:tr>
      <w:tr>
        <w:trPr>
          <w:cantSplit/>
        </w:trPr>
        <w:tc>
          <w:tcPr>
            <w:tcW w:type="dxa" w:w="268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ChangeLog</w:t>
            </w:r>
          </w:p>
        </w:tc>
        <w:tc>
          <w:tcPr>
            <w:tcW w:type="dxa" w:w="520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единый журнал: корректировки сценариев и действия администратора</w:t>
            </w:r>
          </w:p>
        </w:tc>
        <w:tc>
          <w:tcPr>
            <w:tcW w:type="dxa" w:w="175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§3.5.4, §3.3.5</w:t>
            </w:r>
          </w:p>
        </w:tc>
      </w:tr>
    </w:tbl>
    <w:p>
      <w:pPr>
        <w:spacing w:after="60"/>
      </w:pP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Ключевые решения: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Провенанс по полю, а не по продукту.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Ссылка, дата и подтверждение живут в каждой
строке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ProductCharacteristic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; вынесенные колонки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CatalogProduct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пересчитываются из
характеристик функцией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promoteColumns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руками их не правят.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Снимок расчёта в проекте.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Project.results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хранит входы, результаты, снимки продуктов
сценариев, использованные нормативы и сводки имитации. Повторное открытие воспроизводит
расчёт из снимка бит-в-бит; если живые данные или модель изменились, показывается баннер
«Пересчитать на актуальных данных».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Журнал — таблица, а не массив в проекте.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Две одновременные записи не теряют друг друга.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Каскад.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Удаление проекта удаляет сценарии и журнал проекта. Загруженные файлы не
хранятся, поэтому удалять больше нечего (ТЗ §4.4.6).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Архив вместо удаления.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Продукт организатора, пропавший из данных, уходит в архив: на
его снимок может ссылаться сохранённый проект.</w:t>
      </w:r>
    </w:p>
    <w:p>
      <w:pPr>
        <w:pStyle w:val="Heading2"/>
        <w:keepNext/>
        <w:outlineLvl w:val="1"/>
      </w:pPr>
      <w:bookmarkStart w:name="toc12" w:id="1"/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5. Потоки данных</w:t>
      </w:r>
      <w:bookmarkEnd w:id="1"/>
    </w:p>
    <w:p>
      <w:pPr>
        <w:keepNext/>
        <w:spacing w:after="60" w:before="120"/>
        <w:jc w:val="center"/>
      </w:pPr>
      <w:r>
        <w:drawing>
          <wp:inline distT="0" distB="0" distL="0" distR="0">
            <wp:extent cx="2524125" cy="8096250"/>
            <wp:effectExtent t="0" r="0" b="0" l="0"/>
            <wp:docPr id="1" name="data-flow.png" descr="Потоки данных: от файлов организатора до рабочей области, отчёта и выгрузок (docs/ARCHITECTURE.md, §5)" title="Потоки данных: от файлов организатора до рабочей области, отчёта и выгрузок (docs/ARCHITECTURE.md, §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809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Рисунок 2 — Потоки данных: от файлов организатора до рабочей области, отчёта и выгрузок (docs/ARCHITECTURE.md, §5)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Данные организатора.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Генератор читает JSON-выгрузки из папки вне репозитория
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ORGANIZER_DATA_DIR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 и пишет модули в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lib/data/organizer/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. Оригиналы организатора в
репозиторий не попадают. Подробности и правила выбора значений —
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data-provenance.md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(</w:t>
      </w:r>
      <w:hyperlink w:history="1" w:anchor="ch4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1A42A8"/>
            <w:u w:val="single"/>
          </w:rPr>
          <w:t xml:space="preserve">гл. 4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Сев.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npm run db:seed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засевает справочники v1 и вызывает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seedV2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: синхронизация
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syncOrganizerData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: типы решений, процессы, связи, параметры, нормативы, продукты,
выпуск данных), демо-аккаунты и демо-проект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demo-warehouse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. Повторный сев на тех же
данных ничего не меняет в новом слое, кроме пересоздания демо-проекта.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Расчёт в браузере.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Рабочая область и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/demo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получают с сервера параметры, продукты и
нормативы и считают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buildProjectModel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прямо в браузере по кнопке «Пересчитать». После
каждого пересчёта имитация прогоняется по частям с отменой и бюджетом 60 с.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Сохранение.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Серверное действие заново считает модель на снимке сохранённого расчёта
(результатам браузера сервер не доверяет), прогоняет имитацию и перебор парка, пишет
параметры, сценарии, результаты с версиями и журнал в одной транзакции.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Отчёт и выгрузки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строятся из сохранённого результата и ничего не пересчитывают,
поэтому печатный отчёт, XLSX, CSV и рабочая область совпадают.</w:t>
      </w:r>
    </w:p>
    <w:p>
      <w:pPr>
        <w:pStyle w:val="Heading2"/>
        <w:keepNext/>
        <w:outlineLvl w:val="1"/>
      </w:pPr>
      <w:bookmarkStart w:name="toc13" w:id="1"/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6. Алгоритм подбора и ранжирования (ТЗ §6.4)</w:t>
      </w:r>
      <w:bookmarkEnd w:id="1"/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Подбор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lib/tz/selection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 выполняется по каждому процессу объекта на продуктах этого
процесса и его типов решений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relevantProducts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 — до экономики сценариев.</w:t>
      </w:r>
    </w:p>
    <w:p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Шаги.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Жёсткие правила R1–R6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исключают продукт и пишут причину с числами объекта и продукта,
например «DMR 600: грузоподъёмность 600 кг &lt; масса груза 800 кг».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Мягкие правила S1–S8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добавляют ограничения, продукт остаётся кандидатом.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Правила данных D1–D4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называют недостающие данные и подсказывают, как их заполнить.
Продукт без пригодной производительности и без цикла получает статус «Недостаточно
данных». Пригодность нормы решает тот же код, что движок экономики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normThroughput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),
поэтому «кандидат» в подборе всегда считается в сценарии покупки.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Пометка «требует проверки»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: флаги качества данных, расхождения источников,
неподтверждённые цена или производительность, полнота карточки ниже 60 %.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Балл 0–100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= round(Σ вес × значение фактора × 100). Факторы и веса (нормативы
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scoreWeight*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их меняет администратор, сумма приводится к 1):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экономика 0,40 — NPV покупки, нормированный min-max среди кандидатов процесса;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данные 0,20 — полнота карточки × доля подтверждённых характеристик;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зрелость 0,15 — серийная эксплуатация 1, пилот 0,6;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запас 0,15 — по грузоподъёмности (полный балл от +50 %) и по ширине прохода (полный балл
от 1 м); без данных засчитывается половина;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кейсы 0,10.</w:t>
      </w:r>
    </w:p>
    <w:p>
      <w:pPr>
        <w:spacing w:after="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У каждого вклада есть объяснение с числами, например «Экономика: 40 из 40 — NPV покупки …,
лучший среди N кандидатов». Исключённые продукты балла не получают.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Статусы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: «Рекомендуется» (лучший по баллу кандидат с рассчитанным NPV покупки, не
больше одного на процесс), «Подходит», «Недостаточно данных», «Исключён». Исключённое
решение пользователь может добавить вручную с обязательной причиной; оно помечается ⚠ во
всех таблицах, отчёте и XLSX, пишется в журнал и не рекомендуется.</w:t>
      </w:r>
    </w:p>
    <w:p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Правила и константы подбора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(сгенерировано из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SELECTION_RULES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и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SELECTION_CONSTANTS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6"/>
        <w:gridCol w:w="1625"/>
        <w:gridCol w:w="2845"/>
        <w:gridCol w:w="4652"/>
      </w:tblGrid>
      <w:tr>
        <w:trPr>
          <w:cantSplit/>
          <w:tblHeader/>
        </w:trPr>
        <w:tc>
          <w:tcPr>
            <w:tcW w:type="dxa" w:w="51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7"/>
                <w:szCs w:val="17"/>
              </w:rPr>
              <w:t xml:space="preserve">Код</w:t>
            </w:r>
          </w:p>
        </w:tc>
        <w:tc>
          <w:tcPr>
            <w:tcW w:type="dxa" w:w="162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7"/>
                <w:szCs w:val="17"/>
              </w:rPr>
              <w:t xml:space="preserve">Вид</w:t>
            </w:r>
          </w:p>
        </w:tc>
        <w:tc>
          <w:tcPr>
            <w:tcW w:type="dxa" w:w="284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7"/>
                <w:szCs w:val="17"/>
              </w:rPr>
              <w:t xml:space="preserve">Правило</w:t>
            </w:r>
          </w:p>
        </w:tc>
        <w:tc>
          <w:tcPr>
            <w:tcW w:type="dxa" w:w="465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7"/>
                <w:szCs w:val="17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51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R1</w:t>
            </w:r>
          </w:p>
        </w:tc>
        <w:tc>
          <w:tcPr>
            <w:tcW w:type="dxa" w:w="162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жёсткое (исключает)</w:t>
            </w:r>
          </w:p>
        </w:tc>
        <w:tc>
          <w:tcPr>
            <w:tcW w:type="dxa" w:w="284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Статус НИОКР</w:t>
            </w:r>
          </w:p>
        </w:tc>
        <w:tc>
          <w:tcPr>
            <w:tcW w:type="dxa" w:w="465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Продукт в стадии НИОКР в расчёт не включается: серийных поставок нет.</w:t>
            </w:r>
          </w:p>
        </w:tc>
      </w:tr>
      <w:tr>
        <w:trPr>
          <w:cantSplit/>
        </w:trPr>
        <w:tc>
          <w:tcPr>
            <w:tcW w:type="dxa" w:w="51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R2</w:t>
            </w:r>
          </w:p>
        </w:tc>
        <w:tc>
          <w:tcPr>
            <w:tcW w:type="dxa" w:w="162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жёсткое (исключает)</w:t>
            </w:r>
          </w:p>
        </w:tc>
        <w:tc>
          <w:tcPr>
            <w:tcW w:type="dxa" w:w="284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Модель не найдена, вариант не опубликован, опытный образец</w:t>
            </w:r>
          </w:p>
        </w:tc>
        <w:tc>
          <w:tcPr>
            <w:tcW w:type="dxa" w:w="465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Продукт с пометкой каталога «модель не найдена у производителя», «вариант не опубликован» или «опытный образец» исключается: заказать его нельзя.</w:t>
            </w:r>
          </w:p>
        </w:tc>
      </w:tr>
      <w:tr>
        <w:trPr>
          <w:cantSplit/>
        </w:trPr>
        <w:tc>
          <w:tcPr>
            <w:tcW w:type="dxa" w:w="51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R3</w:t>
            </w:r>
          </w:p>
        </w:tc>
        <w:tc>
          <w:tcPr>
            <w:tcW w:type="dxa" w:w="162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жёсткое (исключает)</w:t>
            </w:r>
          </w:p>
        </w:tc>
        <w:tc>
          <w:tcPr>
            <w:tcW w:type="dxa" w:w="284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Грузоподъёмность</w:t>
            </w:r>
          </w:p>
        </w:tc>
        <w:tc>
          <w:tcPr>
            <w:tcW w:type="dxa" w:w="465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Грузоподъёмность продукта меньше средней массы груза объекта — робот не повезёт груз.</w:t>
            </w:r>
          </w:p>
        </w:tc>
      </w:tr>
      <w:tr>
        <w:trPr>
          <w:cantSplit/>
        </w:trPr>
        <w:tc>
          <w:tcPr>
            <w:tcW w:type="dxa" w:w="51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R4</w:t>
            </w:r>
          </w:p>
        </w:tc>
        <w:tc>
          <w:tcPr>
            <w:tcW w:type="dxa" w:w="162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жёсткое (исключает)</w:t>
            </w:r>
          </w:p>
        </w:tc>
        <w:tc>
          <w:tcPr>
            <w:tcW w:type="dxa" w:w="284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Ширина проходов</w:t>
            </w:r>
          </w:p>
        </w:tc>
        <w:tc>
          <w:tcPr>
            <w:tcW w:type="dxa" w:w="465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Ширина, нужная роботу для разворота (или, если она не опубликована, минимальная ширина прохода), больше ширины рабочих проходов объекта; или минимальная ширина прохода больше ширины главных проездов.</w:t>
            </w:r>
          </w:p>
        </w:tc>
      </w:tr>
      <w:tr>
        <w:trPr>
          <w:cantSplit/>
        </w:trPr>
        <w:tc>
          <w:tcPr>
            <w:tcW w:type="dxa" w:w="51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R5</w:t>
            </w:r>
          </w:p>
        </w:tc>
        <w:tc>
          <w:tcPr>
            <w:tcW w:type="dxa" w:w="162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жёсткое (исключает)</w:t>
            </w:r>
          </w:p>
        </w:tc>
        <w:tc>
          <w:tcPr>
            <w:tcW w:type="dxa" w:w="284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Температура</w:t>
            </w:r>
          </w:p>
        </w:tc>
        <w:tc>
          <w:tcPr>
            <w:tcW w:type="dxa" w:w="465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Рабочие температуры продукта не покрывают температурный режим хранения (нормальный +5…+25 °C, охлаждаемый 0…+5 °C, морозильный ниже −18 °C) или минимальную температуру открытой площадки объекта.</w:t>
            </w:r>
          </w:p>
        </w:tc>
      </w:tr>
      <w:tr>
        <w:trPr>
          <w:cantSplit/>
        </w:trPr>
        <w:tc>
          <w:tcPr>
            <w:tcW w:type="dxa" w:w="51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R6</w:t>
            </w:r>
          </w:p>
        </w:tc>
        <w:tc>
          <w:tcPr>
            <w:tcW w:type="dxa" w:w="162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жёсткое (исключает)</w:t>
            </w:r>
          </w:p>
        </w:tc>
        <w:tc>
          <w:tcPr>
            <w:tcW w:type="dxa" w:w="284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Процесс и тип объекта</w:t>
            </w:r>
          </w:p>
        </w:tc>
        <w:tc>
          <w:tcPr>
            <w:tcW w:type="dxa" w:w="465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Продукт не обслуживает процесс или тип объекта, либо исключён из подбора в каталоге (причина указана в карточке).</w:t>
            </w:r>
          </w:p>
        </w:tc>
      </w:tr>
      <w:tr>
        <w:trPr>
          <w:cantSplit/>
        </w:trPr>
        <w:tc>
          <w:tcPr>
            <w:tcW w:type="dxa" w:w="51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S1</w:t>
            </w:r>
          </w:p>
        </w:tc>
        <w:tc>
          <w:tcPr>
            <w:tcW w:type="dxa" w:w="162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мягкое (ограничение)</w:t>
            </w:r>
          </w:p>
        </w:tc>
        <w:tc>
          <w:tcPr>
            <w:tcW w:type="dxa" w:w="284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Малый запас грузоподъёмности</w:t>
            </w:r>
          </w:p>
        </w:tc>
        <w:tc>
          <w:tcPr>
            <w:tcW w:type="dxa" w:w="465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Запас грузоподъёмности над средней массой груза меньше 20 %.</w:t>
            </w:r>
          </w:p>
        </w:tc>
      </w:tr>
      <w:tr>
        <w:trPr>
          <w:cantSplit/>
        </w:trPr>
        <w:tc>
          <w:tcPr>
            <w:tcW w:type="dxa" w:w="51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S2</w:t>
            </w:r>
          </w:p>
        </w:tc>
        <w:tc>
          <w:tcPr>
            <w:tcW w:type="dxa" w:w="162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мягкое (ограничение)</w:t>
            </w:r>
          </w:p>
        </w:tc>
        <w:tc>
          <w:tcPr>
            <w:tcW w:type="dxa" w:w="284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Высота подъёма</w:t>
            </w:r>
          </w:p>
        </w:tc>
        <w:tc>
          <w:tcPr>
            <w:tcW w:type="dxa" w:w="465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Робот, который перевозит груз (вилочный, подъёмный, тягач), не поднимает его до верхнего яруса стеллажей: он берёт горизонтальную транспортировку, размещение на верхние ярусы остаётся за погрузчиками. У робота инвентаризации высота подъёма ниже верхнего яруса означает, что охват верхних ярусов при сканировании требует проверки. Стационарных систем и уборщиков правило не касается.</w:t>
            </w:r>
          </w:p>
        </w:tc>
      </w:tr>
      <w:tr>
        <w:trPr>
          <w:cantSplit/>
        </w:trPr>
        <w:tc>
          <w:tcPr>
            <w:tcW w:type="dxa" w:w="51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S3</w:t>
            </w:r>
          </w:p>
        </w:tc>
        <w:tc>
          <w:tcPr>
            <w:tcW w:type="dxa" w:w="162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мягкое (ограничение)</w:t>
            </w:r>
          </w:p>
        </w:tc>
        <w:tc>
          <w:tcPr>
            <w:tcW w:type="dxa" w:w="284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Нет WMS</w:t>
            </w:r>
          </w:p>
        </w:tc>
        <w:tc>
          <w:tcPr>
            <w:tcW w:type="dxa" w:w="465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Без WMS парк роботов не получает задания автоматически — интеграция потребует доработки.</w:t>
            </w:r>
          </w:p>
        </w:tc>
      </w:tr>
      <w:tr>
        <w:trPr>
          <w:cantSplit/>
        </w:trPr>
        <w:tc>
          <w:tcPr>
            <w:tcW w:type="dxa" w:w="51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S4</w:t>
            </w:r>
          </w:p>
        </w:tc>
        <w:tc>
          <w:tcPr>
            <w:tcW w:type="dxa" w:w="162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мягкое (ограничение)</w:t>
            </w:r>
          </w:p>
        </w:tc>
        <w:tc>
          <w:tcPr>
            <w:tcW w:type="dxa" w:w="284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Несколько этажей</w:t>
            </w:r>
          </w:p>
        </w:tc>
        <w:tc>
          <w:tcPr>
            <w:tcW w:type="dxa" w:w="465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Для мобильных роботов межэтажный транспорт (лифты, подъёмники) в расчёт не входит.</w:t>
            </w:r>
          </w:p>
        </w:tc>
      </w:tr>
      <w:tr>
        <w:trPr>
          <w:cantSplit/>
        </w:trPr>
        <w:tc>
          <w:tcPr>
            <w:tcW w:type="dxa" w:w="51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S5</w:t>
            </w:r>
          </w:p>
        </w:tc>
        <w:tc>
          <w:tcPr>
            <w:tcW w:type="dxa" w:w="162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мягкое (ограничение)</w:t>
            </w:r>
          </w:p>
        </w:tc>
        <w:tc>
          <w:tcPr>
            <w:tcW w:type="dxa" w:w="284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Перестройка стеллажей под шаттл</w:t>
            </w:r>
          </w:p>
        </w:tc>
        <w:tc>
          <w:tcPr>
            <w:tcW w:type="dxa" w:w="465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Паллетному шаттлу нужны канальные стеллажи; при фронтальных стеллажах перестройка в CAPEX не входит.</w:t>
            </w:r>
          </w:p>
        </w:tc>
      </w:tr>
      <w:tr>
        <w:trPr>
          <w:cantSplit/>
        </w:trPr>
        <w:tc>
          <w:tcPr>
            <w:tcW w:type="dxa" w:w="51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S6</w:t>
            </w:r>
          </w:p>
        </w:tc>
        <w:tc>
          <w:tcPr>
            <w:tcW w:type="dxa" w:w="162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мягкое (ограничение)</w:t>
            </w:r>
          </w:p>
        </w:tc>
        <w:tc>
          <w:tcPr>
            <w:tcW w:type="dxa" w:w="284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Требует проверки</w:t>
            </w:r>
          </w:p>
        </w:tc>
        <w:tc>
          <w:tcPr>
            <w:tcW w:type="dxa" w:w="465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Пометки качества данных каталога (характеристики другого продукта, спорный производитель, разные или условные цены и др.), неподтверждённые цена или производительность, полнота карточки меньше 60 %.</w:t>
            </w:r>
          </w:p>
        </w:tc>
      </w:tr>
      <w:tr>
        <w:trPr>
          <w:cantSplit/>
        </w:trPr>
        <w:tc>
          <w:tcPr>
            <w:tcW w:type="dxa" w:w="51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S7</w:t>
            </w:r>
          </w:p>
        </w:tc>
        <w:tc>
          <w:tcPr>
            <w:tcW w:type="dxa" w:w="162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мягкое (ограничение)</w:t>
            </w:r>
          </w:p>
        </w:tc>
        <w:tc>
          <w:tcPr>
            <w:tcW w:type="dxa" w:w="284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Пилотная эксплуатация</w:t>
            </w:r>
          </w:p>
        </w:tc>
        <w:tc>
          <w:tcPr>
            <w:tcW w:type="dxa" w:w="465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Продукт в пилотной эксплуатации: серийной истории нет.</w:t>
            </w:r>
          </w:p>
        </w:tc>
      </w:tr>
      <w:tr>
        <w:trPr>
          <w:cantSplit/>
        </w:trPr>
        <w:tc>
          <w:tcPr>
            <w:tcW w:type="dxa" w:w="51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S8</w:t>
            </w:r>
          </w:p>
        </w:tc>
        <w:tc>
          <w:tcPr>
            <w:tcW w:type="dxa" w:w="162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мягкое (ограничение)</w:t>
            </w:r>
          </w:p>
        </w:tc>
        <w:tc>
          <w:tcPr>
            <w:tcW w:type="dxa" w:w="284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Производительность по циклу</w:t>
            </w:r>
          </w:p>
        </w:tc>
        <w:tc>
          <w:tcPr>
            <w:tcW w:type="dxa" w:w="465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Паспортная производительность не опубликована или не проходит правило движка экономики (значение на один робот или станцию, в единицах процесса, не предел «до …») — в расчёт парка идёт цикл по скорости робота и планировке объекта.</w:t>
            </w:r>
          </w:p>
        </w:tc>
      </w:tr>
      <w:tr>
        <w:trPr>
          <w:cantSplit/>
        </w:trPr>
        <w:tc>
          <w:tcPr>
            <w:tcW w:type="dxa" w:w="51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D1</w:t>
            </w:r>
          </w:p>
        </w:tc>
        <w:tc>
          <w:tcPr>
            <w:tcW w:type="dxa" w:w="162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данные (пробел)</w:t>
            </w:r>
          </w:p>
        </w:tc>
        <w:tc>
          <w:tcPr>
            <w:tcW w:type="dxa" w:w="284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Недостаточно данных</w:t>
            </w:r>
          </w:p>
        </w:tc>
        <w:tc>
          <w:tcPr>
            <w:tcW w:type="dxa" w:w="465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Нет ни паспортной производительности, пригодной для движка экономики (на один робот или станцию, в единицах процесса, не «до …»), ни цикла (мобильный робот со скоростью в процессе с имитацией) — парк посчитать нельзя, продукт получает статус «Недостаточно данных». Правило одно с движком: подбор не показывает «Кандидат», если расчёт покупки откажет из-за производительности.</w:t>
            </w:r>
          </w:p>
        </w:tc>
      </w:tr>
      <w:tr>
        <w:trPr>
          <w:cantSplit/>
        </w:trPr>
        <w:tc>
          <w:tcPr>
            <w:tcW w:type="dxa" w:w="51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D2</w:t>
            </w:r>
          </w:p>
        </w:tc>
        <w:tc>
          <w:tcPr>
            <w:tcW w:type="dxa" w:w="162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данные (пробел)</w:t>
            </w:r>
          </w:p>
        </w:tc>
        <w:tc>
          <w:tcPr>
            <w:tcW w:type="dxa" w:w="284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Нет цены</w:t>
            </w:r>
          </w:p>
        </w:tc>
        <w:tc>
          <w:tcPr>
            <w:tcW w:type="dxa" w:w="465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Без цены оборудования сценарий покупки не рассчитывается.</w:t>
            </w:r>
          </w:p>
        </w:tc>
      </w:tr>
      <w:tr>
        <w:trPr>
          <w:cantSplit/>
        </w:trPr>
        <w:tc>
          <w:tcPr>
            <w:tcW w:type="dxa" w:w="51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D3</w:t>
            </w:r>
          </w:p>
        </w:tc>
        <w:tc>
          <w:tcPr>
            <w:tcW w:type="dxa" w:w="162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данные (пробел)</w:t>
            </w:r>
          </w:p>
        </w:tc>
        <w:tc>
          <w:tcPr>
            <w:tcW w:type="dxa" w:w="284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Нет ставки RaaS</w:t>
            </w:r>
          </w:p>
        </w:tc>
        <w:tc>
          <w:tcPr>
            <w:tcW w:type="dxa" w:w="465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Без ставки аренды сценарий услуги не рассчитывается; её можно подставить оценкой по нормативу.</w:t>
            </w:r>
          </w:p>
        </w:tc>
      </w:tr>
      <w:tr>
        <w:trPr>
          <w:cantSplit/>
        </w:trPr>
        <w:tc>
          <w:tcPr>
            <w:tcW w:type="dxa" w:w="51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D4</w:t>
            </w:r>
          </w:p>
        </w:tc>
        <w:tc>
          <w:tcPr>
            <w:tcW w:type="dxa" w:w="162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данные (пробел)</w:t>
            </w:r>
          </w:p>
        </w:tc>
        <w:tc>
          <w:tcPr>
            <w:tcW w:type="dxa" w:w="284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Ограничение нельзя проверить</w:t>
            </w:r>
          </w:p>
        </w:tc>
        <w:tc>
          <w:tcPr>
            <w:tcW w:type="dxa" w:w="465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Производитель не публикует грузоподъёмность, ширину прохода или рабочие температуры, которые нужны для проверки ограничений объекта, — продукт требует проверки.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47"/>
        <w:gridCol w:w="1060"/>
        <w:gridCol w:w="1325"/>
        <w:gridCol w:w="1606"/>
      </w:tblGrid>
      <w:tr>
        <w:trPr>
          <w:cantSplit/>
          <w:tblHeader/>
        </w:trPr>
        <w:tc>
          <w:tcPr>
            <w:tcW w:type="dxa" w:w="564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7"/>
                <w:szCs w:val="17"/>
              </w:rPr>
              <w:t xml:space="preserve">Константа</w:t>
            </w:r>
          </w:p>
        </w:tc>
        <w:tc>
          <w:tcPr>
            <w:tcW w:type="dxa" w:w="106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7"/>
                <w:szCs w:val="17"/>
              </w:rPr>
              <w:t xml:space="preserve">Значение</w:t>
            </w:r>
          </w:p>
        </w:tc>
        <w:tc>
          <w:tcPr>
            <w:tcW w:type="dxa" w:w="132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7"/>
                <w:szCs w:val="17"/>
              </w:rPr>
              <w:t xml:space="preserve">Ед.</w:t>
            </w:r>
          </w:p>
        </w:tc>
        <w:tc>
          <w:tcPr>
            <w:tcW w:type="dxa" w:w="160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7"/>
                <w:szCs w:val="17"/>
              </w:rPr>
              <w:t xml:space="preserve">Происхождение</w:t>
            </w:r>
          </w:p>
        </w:tc>
      </w:tr>
      <w:tr>
        <w:trPr>
          <w:cantSplit/>
          <w:tblHeader/>
        </w:trPr>
        <w:tc>
          <w:tcPr>
            <w:tcW w:type="dxa" w:w="9638"/>
            <w:gridSpan w:val="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7"/>
                <w:szCs w:val="17"/>
              </w:rPr>
              <w:t xml:space="preserve">↳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7"/>
                <w:szCs w:val="17"/>
              </w:rPr>
              <w:t xml:space="preserve">Обоснование</w:t>
            </w:r>
          </w:p>
        </w:tc>
      </w:tr>
      <w:tr>
        <w:trPr>
          <w:cantSplit/>
        </w:trPr>
        <w:tc>
          <w:tcPr>
            <w:tcW w:type="dxa" w:w="5647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Малый запас грузоподъёмности — предупреждение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payloadMarginWarnShare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)</w:t>
            </w:r>
          </w:p>
        </w:tc>
        <w:tc>
          <w:tcPr>
            <w:tcW w:type="dxa" w:w="1060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0,2</w:t>
            </w:r>
          </w:p>
        </w:tc>
        <w:tc>
          <w:tcPr>
            <w:tcW w:type="dxa" w:w="1325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доля массы груза</w:t>
            </w:r>
          </w:p>
        </w:tc>
        <w:tc>
          <w:tcPr>
            <w:tcW w:type="dxa" w:w="1606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Наш выбор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color="E3E7EE" w:sz="2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30"/>
              <w:left w:type="dxa" w:w="80"/>
              <w:bottom w:type="dxa" w:w="7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74151"/>
                <w:sz w:val="17"/>
                <w:szCs w:val="17"/>
              </w:rPr>
              <w:t xml:space="preserve">Масса паллеты в датасете — средняя, отдельные паллеты тяжелее. Если грузоподъёмность превышает среднюю массу груза меньше чем на 20 %, подбор предупреждает: робот на пределе паспорта. Порог — наш выбор, это предупреждение, а не исключение.</w:t>
            </w:r>
          </w:p>
        </w:tc>
      </w:tr>
      <w:tr>
        <w:trPr>
          <w:cantSplit/>
        </w:trPr>
        <w:tc>
          <w:tcPr>
            <w:tcW w:type="dxa" w:w="5647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Запас грузоподъёмности для полного балла фактора «Запас»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payloadMarginFullShare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)</w:t>
            </w:r>
          </w:p>
        </w:tc>
        <w:tc>
          <w:tcPr>
            <w:tcW w:type="dxa" w:w="1060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0,5</w:t>
            </w:r>
          </w:p>
        </w:tc>
        <w:tc>
          <w:tcPr>
            <w:tcW w:type="dxa" w:w="1325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доля массы груза</w:t>
            </w:r>
          </w:p>
        </w:tc>
        <w:tc>
          <w:tcPr>
            <w:tcW w:type="dxa" w:w="1606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Наш выбор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color="E3E7EE" w:sz="2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30"/>
              <w:left w:type="dxa" w:w="80"/>
              <w:bottom w:type="dxa" w:w="7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74151"/>
                <w:sz w:val="17"/>
                <w:szCs w:val="17"/>
              </w:rPr>
              <w:t xml:space="preserve">Запас по грузоподъёмности засчитывается линейно и достигает полного балла при +50 % к средней массе груза: дальше лишняя грузоподъёмность не делает робот лучше для этого объекта. Граница — наш выбор.</w:t>
            </w:r>
          </w:p>
        </w:tc>
      </w:tr>
      <w:tr>
        <w:trPr>
          <w:cantSplit/>
        </w:trPr>
        <w:tc>
          <w:tcPr>
            <w:tcW w:type="dxa" w:w="5647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Запас по ширине прохода для полного балла фактора «Запас»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aisleMarginFullM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)</w:t>
            </w:r>
          </w:p>
        </w:tc>
        <w:tc>
          <w:tcPr>
            <w:tcW w:type="dxa" w:w="1060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1325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м</w:t>
            </w:r>
          </w:p>
        </w:tc>
        <w:tc>
          <w:tcPr>
            <w:tcW w:type="dxa" w:w="1606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Наш выбор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color="E3E7EE" w:sz="2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30"/>
              <w:left w:type="dxa" w:w="80"/>
              <w:bottom w:type="dxa" w:w="7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74151"/>
                <w:sz w:val="17"/>
                <w:szCs w:val="17"/>
              </w:rPr>
              <w:t xml:space="preserve">Запас между шириной рабочего прохода объекта и шириной, нужной роботу для проезда или разворота, засчитывается линейно и достигает полного балла при 1 м — этого хватает на разъезд с человеком или тележкой. Граница — наш выбор.</w:t>
            </w:r>
          </w:p>
        </w:tc>
      </w:tr>
      <w:tr>
        <w:trPr>
          <w:cantSplit/>
        </w:trPr>
        <w:tc>
          <w:tcPr>
            <w:tcW w:type="dxa" w:w="5647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Засчитываемая часть запаса, если данных нет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unknownMarginPart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)</w:t>
            </w:r>
          </w:p>
        </w:tc>
        <w:tc>
          <w:tcPr>
            <w:tcW w:type="dxa" w:w="1060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0,5</w:t>
            </w:r>
          </w:p>
        </w:tc>
        <w:tc>
          <w:tcPr>
            <w:tcW w:type="dxa" w:w="1325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доля</w:t>
            </w:r>
          </w:p>
        </w:tc>
        <w:tc>
          <w:tcPr>
            <w:tcW w:type="dxa" w:w="1606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Наш выбор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color="E3E7EE" w:sz="2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30"/>
              <w:left w:type="dxa" w:w="80"/>
              <w:bottom w:type="dxa" w:w="7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74151"/>
                <w:sz w:val="17"/>
                <w:szCs w:val="17"/>
              </w:rPr>
              <w:t xml:space="preserve">Если производитель не публикует грузоподъёмность или ширину прохода, запас нельзя ни подтвердить, ни опровергнуть. Засчитывается половина — продукт без данных не обгоняет продукт с подтверждённым запасом, но и не обнуляется. Наш выбор; в объяснении балла это написано явно.</w:t>
            </w:r>
          </w:p>
        </w:tc>
      </w:tr>
      <w:tr>
        <w:trPr>
          <w:cantSplit/>
        </w:trPr>
        <w:tc>
          <w:tcPr>
            <w:tcW w:type="dxa" w:w="5647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Зрелость продукта в пилотной эксплуатации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maturityPiloting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)</w:t>
            </w:r>
          </w:p>
        </w:tc>
        <w:tc>
          <w:tcPr>
            <w:tcW w:type="dxa" w:w="1060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0,6</w:t>
            </w:r>
          </w:p>
        </w:tc>
        <w:tc>
          <w:tcPr>
            <w:tcW w:type="dxa" w:w="1325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доля</w:t>
            </w:r>
          </w:p>
        </w:tc>
        <w:tc>
          <w:tcPr>
            <w:tcW w:type="dxa" w:w="1606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Наш выбор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color="E3E7EE" w:sz="2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30"/>
              <w:left w:type="dxa" w:w="80"/>
              <w:bottom w:type="dxa" w:w="7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74151"/>
                <w:sz w:val="17"/>
                <w:szCs w:val="17"/>
              </w:rPr>
              <w:t xml:space="preserve">Статус из каталога организатора: серийная эксплуатация засчитывается полностью (1), пилот — 0,6, НИОКР в подбор не попадает. Пилот уже работает у заказчика, но без серийной истории, поэтому получает больше половины, но заметно меньше серийного продукта. Значение — наш выбор.</w:t>
            </w:r>
          </w:p>
        </w:tc>
      </w:tr>
      <w:tr>
        <w:trPr>
          <w:cantSplit/>
        </w:trPr>
        <w:tc>
          <w:tcPr>
            <w:tcW w:type="dxa" w:w="5647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Полнота карточки, ниже которой продукт требует проверки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completenessVerifyPct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)</w:t>
            </w:r>
          </w:p>
        </w:tc>
        <w:tc>
          <w:tcPr>
            <w:tcW w:type="dxa" w:w="1060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60</w:t>
            </w:r>
          </w:p>
        </w:tc>
        <w:tc>
          <w:tcPr>
            <w:tcW w:type="dxa" w:w="1325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%</w:t>
            </w:r>
          </w:p>
        </w:tc>
        <w:tc>
          <w:tcPr>
            <w:tcW w:type="dxa" w:w="1606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Наш выбор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color="E3E7EE" w:sz="2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30"/>
              <w:left w:type="dxa" w:w="80"/>
              <w:bottom w:type="dxa" w:w="7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74151"/>
                <w:sz w:val="17"/>
                <w:szCs w:val="17"/>
              </w:rPr>
              <w:t xml:space="preserve">Карточка, в которой заполнено меньше 60 % из 31 обязательной характеристики ТЗ §3.3.4, помечается «требует проверки» (ТЗ §3.4.3: «при недостатке данных решение может быть отмечено как требующее проверки»). Порог — наш выбор.</w:t>
            </w:r>
          </w:p>
        </w:tc>
      </w:tr>
    </w:tbl>
    <w:p>
      <w:pPr>
        <w:spacing w:after="60"/>
      </w:pP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Результат на демо-складе (подбор для перемещения паллет) виден в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/demo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шаг 3, и в разделе
«Подобранные решения» отчёта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demo-warehouse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.</w:t>
      </w:r>
    </w:p>
    <w:p>
      <w:pPr>
        <w:pStyle w:val="Heading2"/>
        <w:keepNext/>
        <w:outlineLvl w:val="1"/>
      </w:pPr>
      <w:bookmarkStart w:name="toc14" w:id="1"/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7. API и интеграции (ТЗ §3.8, §4.2.5)</w:t>
      </w:r>
      <w:bookmarkEnd w:id="1"/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Описание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GET /api/v1/openapi.json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(OpenAPI 3.1) и страница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/api-docs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которая
строится из того же объекта и не может с ним разойтись. Тест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lib/api/openapi.test.ts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
сверяет каждый обработчик в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app/api/v1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с описанием и наоборот.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Методы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: каталог и карточка (гость), нормативы (чтение — гость, запись — администратор),
параметры типа объекта (гость), расчёт без сохранения (гость, 60 запросов за 15 минут с
IP), создание и чтение проекта (пользователь), импорт каталога с пробным прогоном
(администратор).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Доступ для интеграций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: сессия администратора или заголовок
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Authorization: Bearer &lt;ADMIN_API_TOKEN&gt;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(токен сравнивается за постоянное время).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Интеграции с WMS, ERP, 1С, мониторингом и аналитикой ФЦ БАС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описаны в
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INTEGRATIONS.md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(</w:t>
      </w:r>
      <w:hyperlink w:history="1" w:anchor="ch5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1A42A8"/>
            <w:u w:val="single"/>
          </w:rPr>
          <w:t xml:space="preserve">гл. 5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: сопоставление полей, примеры запросов, мониторинг через
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/api/health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.</w:t>
      </w:r>
    </w:p>
    <w:p>
      <w:pPr>
        <w:pStyle w:val="Heading2"/>
        <w:keepNext/>
        <w:outlineLvl w:val="1"/>
      </w:pPr>
      <w:bookmarkStart w:name="toc15" w:id="1"/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8. Безопасность (ТЗ §4.4)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6"/>
        <w:gridCol w:w="7432"/>
      </w:tblGrid>
      <w:tr>
        <w:trPr>
          <w:cantSplit/>
          <w:tblHeader/>
        </w:trPr>
        <w:tc>
          <w:tcPr>
            <w:tcW w:type="dxa" w:w="220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Требование</w:t>
            </w:r>
          </w:p>
        </w:tc>
        <w:tc>
          <w:tcPr>
            <w:tcW w:type="dxa" w:w="743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Как сделано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Разграничение доступа</w:t>
            </w:r>
          </w:p>
        </w:tc>
        <w:tc>
          <w:tcPr>
            <w:tcW w:type="dxa" w:w="743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Гость — отсутствие сессии.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requireUser()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 и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requireAdmin()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 вызываются в каждой странице, серверном действии и обработчике API, а не только в layout. Роль администратора перечитывается из базы: пониженный пользователь теряет доступ сразу, даже с устаревшим токеном. Пользователь без роли получает 404, а не 403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Пароли</w:t>
            </w:r>
          </w:p>
        </w:tc>
        <w:tc>
          <w:tcPr>
            <w:tcW w:type="dxa" w:w="743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bcrypt, стоимость 12; пароль длиннее 72 байт отклоняется, а не обрезается молча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Изоляция проектов</w:t>
            </w:r>
          </w:p>
        </w:tc>
        <w:tc>
          <w:tcPr>
            <w:tcW w:type="dxa" w:w="743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проект читается только по паре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(id, userId)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; чужой проект неотличим от несуществующего (404)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Защищённый канал</w:t>
            </w:r>
          </w:p>
        </w:tc>
        <w:tc>
          <w:tcPr>
            <w:tcW w:type="dxa" w:w="743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заголовки HSTS, CSP,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X-Frame-Options: DENY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X-Content-Type-Options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Referrer-Policy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 отдаёт приложение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next.config.ts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); TLS — хостинг или обратный прокси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Реальные персональные данные</w:t>
            </w:r>
          </w:p>
        </w:tc>
        <w:tc>
          <w:tcPr>
            <w:tcW w:type="dxa" w:w="743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не используются: демо-аккаунты на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@demo.local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, данные организатора обезличены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Удаление проекта и файлов</w:t>
            </w:r>
          </w:p>
        </w:tc>
        <w:tc>
          <w:tcPr>
            <w:tcW w:type="dxa" w:w="743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каскадное удаление; загруженные файлы не сохраняются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Лимиты</w:t>
            </w:r>
          </w:p>
        </w:tc>
        <w:tc>
          <w:tcPr>
            <w:tcW w:type="dxa" w:w="743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вход: 10 попыток на пару «почта + IP» (для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@demo.local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 — 100) и 50 на IP за 15 минут; регистрация: 5 на IP; проверка файла: 30 на IP; расчёт через API: 60 на IP; создание проекта через API: 30 на пользователя — всё за 15 минут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Подделка запросов</w:t>
            </w:r>
          </w:p>
        </w:tc>
        <w:tc>
          <w:tcPr>
            <w:tcW w:type="dxa" w:w="743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серверные действия проверяют Origin средствами Next.js; API записи принимает только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Content-Type: application/json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 и ограничивает размер тела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Ошибки</w:t>
            </w:r>
          </w:p>
        </w:tc>
        <w:tc>
          <w:tcPr>
            <w:tcW w:type="dxa" w:w="743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текст исключения наружу не выводится (в сообщениях Prisma бывает строка подключения); причина пишется в лог сервера</w:t>
            </w:r>
          </w:p>
        </w:tc>
      </w:tr>
    </w:tbl>
    <w:p>
      <w:pPr>
        <w:spacing w:after="60"/>
      </w:pPr>
    </w:p>
    <w:p>
      <w:pPr>
        <w:pStyle w:val="Heading2"/>
        <w:keepNext/>
        <w:outlineLvl w:val="1"/>
      </w:pPr>
      <w:bookmarkStart w:name="toc16" w:id="1"/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9. Производительность (ТЗ §4.3)</w:t>
      </w:r>
      <w:bookmarkEnd w:id="1"/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Замер 2026-09-25 на ноутбуке разработчика (Windows 11, Node v24.19.0), база — локальный
PostgreSQL 16 с засеянными данными, склад организатора, четыре сценария «Нового проекта».
Замер разовый, скриптом, который вызывает те же функции, что приложение: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679"/>
        <w:gridCol w:w="2959"/>
      </w:tblGrid>
      <w:tr>
        <w:trPr>
          <w:cantSplit/>
          <w:tblHeader/>
        </w:trPr>
        <w:tc>
          <w:tcPr>
            <w:tcW w:type="dxa" w:w="667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Операция</w:t>
            </w:r>
          </w:p>
        </w:tc>
        <w:tc>
          <w:tcPr>
            <w:tcW w:type="dxa" w:w="295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Время</w:t>
            </w:r>
          </w:p>
        </w:tc>
      </w:tr>
      <w:tr>
        <w:trPr>
          <w:cantSplit/>
        </w:trPr>
        <w:tc>
          <w:tcPr>
            <w:tcW w:type="dxa" w:w="667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Загрузка живых входов из БД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loadLiveInputs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: параметры, 35 продуктов подбора склада, нормативы)</w:t>
            </w:r>
          </w:p>
        </w:tc>
        <w:tc>
          <w:tcPr>
            <w:tcW w:type="dxa" w:w="295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233–271 мс</w:t>
            </w:r>
          </w:p>
        </w:tc>
      </w:tr>
      <w:tr>
        <w:trPr>
          <w:cantSplit/>
        </w:trPr>
        <w:tc>
          <w:tcPr>
            <w:tcW w:type="dxa" w:w="667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Сборка модели проекта в браузере или на сервере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buildProjectModel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: подбор, экономика, чувствительность, вывод)</w:t>
            </w:r>
          </w:p>
        </w:tc>
        <w:tc>
          <w:tcPr>
            <w:tcW w:type="dxa" w:w="295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медиана 37–41 мс, максимум 53 мс из 15 прогонов</w:t>
            </w:r>
          </w:p>
        </w:tc>
      </w:tr>
      <w:tr>
        <w:trPr>
          <w:cantSplit/>
        </w:trPr>
        <w:tc>
          <w:tcPr>
            <w:tcW w:type="dxa" w:w="667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Один прогон имитации H1500 × 11 на 135 минут модельного времени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runSimSync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)</w:t>
            </w:r>
          </w:p>
        </w:tc>
        <w:tc>
          <w:tcPr>
            <w:tcW w:type="dxa" w:w="295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медиана 8–9 мс</w:t>
            </w:r>
          </w:p>
        </w:tc>
      </w:tr>
      <w:tr>
        <w:trPr>
          <w:cantSplit/>
        </w:trPr>
        <w:tc>
          <w:tcPr>
            <w:tcW w:type="dxa" w:w="667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Все прогоны имитации проекта с перебором минимального парка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runProjectSims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)</w:t>
            </w:r>
          </w:p>
        </w:tc>
        <w:tc>
          <w:tcPr>
            <w:tcW w:type="dxa" w:w="295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64–72 мс</w:t>
            </w:r>
          </w:p>
        </w:tc>
      </w:tr>
      <w:tr>
        <w:trPr>
          <w:cantSplit/>
        </w:trPr>
        <w:tc>
          <w:tcPr>
            <w:tcW w:type="dxa" w:w="667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Полный серверный расчёт при сохранении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resultsFromInputs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: модель, имитация, модель с рисками имитации)</w:t>
            </w:r>
          </w:p>
        </w:tc>
        <w:tc>
          <w:tcPr>
            <w:tcW w:type="dxa" w:w="295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135–145 мс</w:t>
            </w:r>
          </w:p>
        </w:tc>
      </w:tr>
    </w:tbl>
    <w:p>
      <w:pPr>
        <w:spacing w:after="60"/>
      </w:pP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Требования ТЗ: расчёт экономики не дольше 10 с (§4.3.2), запуск модели — до 60 с с видимым
статусом (§4.3.3). Статус виден в строке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aria-live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рабочей области («Расчёт выполнен за …
мс»), у имитации — «Имитация: выполняется… N %». Бюджеты: 60 с на прогон имитации в браузере,
20 с на перебор парка сценария и 40 с на проект на сервере. Нагрузочный тест на 50
пользователей (§4.3.1) не проводился.</w:t>
      </w:r>
    </w:p>
    <w:p>
      <w:pPr>
        <w:pStyle w:val="Heading2"/>
        <w:keepNext/>
        <w:outlineLvl w:val="1"/>
      </w:pPr>
      <w:bookmarkStart w:name="toc17" w:id="1"/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10. Внешние библиотеки и источники данных (ТЗ §6.8)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8"/>
        <w:gridCol w:w="1592"/>
        <w:gridCol w:w="1494"/>
        <w:gridCol w:w="4144"/>
      </w:tblGrid>
      <w:tr>
        <w:trPr>
          <w:cantSplit/>
          <w:tblHeader/>
        </w:trPr>
        <w:tc>
          <w:tcPr>
            <w:tcW w:type="dxa" w:w="240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7"/>
                <w:szCs w:val="17"/>
              </w:rPr>
              <w:t xml:space="preserve">Библиотека</w:t>
            </w:r>
          </w:p>
        </w:tc>
        <w:tc>
          <w:tcPr>
            <w:tcW w:type="dxa" w:w="159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7"/>
                <w:szCs w:val="17"/>
              </w:rPr>
              <w:t xml:space="preserve">Версия</w:t>
            </w:r>
          </w:p>
        </w:tc>
        <w:tc>
          <w:tcPr>
            <w:tcW w:type="dxa" w:w="149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7"/>
                <w:szCs w:val="17"/>
              </w:rPr>
              <w:t xml:space="preserve">Лицензия</w:t>
            </w:r>
          </w:p>
        </w:tc>
        <w:tc>
          <w:tcPr>
            <w:tcW w:type="dxa" w:w="414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7"/>
                <w:szCs w:val="17"/>
              </w:rPr>
              <w:t xml:space="preserve">Ссылка</w:t>
            </w:r>
          </w:p>
        </w:tc>
      </w:tr>
      <w:tr>
        <w:trPr>
          <w:cantSplit/>
        </w:trPr>
        <w:tc>
          <w:tcPr>
            <w:tcW w:type="dxa" w:w="240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Next.js</w:t>
            </w:r>
          </w:p>
        </w:tc>
        <w:tc>
          <w:tcPr>
            <w:tcW w:type="dxa" w:w="159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16.3.1</w:t>
            </w:r>
          </w:p>
        </w:tc>
        <w:tc>
          <w:tcPr>
            <w:tcW w:type="dxa" w:w="149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MIT</w:t>
            </w:r>
          </w:p>
        </w:tc>
        <w:tc>
          <w:tcPr>
            <w:tcW w:type="dxa" w:w="414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hyperlink w:history="1" r:id="rIdcaoqxg5bp5bki52g2ortj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1A42A8"/>
                  <w:sz w:val="17"/>
                  <w:szCs w:val="17"/>
                  <w:u w:val="single"/>
                </w:rPr>
                <w:t xml:space="preserve">https://nextjs.org</w:t>
              </w:r>
            </w:hyperlink>
          </w:p>
        </w:tc>
      </w:tr>
      <w:tr>
        <w:trPr>
          <w:cantSplit/>
        </w:trPr>
        <w:tc>
          <w:tcPr>
            <w:tcW w:type="dxa" w:w="240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React, React DOM</w:t>
            </w:r>
          </w:p>
        </w:tc>
        <w:tc>
          <w:tcPr>
            <w:tcW w:type="dxa" w:w="159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19.2.8</w:t>
            </w:r>
          </w:p>
        </w:tc>
        <w:tc>
          <w:tcPr>
            <w:tcW w:type="dxa" w:w="149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MIT</w:t>
            </w:r>
          </w:p>
        </w:tc>
        <w:tc>
          <w:tcPr>
            <w:tcW w:type="dxa" w:w="414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hyperlink w:history="1" r:id="rId8futj5ug_2l6tybxhnf1i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1A42A8"/>
                  <w:sz w:val="17"/>
                  <w:szCs w:val="17"/>
                  <w:u w:val="single"/>
                </w:rPr>
                <w:t xml:space="preserve">https://react.dev</w:t>
              </w:r>
            </w:hyperlink>
          </w:p>
        </w:tc>
      </w:tr>
      <w:tr>
        <w:trPr>
          <w:cantSplit/>
        </w:trPr>
        <w:tc>
          <w:tcPr>
            <w:tcW w:type="dxa" w:w="240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Prisma (CLI, клиент,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@prisma/adapter-pg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)</w:t>
            </w:r>
          </w:p>
        </w:tc>
        <w:tc>
          <w:tcPr>
            <w:tcW w:type="dxa" w:w="159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7.9.1</w:t>
            </w:r>
          </w:p>
        </w:tc>
        <w:tc>
          <w:tcPr>
            <w:tcW w:type="dxa" w:w="149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Apache-2.0</w:t>
            </w:r>
          </w:p>
        </w:tc>
        <w:tc>
          <w:tcPr>
            <w:tcW w:type="dxa" w:w="414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hyperlink w:history="1" r:id="rIdd3tpgish9wbp5k_aba-he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1A42A8"/>
                  <w:sz w:val="17"/>
                  <w:szCs w:val="17"/>
                  <w:u w:val="single"/>
                </w:rPr>
                <w:t xml:space="preserve">https://www.prisma.io</w:t>
              </w:r>
            </w:hyperlink>
          </w:p>
        </w:tc>
      </w:tr>
      <w:tr>
        <w:trPr>
          <w:cantSplit/>
        </w:trPr>
        <w:tc>
          <w:tcPr>
            <w:tcW w:type="dxa" w:w="240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node-postgres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pg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)</w:t>
            </w:r>
          </w:p>
        </w:tc>
        <w:tc>
          <w:tcPr>
            <w:tcW w:type="dxa" w:w="159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8.23.0</w:t>
            </w:r>
          </w:p>
        </w:tc>
        <w:tc>
          <w:tcPr>
            <w:tcW w:type="dxa" w:w="149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MIT</w:t>
            </w:r>
          </w:p>
        </w:tc>
        <w:tc>
          <w:tcPr>
            <w:tcW w:type="dxa" w:w="414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hyperlink w:history="1" r:id="rIdh9g_iww6wpnel5_fx9-n-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1A42A8"/>
                  <w:sz w:val="17"/>
                  <w:szCs w:val="17"/>
                  <w:u w:val="single"/>
                </w:rPr>
                <w:t xml:space="preserve">https://node-postgres.com</w:t>
              </w:r>
            </w:hyperlink>
          </w:p>
        </w:tc>
      </w:tr>
      <w:tr>
        <w:trPr>
          <w:cantSplit/>
        </w:trPr>
        <w:tc>
          <w:tcPr>
            <w:tcW w:type="dxa" w:w="240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Auth.js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next-auth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)</w:t>
            </w:r>
          </w:p>
        </w:tc>
        <w:tc>
          <w:tcPr>
            <w:tcW w:type="dxa" w:w="159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5.0.0-beta.32</w:t>
            </w:r>
          </w:p>
        </w:tc>
        <w:tc>
          <w:tcPr>
            <w:tcW w:type="dxa" w:w="149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ISC</w:t>
            </w:r>
          </w:p>
        </w:tc>
        <w:tc>
          <w:tcPr>
            <w:tcW w:type="dxa" w:w="414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hyperlink w:history="1" r:id="rIdtu59c5fh8vlsiek8kbuk1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1A42A8"/>
                  <w:sz w:val="17"/>
                  <w:szCs w:val="17"/>
                  <w:u w:val="single"/>
                </w:rPr>
                <w:t xml:space="preserve">https://authjs.dev</w:t>
              </w:r>
            </w:hyperlink>
          </w:p>
        </w:tc>
      </w:tr>
      <w:tr>
        <w:trPr>
          <w:cantSplit/>
        </w:trPr>
        <w:tc>
          <w:tcPr>
            <w:tcW w:type="dxa" w:w="240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bcryptjs</w:t>
            </w:r>
          </w:p>
        </w:tc>
        <w:tc>
          <w:tcPr>
            <w:tcW w:type="dxa" w:w="159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3.0.3</w:t>
            </w:r>
          </w:p>
        </w:tc>
        <w:tc>
          <w:tcPr>
            <w:tcW w:type="dxa" w:w="149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BSD-3-Clause</w:t>
            </w:r>
          </w:p>
        </w:tc>
        <w:tc>
          <w:tcPr>
            <w:tcW w:type="dxa" w:w="414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hyperlink w:history="1" r:id="rIdepy7ujbpwuqppd4ewrm6g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1A42A8"/>
                  <w:sz w:val="17"/>
                  <w:szCs w:val="17"/>
                  <w:u w:val="single"/>
                </w:rPr>
                <w:t xml:space="preserve">https://github.com/dcodeIO/bcrypt.js</w:t>
              </w:r>
            </w:hyperlink>
          </w:p>
        </w:tc>
      </w:tr>
      <w:tr>
        <w:trPr>
          <w:cantSplit/>
        </w:trPr>
        <w:tc>
          <w:tcPr>
            <w:tcW w:type="dxa" w:w="240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ExcelJS</w:t>
            </w:r>
          </w:p>
        </w:tc>
        <w:tc>
          <w:tcPr>
            <w:tcW w:type="dxa" w:w="159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4.4.0</w:t>
            </w:r>
          </w:p>
        </w:tc>
        <w:tc>
          <w:tcPr>
            <w:tcW w:type="dxa" w:w="149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MIT</w:t>
            </w:r>
          </w:p>
        </w:tc>
        <w:tc>
          <w:tcPr>
            <w:tcW w:type="dxa" w:w="414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hyperlink w:history="1" r:id="rIdyp5dx6qcn5838hzrco7wb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1A42A8"/>
                  <w:sz w:val="17"/>
                  <w:szCs w:val="17"/>
                  <w:u w:val="single"/>
                </w:rPr>
                <w:t xml:space="preserve">https://github.com/exceljs/exceljs</w:t>
              </w:r>
            </w:hyperlink>
          </w:p>
        </w:tc>
      </w:tr>
      <w:tr>
        <w:trPr>
          <w:cantSplit/>
        </w:trPr>
        <w:tc>
          <w:tcPr>
            <w:tcW w:type="dxa" w:w="240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Tailwind CSS</w:t>
            </w:r>
          </w:p>
        </w:tc>
        <w:tc>
          <w:tcPr>
            <w:tcW w:type="dxa" w:w="159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4.3.3</w:t>
            </w:r>
          </w:p>
        </w:tc>
        <w:tc>
          <w:tcPr>
            <w:tcW w:type="dxa" w:w="149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MIT</w:t>
            </w:r>
          </w:p>
        </w:tc>
        <w:tc>
          <w:tcPr>
            <w:tcW w:type="dxa" w:w="414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hyperlink w:history="1" r:id="rIdwym_cp7hq6szvxaia1zvh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1A42A8"/>
                  <w:sz w:val="17"/>
                  <w:szCs w:val="17"/>
                  <w:u w:val="single"/>
                </w:rPr>
                <w:t xml:space="preserve">https://tailwindcss.com</w:t>
              </w:r>
            </w:hyperlink>
          </w:p>
        </w:tc>
      </w:tr>
      <w:tr>
        <w:trPr>
          <w:cantSplit/>
        </w:trPr>
        <w:tc>
          <w:tcPr>
            <w:tcW w:type="dxa" w:w="240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shadcn, Base UI</w:t>
            </w:r>
          </w:p>
        </w:tc>
        <w:tc>
          <w:tcPr>
            <w:tcW w:type="dxa" w:w="159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4.18.0, 1.7.0</w:t>
            </w:r>
          </w:p>
        </w:tc>
        <w:tc>
          <w:tcPr>
            <w:tcW w:type="dxa" w:w="149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MIT</w:t>
            </w:r>
          </w:p>
        </w:tc>
        <w:tc>
          <w:tcPr>
            <w:tcW w:type="dxa" w:w="414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hyperlink w:history="1" r:id="rIdfrbuxf4g5nio6apjxbgqh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1A42A8"/>
                  <w:sz w:val="17"/>
                  <w:szCs w:val="17"/>
                  <w:u w:val="single"/>
                </w:rPr>
                <w:t xml:space="preserve">https://ui.shadcn.com</w:t>
              </w:r>
            </w:hyperlink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, </w:t>
            </w:r>
            <w:hyperlink w:history="1" r:id="rIdjjmhnlr_6quaemg9fbcde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1A42A8"/>
                  <w:sz w:val="17"/>
                  <w:szCs w:val="17"/>
                  <w:u w:val="single"/>
                </w:rPr>
                <w:t xml:space="preserve">https://base-ui.com</w:t>
              </w:r>
            </w:hyperlink>
          </w:p>
        </w:tc>
      </w:tr>
      <w:tr>
        <w:trPr>
          <w:cantSplit/>
        </w:trPr>
        <w:tc>
          <w:tcPr>
            <w:tcW w:type="dxa" w:w="240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lucide-react</w:t>
            </w:r>
          </w:p>
        </w:tc>
        <w:tc>
          <w:tcPr>
            <w:tcW w:type="dxa" w:w="159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1.31.0</w:t>
            </w:r>
          </w:p>
        </w:tc>
        <w:tc>
          <w:tcPr>
            <w:tcW w:type="dxa" w:w="149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ISC</w:t>
            </w:r>
          </w:p>
        </w:tc>
        <w:tc>
          <w:tcPr>
            <w:tcW w:type="dxa" w:w="414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hyperlink w:history="1" r:id="rIdwvyrrq5h1mzv6t-d6dw3o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1A42A8"/>
                  <w:sz w:val="17"/>
                  <w:szCs w:val="17"/>
                  <w:u w:val="single"/>
                </w:rPr>
                <w:t xml:space="preserve">https://lucide.dev</w:t>
              </w:r>
            </w:hyperlink>
          </w:p>
        </w:tc>
      </w:tr>
      <w:tr>
        <w:trPr>
          <w:cantSplit/>
        </w:trPr>
        <w:tc>
          <w:tcPr>
            <w:tcW w:type="dxa" w:w="240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class-variance-authority</w:t>
            </w:r>
          </w:p>
        </w:tc>
        <w:tc>
          <w:tcPr>
            <w:tcW w:type="dxa" w:w="159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0.7.1</w:t>
            </w:r>
          </w:p>
        </w:tc>
        <w:tc>
          <w:tcPr>
            <w:tcW w:type="dxa" w:w="149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Apache-2.0</w:t>
            </w:r>
          </w:p>
        </w:tc>
        <w:tc>
          <w:tcPr>
            <w:tcW w:type="dxa" w:w="414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hyperlink w:history="1" r:id="rIdkmdbo_aptui1tgt0-f6hv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1A42A8"/>
                  <w:sz w:val="17"/>
                  <w:szCs w:val="17"/>
                  <w:u w:val="single"/>
                </w:rPr>
                <w:t xml:space="preserve">https://cva.style</w:t>
              </w:r>
            </w:hyperlink>
          </w:p>
        </w:tc>
      </w:tr>
      <w:tr>
        <w:trPr>
          <w:cantSplit/>
        </w:trPr>
        <w:tc>
          <w:tcPr>
            <w:tcW w:type="dxa" w:w="240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clsx, tailwind-merge, tw-animate-css</w:t>
            </w:r>
          </w:p>
        </w:tc>
        <w:tc>
          <w:tcPr>
            <w:tcW w:type="dxa" w:w="159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2.1.1, 3.6.0, 1.4.0</w:t>
            </w:r>
          </w:p>
        </w:tc>
        <w:tc>
          <w:tcPr>
            <w:tcW w:type="dxa" w:w="149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MIT</w:t>
            </w:r>
          </w:p>
        </w:tc>
        <w:tc>
          <w:tcPr>
            <w:tcW w:type="dxa" w:w="414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hyperlink w:history="1" r:id="rIdgvfrlgivgd6xu_ctv7iyl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1A42A8"/>
                  <w:sz w:val="17"/>
                  <w:szCs w:val="17"/>
                  <w:u w:val="single"/>
                </w:rPr>
                <w:t xml:space="preserve">https://www.npmjs.com/package/clsx</w:t>
              </w:r>
            </w:hyperlink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, </w:t>
            </w:r>
            <w:hyperlink w:history="1" r:id="rIdzqas4dfcq4yy9kl-ijcyu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1A42A8"/>
                  <w:sz w:val="17"/>
                  <w:szCs w:val="17"/>
                  <w:u w:val="single"/>
                </w:rPr>
                <w:t xml:space="preserve">https://www.npmjs.com/package/tailwind-merge</w:t>
              </w:r>
            </w:hyperlink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, </w:t>
            </w:r>
            <w:hyperlink w:history="1" r:id="rIdt1qi5cc7hb_qtxtltetsx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1A42A8"/>
                  <w:sz w:val="17"/>
                  <w:szCs w:val="17"/>
                  <w:u w:val="single"/>
                </w:rPr>
                <w:t xml:space="preserve">https://www.npmjs.com/package/tw-animate-css</w:t>
              </w:r>
            </w:hyperlink>
          </w:p>
        </w:tc>
      </w:tr>
      <w:tr>
        <w:trPr>
          <w:cantSplit/>
        </w:trPr>
        <w:tc>
          <w:tcPr>
            <w:tcW w:type="dxa" w:w="240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TypeScript</w:t>
            </w:r>
          </w:p>
        </w:tc>
        <w:tc>
          <w:tcPr>
            <w:tcW w:type="dxa" w:w="159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5.9.3</w:t>
            </w:r>
          </w:p>
        </w:tc>
        <w:tc>
          <w:tcPr>
            <w:tcW w:type="dxa" w:w="149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Apache-2.0</w:t>
            </w:r>
          </w:p>
        </w:tc>
        <w:tc>
          <w:tcPr>
            <w:tcW w:type="dxa" w:w="414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hyperlink w:history="1" r:id="rId-r5c3fxrb5lwyhsmaj8l3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1A42A8"/>
                  <w:sz w:val="17"/>
                  <w:szCs w:val="17"/>
                  <w:u w:val="single"/>
                </w:rPr>
                <w:t xml:space="preserve">https://www.typescriptlang.org</w:t>
              </w:r>
            </w:hyperlink>
          </w:p>
        </w:tc>
      </w:tr>
      <w:tr>
        <w:trPr>
          <w:cantSplit/>
        </w:trPr>
        <w:tc>
          <w:tcPr>
            <w:tcW w:type="dxa" w:w="240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Vitest</w:t>
            </w:r>
          </w:p>
        </w:tc>
        <w:tc>
          <w:tcPr>
            <w:tcW w:type="dxa" w:w="159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4.1.10</w:t>
            </w:r>
          </w:p>
        </w:tc>
        <w:tc>
          <w:tcPr>
            <w:tcW w:type="dxa" w:w="149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MIT</w:t>
            </w:r>
          </w:p>
        </w:tc>
        <w:tc>
          <w:tcPr>
            <w:tcW w:type="dxa" w:w="414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hyperlink w:history="1" r:id="rIdlsd53stq2wbfxqq12fqzf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1A42A8"/>
                  <w:sz w:val="17"/>
                  <w:szCs w:val="17"/>
                  <w:u w:val="single"/>
                </w:rPr>
                <w:t xml:space="preserve">https://vitest.dev</w:t>
              </w:r>
            </w:hyperlink>
          </w:p>
        </w:tc>
      </w:tr>
      <w:tr>
        <w:trPr>
          <w:cantSplit/>
        </w:trPr>
        <w:tc>
          <w:tcPr>
            <w:tcW w:type="dxa" w:w="240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Playwright</w:t>
            </w:r>
          </w:p>
        </w:tc>
        <w:tc>
          <w:tcPr>
            <w:tcW w:type="dxa" w:w="159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1.62.1</w:t>
            </w:r>
          </w:p>
        </w:tc>
        <w:tc>
          <w:tcPr>
            <w:tcW w:type="dxa" w:w="149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Apache-2.0</w:t>
            </w:r>
          </w:p>
        </w:tc>
        <w:tc>
          <w:tcPr>
            <w:tcW w:type="dxa" w:w="414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hyperlink w:history="1" r:id="rIdbv_ytsta464x5pa2heqod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1A42A8"/>
                  <w:sz w:val="17"/>
                  <w:szCs w:val="17"/>
                  <w:u w:val="single"/>
                </w:rPr>
                <w:t xml:space="preserve">https://playwright.dev</w:t>
              </w:r>
            </w:hyperlink>
          </w:p>
        </w:tc>
      </w:tr>
      <w:tr>
        <w:trPr>
          <w:cantSplit/>
        </w:trPr>
        <w:tc>
          <w:tcPr>
            <w:tcW w:type="dxa" w:w="240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tsx, ESLint</w:t>
            </w:r>
          </w:p>
        </w:tc>
        <w:tc>
          <w:tcPr>
            <w:tcW w:type="dxa" w:w="159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4.23.12, 9.39.5</w:t>
            </w:r>
          </w:p>
        </w:tc>
        <w:tc>
          <w:tcPr>
            <w:tcW w:type="dxa" w:w="149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MIT</w:t>
            </w:r>
          </w:p>
        </w:tc>
        <w:tc>
          <w:tcPr>
            <w:tcW w:type="dxa" w:w="414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hyperlink w:history="1" r:id="rIdzar8bgiczpnjjwttng0ze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1A42A8"/>
                  <w:sz w:val="17"/>
                  <w:szCs w:val="17"/>
                  <w:u w:val="single"/>
                </w:rPr>
                <w:t xml:space="preserve">https://tsx.is</w:t>
              </w:r>
            </w:hyperlink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, </w:t>
            </w:r>
            <w:hyperlink w:history="1" r:id="rIdprn6coy3lrxtcqjk3ukq5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1A42A8"/>
                  <w:sz w:val="17"/>
                  <w:szCs w:val="17"/>
                  <w:u w:val="single"/>
                </w:rPr>
                <w:t xml:space="preserve">https://eslint.org</w:t>
              </w:r>
            </w:hyperlink>
          </w:p>
        </w:tc>
      </w:tr>
      <w:tr>
        <w:trPr>
          <w:cantSplit/>
        </w:trPr>
        <w:tc>
          <w:tcPr>
            <w:tcW w:type="dxa" w:w="240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dotenv</w:t>
            </w:r>
          </w:p>
        </w:tc>
        <w:tc>
          <w:tcPr>
            <w:tcW w:type="dxa" w:w="159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17.4.2</w:t>
            </w:r>
          </w:p>
        </w:tc>
        <w:tc>
          <w:tcPr>
            <w:tcW w:type="dxa" w:w="149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BSD-2-Clause</w:t>
            </w:r>
          </w:p>
        </w:tc>
        <w:tc>
          <w:tcPr>
            <w:tcW w:type="dxa" w:w="414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hyperlink w:history="1" r:id="rIde5gtlhrtiop_-ehlrbsek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1A42A8"/>
                  <w:sz w:val="17"/>
                  <w:szCs w:val="17"/>
                  <w:u w:val="single"/>
                </w:rPr>
                <w:t xml:space="preserve">https://github.com/motdotla/dotenv</w:t>
              </w:r>
            </w:hyperlink>
          </w:p>
        </w:tc>
      </w:tr>
      <w:tr>
        <w:trPr>
          <w:cantSplit/>
        </w:trPr>
        <w:tc>
          <w:tcPr>
            <w:tcW w:type="dxa" w:w="240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PostgreSQL</w:t>
            </w:r>
          </w:p>
        </w:tc>
        <w:tc>
          <w:tcPr>
            <w:tcW w:type="dxa" w:w="159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16</w:t>
            </w:r>
          </w:p>
        </w:tc>
        <w:tc>
          <w:tcPr>
            <w:tcW w:type="dxa" w:w="149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PostgreSQL License</w:t>
            </w:r>
          </w:p>
        </w:tc>
        <w:tc>
          <w:tcPr>
            <w:tcW w:type="dxa" w:w="414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hyperlink w:history="1" r:id="rIdkbq58sfvofzvlzndixcii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1A42A8"/>
                  <w:sz w:val="17"/>
                  <w:szCs w:val="17"/>
                  <w:u w:val="single"/>
                </w:rPr>
                <w:t xml:space="preserve">https://www.postgresql.org</w:t>
              </w:r>
            </w:hyperlink>
          </w:p>
        </w:tc>
      </w:tr>
    </w:tbl>
    <w:p>
      <w:pPr>
        <w:spacing w:after="60"/>
      </w:pP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Версии — установленные в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node_modules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на момент записи; объявленные диапазоны — в
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package.json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точные — в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package-lock.json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.</w:t>
      </w:r>
    </w:p>
    <w:p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Источники данных: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датасеты, каталог и «Примеры решений» организатора; открытые источники
производителей, дилеров и отраслевых изданий по 57 продуктам; открытые источники для
нормативов. Ссылки по каждому числу — в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data-provenance.md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(</w:t>
      </w:r>
      <w:hyperlink w:history="1" w:anchor="ch4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1A42A8"/>
            <w:u w:val="single"/>
          </w:rPr>
          <w:t xml:space="preserve">гл. 4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и в
карточке каждого продукта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/catalog/[slug]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.</w:t>
      </w:r>
    </w:p>
    <w:p>
      <w:pPr>
        <w:pStyle w:val="Heading2"/>
        <w:keepNext/>
        <w:outlineLvl w:val="1"/>
      </w:pPr>
      <w:bookmarkStart w:name="toc18" w:id="1"/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11. Тесты и CI</w:t>
      </w:r>
      <w:bookmarkEnd w:id="1"/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Vitest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: набор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unit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— чистые модули, параллельно; набор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db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— тесты на настоящем
Postgres, последовательно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vitest.config.mts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список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DB_TESTS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). Последний прогон CI
(коммит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b112b35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запуск 36136864124): 102 файла, 1473 теста, все зелёные.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Playwright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npm run test:e2e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): сборка и запуск приложения, путь пользователя в
браузере. В том же прогоне CI — 10 тестов из четырёх файлов v1, все зелёные.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CI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.github/workflows/ci.yml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): задача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test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— миграции, сев, lint, сборка, Vitest,
e2e; задача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docker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docker compose up -d --build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ожидание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/api/health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проверка, что
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и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/demo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отдают 200. В том же прогоне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/api/health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ответил
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{"ok":true,"db":true,"modelVersion":"tz-1.0.0","simModelVersion":"sim-1.0.0"}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через 5 с
ожидания.</w:t>
      </w:r>
    </w:p>
    <w:p>
      <w:pPr>
        <w:pStyle w:val="Heading2"/>
        <w:keepNext/>
        <w:outlineLvl w:val="1"/>
      </w:pPr>
      <w:bookmarkStart w:name="toc19" w:id="1"/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12. Расширяемость (ТЗ §4.2.6)</w:t>
      </w:r>
      <w:bookmarkEnd w:id="1"/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Новый тип объекта.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Строка в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FacilityType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(таксономия v1 уже содержит 47 типов),
описания параметров в данных генератора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PARAM_EXTRAS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или новый лист датасета) и процессы
в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PROCESS_DEFS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. После сева параметры появляются в форме, шаблоне Excel/CSV, API и админке
без правки интерфейса.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Новый процесс.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Запись в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PROCESS_DEFS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: модель спроса (какие параметры суммировать и
умножать), единицы, параметры ограничений для подбора, типы решений, признаки
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calcSupported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и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simSupported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. Подбор и сравнение начинают работать сразу; экономика — как
только у процесса есть модель спроса и производительность продуктов в его единицах.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Новый продукт или тип решения.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Через админку, API импорта или данные генератора.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Новый норматив.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Запись в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NORM_DEFS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с происхождением и обоснованием: тест не пропустит
норматив без источника.</w:t>
      </w:r>
    </w:p>
    <w:p>
      <w:pPr>
        <w:pStyle w:val="Heading1"/>
        <w:pageBreakBefore/>
        <w:outlineLvl w:val="0"/>
      </w:pPr>
      <w:bookmarkStart w:name="ch3" w:id="1"/>
      <w:r>
        <w:t xml:space="preserve">3. Экономическая модель и имитация</w:t>
      </w:r>
      <w:bookmarkEnd w:id="1"/>
    </w:p>
    <w:p>
      <w:pPr>
        <w:pBdr>
          <w:bottom w:val="single" w:color="C8CFDB" w:sz="4" w:space="6"/>
        </w:pBdr>
        <w:spacing w:after="200"/>
      </w:pPr>
      <w:r>
        <w:rPr>
          <w:i/>
          <w:iCs/>
          <w:color w:val="6B7280"/>
          <w:sz w:val="17"/>
          <w:szCs w:val="17"/>
        </w:rPr>
        <w:t xml:space="preserve">Источник: docs/MODEL-TZ.md. Нумерация разделов главы — нумерация этого файла; ссылки «§N» внутри главы указывают на её разделы. Требования: ТЗ §6.5.</w:t>
      </w:r>
    </w:p>
    <w:p>
      <w:pPr>
        <w:pBdr>
          <w:left w:val="single" w:color="9DB0E0" w:sz="18" w:space="10"/>
        </w:pBdr>
        <w:ind w:left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374151"/>
        </w:rPr>
        <w:t xml:space="preserve">Описание модели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374151"/>
          <w:sz w:val="18"/>
          <w:szCs w:val="18"/>
          <w:shd w:fill="EEF1F6" w:color="auto" w:val="clear"/>
        </w:rPr>
        <w:t xml:space="preserve">tz-1.0.0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374151"/>
        </w:rPr>
        <w:t xml:space="preserve"> и имитации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374151"/>
          <w:sz w:val="18"/>
          <w:szCs w:val="18"/>
          <w:shd w:fill="EEF1F6" w:color="auto" w:val="clear"/>
        </w:rPr>
        <w:t xml:space="preserve">sim-1.0.0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374151"/>
        </w:rPr>
        <w:t xml:space="preserve"> для ТЗ §6.5 и §6.4 (подбор — в
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374151"/>
        </w:rPr>
        <w:t xml:space="preserve">ARCHITECTURE.md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374151"/>
        </w:rPr>
        <w:t xml:space="preserve"> (</w:t>
      </w:r>
      <w:hyperlink w:history="1" w:anchor="ch2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1A42A8"/>
            <w:u w:val="single"/>
          </w:rPr>
          <w:t xml:space="preserve">гл. 2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374151"/>
        </w:rPr>
        <w:t xml:space="preserve">)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374151"/>
        </w:rPr>
        <w:t xml:space="preserve">, §6). Здесь формулы, единицы, нормативы с
происхождением, контрольный пример на демо-складе и проверка расчёта имитацией.</w:t>
      </w:r>
    </w:p>
    <w:p>
      <w:pPr>
        <w:pBdr>
          <w:left w:val="single" w:color="9DB0E0" w:sz="18" w:space="10"/>
        </w:pBdr>
        <w:ind w:left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374151"/>
        </w:rPr>
        <w:t xml:space="preserve">Таблицы формул и нормативов сгенерированы из кода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374151"/>
          <w:sz w:val="18"/>
          <w:szCs w:val="18"/>
          <w:shd w:fill="EEF1F6" w:color="auto" w:val="clear"/>
        </w:rPr>
        <w:t xml:space="preserve">FORMULAS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374151"/>
        </w:rPr>
        <w:t xml:space="preserve"> в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374151"/>
          <w:sz w:val="18"/>
          <w:szCs w:val="18"/>
          <w:shd w:fill="EEF1F6" w:color="auto" w:val="clear"/>
        </w:rPr>
        <w:t xml:space="preserve">lib/tz/econ/formulas.ts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374151"/>
        </w:rPr>
        <w:t xml:space="preserve">,
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374151"/>
          <w:sz w:val="18"/>
          <w:szCs w:val="18"/>
          <w:shd w:fill="EEF1F6" w:color="auto" w:val="clear"/>
        </w:rPr>
        <w:t xml:space="preserve">NORM_DEFS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374151"/>
        </w:rPr>
        <w:t xml:space="preserve"> в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374151"/>
          <w:sz w:val="18"/>
          <w:szCs w:val="18"/>
          <w:shd w:fill="EEF1F6" w:color="auto" w:val="clear"/>
        </w:rPr>
        <w:t xml:space="preserve">lib/tz/norms.ts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374151"/>
        </w:rPr>
        <w:t xml:space="preserve">), а не переписаны руками. Те же данные показывают страница
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374151"/>
          <w:sz w:val="18"/>
          <w:szCs w:val="18"/>
          <w:shd w:fill="EEF1F6" w:color="auto" w:val="clear"/>
        </w:rPr>
        <w:t xml:space="preserve">/methodology/tz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374151"/>
        </w:rPr>
        <w:t xml:space="preserve">, раздел «Формулы» отчёта проекта и лист «Нормативы и допущения» выгрузки
XLSX. Числа демонстрации печатает только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374151"/>
          <w:sz w:val="18"/>
          <w:szCs w:val="18"/>
          <w:shd w:fill="EEF1F6" w:color="auto" w:val="clear"/>
        </w:rPr>
        <w:t xml:space="preserve">scripts/print-demo-numbers.ts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374151"/>
        </w:rPr>
        <w:t xml:space="preserve">; их полная версия —
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374151"/>
        </w:rPr>
        <w:t xml:space="preserve">submission/demo-numbers.md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374151"/>
        </w:rPr>
        <w:t xml:space="preserve"> (</w:t>
      </w:r>
      <w:hyperlink w:history="1" w:anchor="appA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1A42A8"/>
            <w:u w:val="single"/>
          </w:rPr>
          <w:t xml:space="preserve">прил. А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374151"/>
        </w:rPr>
        <w:t xml:space="preserve">)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374151"/>
        </w:rPr>
        <w:t xml:space="preserve">.</w:t>
      </w:r>
    </w:p>
    <w:p>
      <w:pPr>
        <w:pStyle w:val="Heading2"/>
        <w:keepNext/>
        <w:outlineLvl w:val="1"/>
      </w:pPr>
      <w:bookmarkStart w:name="toc21" w:id="1"/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1. Что считает модель</w:t>
      </w:r>
      <w:bookmarkEnd w:id="1"/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Модель отвечает на вопрос ТЗ §3.5.2 для объекта пользователя: сколько нужно роботов и
вспомогательного оборудования, сколько это стоит (CAPEX по статьям, OPEX за год), какой
годовой эффект против текущего процесса, за сколько лет окупается, какие ROI, NPV и TCO.
Ответ даётся для трёх и более сценариев в одной таблице: «Как есть», покупка и услуга (RaaS).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Валюта — рубли.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Конвертации нет: цены каталога организатора, зарплаты и нормативы
хранятся в рублях.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Единицы.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Спрос и производительность — в единицах процесса (для перемещения паллет —
паллет/сут и паллет/ч), время — часы и годы, деньги — ₽ и ₽/год.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Где считается экономика.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Процесс «Перемещение паллет: приёмка → хранение → отгрузка» на
складе. Для остальных 12 процессов (таблица в §2.3) модель показывает параметры, подбор и
сравнение по характеристикам, а экономику помечает «не рассчитывается (прототип)» (ТЗ §5.7).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Версии.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TZ_MODEL_VERSION = 'tz-1.0.0'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SIM_MODEL_VERSION = 'sim-1.0.0'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. Версия данных
расчёта — хэш FNV-1a от снимков продуктов сценариев, нормативов, описаний параметров и
версии данных организатора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projectDataVersion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в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lib/tz/model.ts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). Проект хранит все три
и при повторном открытии воспроизводит расчёт из снимка (ТЗ §3.1.5).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Код: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14"/>
        <w:gridCol w:w="7524"/>
      </w:tblGrid>
      <w:tr>
        <w:trPr>
          <w:cantSplit/>
          <w:tblHeader/>
        </w:trPr>
        <w:tc>
          <w:tcPr>
            <w:tcW w:type="dxa" w:w="211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Модуль</w:t>
            </w:r>
          </w:p>
        </w:tc>
        <w:tc>
          <w:tcPr>
            <w:tcW w:type="dxa" w:w="752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211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lib/tz/econ</w:t>
            </w:r>
          </w:p>
        </w:tc>
        <w:tc>
          <w:tcPr>
            <w:tcW w:type="dxa" w:w="752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Движок экономики: спрос, парк, труд, CAPEX, OPEX, денежный поток, чувствительность, риски, вывод. Чистый TS: без React, Prisma, часов и случайности</w:t>
            </w:r>
          </w:p>
        </w:tc>
      </w:tr>
      <w:tr>
        <w:trPr>
          <w:cantSplit/>
        </w:trPr>
        <w:tc>
          <w:tcPr>
            <w:tcW w:type="dxa" w:w="211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lib/tz/model.ts</w:t>
            </w:r>
          </w:p>
        </w:tc>
        <w:tc>
          <w:tcPr>
            <w:tcW w:type="dxa" w:w="752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Сборка модели проекта: проверка параметров → планировка и цикл → подбор → экономика → входы имитации → риски имитации → вывод</w:t>
            </w:r>
          </w:p>
        </w:tc>
      </w:tr>
      <w:tr>
        <w:trPr>
          <w:cantSplit/>
        </w:trPr>
        <w:tc>
          <w:tcPr>
            <w:tcW w:type="dxa" w:w="211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lib/tz/selection</w:t>
            </w:r>
          </w:p>
        </w:tc>
        <w:tc>
          <w:tcPr>
            <w:tcW w:type="dxa" w:w="752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Подбор решений: жёсткие и мягкие правила, недостающие данные, балл с вкладами факторов</w:t>
            </w:r>
          </w:p>
        </w:tc>
      </w:tr>
      <w:tr>
        <w:trPr>
          <w:cantSplit/>
        </w:trPr>
        <w:tc>
          <w:tcPr>
            <w:tcW w:type="dxa" w:w="211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lib/sim</w:t>
            </w:r>
          </w:p>
        </w:tc>
        <w:tc>
          <w:tcPr>
            <w:tcW w:type="dxa" w:w="752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Детерминированная имитация склада на той же планировке, по которой считается цикл</w:t>
            </w:r>
          </w:p>
        </w:tc>
      </w:tr>
      <w:tr>
        <w:trPr>
          <w:cantSplit/>
        </w:trPr>
        <w:tc>
          <w:tcPr>
            <w:tcW w:type="dxa" w:w="211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lib/tz/norms.ts</w:t>
            </w:r>
          </w:p>
        </w:tc>
        <w:tc>
          <w:tcPr>
            <w:tcW w:type="dxa" w:w="752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48 нормативов с происхождением, обоснованием и источником;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resolveNorms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 накладывает правки администратора и сценария</w:t>
            </w:r>
          </w:p>
        </w:tc>
      </w:tr>
      <w:tr>
        <w:trPr>
          <w:cantSplit/>
        </w:trPr>
        <w:tc>
          <w:tcPr>
            <w:tcW w:type="dxa" w:w="211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lib/tz/processes.ts</w:t>
            </w:r>
          </w:p>
        </w:tc>
        <w:tc>
          <w:tcPr>
            <w:tcW w:type="dxa" w:w="752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13 процессов и 14 типов решений: модель спроса, единицы, ограничения для подбора</w:t>
            </w:r>
          </w:p>
        </w:tc>
      </w:tr>
    </w:tbl>
    <w:p>
      <w:pPr>
        <w:spacing w:after="60"/>
      </w:pPr>
    </w:p>
    <w:p>
      <w:pPr>
        <w:pStyle w:val="Heading2"/>
        <w:keepNext/>
        <w:outlineLvl w:val="1"/>
      </w:pPr>
      <w:bookmarkStart w:name="toc22" w:id="1"/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2. Входные данные</w:t>
      </w:r>
      <w:bookmarkEnd w:id="1"/>
    </w:p>
    <w:p>
      <w:pPr>
        <w:pStyle w:val="Heading3"/>
        <w:keepNext/>
        <w:outlineLvl w:val="2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2.1 Параметры объекта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Базовые значения, диапазоны и примечания — из датасета организатора (лист «Склад»: 42
строки) и 10 дополнений с обоснованием или формулой. Всего у склада 52 параметра. В расчёт
перемещения паллет идут: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51"/>
        <w:gridCol w:w="7387"/>
      </w:tblGrid>
      <w:tr>
        <w:trPr>
          <w:cantSplit/>
          <w:tblHeader/>
        </w:trPr>
        <w:tc>
          <w:tcPr>
            <w:tcW w:type="dxa" w:w="22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Что</w:t>
            </w:r>
          </w:p>
        </w:tc>
        <w:tc>
          <w:tcPr>
            <w:tcW w:type="dxa" w:w="738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Параметры (ключи)</w:t>
            </w:r>
          </w:p>
        </w:tc>
      </w:tr>
      <w:tr>
        <w:trPr>
          <w:cantSplit/>
        </w:trPr>
        <w:tc>
          <w:tcPr>
            <w:tcW w:type="dxa" w:w="22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Режим работы</w:t>
            </w:r>
          </w:p>
        </w:tc>
        <w:tc>
          <w:tcPr>
            <w:tcW w:type="dxa" w:w="738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shiftsPerDay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shiftDurationH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workDaysPerYear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peakFactor</w:t>
            </w:r>
          </w:p>
        </w:tc>
      </w:tr>
      <w:tr>
        <w:trPr>
          <w:cantSplit/>
        </w:trPr>
        <w:tc>
          <w:tcPr>
            <w:tcW w:type="dxa" w:w="22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Спрос</w:t>
            </w:r>
          </w:p>
        </w:tc>
        <w:tc>
          <w:tcPr>
            <w:tcW w:type="dxa" w:w="738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inboundPalletsPerDay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outboundPalletsPerDay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internalPalletMovesPerDay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nonStandardCargoPct</w:t>
            </w:r>
          </w:p>
        </w:tc>
      </w:tr>
      <w:tr>
        <w:trPr>
          <w:cantSplit/>
        </w:trPr>
        <w:tc>
          <w:tcPr>
            <w:tcW w:type="dxa" w:w="22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Персонал процесса</w:t>
            </w:r>
          </w:p>
        </w:tc>
        <w:tc>
          <w:tcPr>
            <w:tcW w:type="dxa" w:w="738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forkliftOperatorsCount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forkliftSalaryRubMonth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payrollTaxMultiplier</w:t>
            </w:r>
          </w:p>
        </w:tc>
      </w:tr>
      <w:tr>
        <w:trPr>
          <w:cantSplit/>
        </w:trPr>
        <w:tc>
          <w:tcPr>
            <w:tcW w:type="dxa" w:w="22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Планировка (цикл и имитация)</w:t>
            </w:r>
          </w:p>
        </w:tc>
        <w:tc>
          <w:tcPr>
            <w:tcW w:type="dxa" w:w="738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activeAreaM2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mainAisleWidthM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rackAisleWidthM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receivingDocksCount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shippingDocksCount</w:t>
            </w:r>
          </w:p>
        </w:tc>
      </w:tr>
      <w:tr>
        <w:trPr>
          <w:cantSplit/>
        </w:trPr>
        <w:tc>
          <w:tcPr>
            <w:tcW w:type="dxa" w:w="22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Ограничения подбора</w:t>
            </w:r>
          </w:p>
        </w:tc>
        <w:tc>
          <w:tcPr>
            <w:tcW w:type="dxa" w:w="738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avgPalletMassKg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rackAisleWidthM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mainAisleWidthM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storageTempRegime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maxStorageLevelM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floorsCount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hasWms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rackType</w:t>
            </w:r>
          </w:p>
        </w:tc>
      </w:tr>
      <w:tr>
        <w:trPr>
          <w:cantSplit/>
        </w:trPr>
        <w:tc>
          <w:tcPr>
            <w:tcW w:type="dxa" w:w="22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Финансы и риски</w:t>
            </w:r>
          </w:p>
        </w:tc>
        <w:tc>
          <w:tcPr>
            <w:tcW w:type="dxa" w:w="738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horizonYears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capexBudgetMRub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availablePowerKw</w:t>
            </w:r>
          </w:p>
        </w:tc>
      </w:tr>
    </w:tbl>
    <w:p>
      <w:pPr>
        <w:spacing w:after="60"/>
      </w:pP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Пользователь меняет любой параметр в форме или загружает файл (ТЗ §3.2.2–§3.2.4). Ключевые
допущения ТЗ §3.5.3 правятся так: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46"/>
        <w:gridCol w:w="6792"/>
      </w:tblGrid>
      <w:tr>
        <w:trPr>
          <w:cantSplit/>
          <w:tblHeader/>
        </w:trPr>
        <w:tc>
          <w:tcPr>
            <w:tcW w:type="dxa" w:w="284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Допущение ТЗ §3.5.3</w:t>
            </w:r>
          </w:p>
        </w:tc>
        <w:tc>
          <w:tcPr>
            <w:tcW w:type="dxa" w:w="679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Где меняется</w:t>
            </w:r>
          </w:p>
        </w:tc>
      </w:tr>
      <w:tr>
        <w:trPr>
          <w:cantSplit/>
        </w:trPr>
        <w:tc>
          <w:tcPr>
            <w:tcW w:type="dxa" w:w="284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Стоимость персонала</w:t>
            </w:r>
          </w:p>
        </w:tc>
        <w:tc>
          <w:tcPr>
            <w:tcW w:type="dxa" w:w="679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параметр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forkliftSalaryRubMonth</w:t>
            </w:r>
          </w:p>
        </w:tc>
      </w:tr>
      <w:tr>
        <w:trPr>
          <w:cantSplit/>
        </w:trPr>
        <w:tc>
          <w:tcPr>
            <w:tcW w:type="dxa" w:w="284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Режим работы</w:t>
            </w:r>
          </w:p>
        </w:tc>
        <w:tc>
          <w:tcPr>
            <w:tcW w:type="dxa" w:w="679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параметры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shiftsPerDay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shiftDurationH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workDaysPerYear</w:t>
            </w:r>
          </w:p>
        </w:tc>
      </w:tr>
      <w:tr>
        <w:trPr>
          <w:cantSplit/>
        </w:trPr>
        <w:tc>
          <w:tcPr>
            <w:tcW w:type="dxa" w:w="284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Производительность</w:t>
            </w:r>
          </w:p>
        </w:tc>
        <w:tc>
          <w:tcPr>
            <w:tcW w:type="dxa" w:w="679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ручная производительность позиции сценария</w:t>
            </w:r>
          </w:p>
        </w:tc>
      </w:tr>
      <w:tr>
        <w:trPr>
          <w:cantSplit/>
        </w:trPr>
        <w:tc>
          <w:tcPr>
            <w:tcW w:type="dxa" w:w="284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Стоимость оборудования</w:t>
            </w:r>
          </w:p>
        </w:tc>
        <w:tc>
          <w:tcPr>
            <w:tcW w:type="dxa" w:w="679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ручная цена позиции сценария</w:t>
            </w:r>
          </w:p>
        </w:tc>
      </w:tr>
      <w:tr>
        <w:trPr>
          <w:cantSplit/>
        </w:trPr>
        <w:tc>
          <w:tcPr>
            <w:tcW w:type="dxa" w:w="284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Стоимость обслуживания</w:t>
            </w:r>
          </w:p>
        </w:tc>
        <w:tc>
          <w:tcPr>
            <w:tcW w:type="dxa" w:w="679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ручной сервис позиции сценария (0 — «входит в цену»)</w:t>
            </w:r>
          </w:p>
        </w:tc>
      </w:tr>
      <w:tr>
        <w:trPr>
          <w:cantSplit/>
        </w:trPr>
        <w:tc>
          <w:tcPr>
            <w:tcW w:type="dxa" w:w="284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Коэффициент загрузки</w:t>
            </w:r>
          </w:p>
        </w:tc>
        <w:tc>
          <w:tcPr>
            <w:tcW w:type="dxa" w:w="679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норматив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utilization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 в сценарии (0,70–0,85)</w:t>
            </w:r>
          </w:p>
        </w:tc>
      </w:tr>
      <w:tr>
        <w:trPr>
          <w:cantSplit/>
        </w:trPr>
        <w:tc>
          <w:tcPr>
            <w:tcW w:type="dxa" w:w="284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Горизонт расчёта</w:t>
            </w:r>
          </w:p>
        </w:tc>
        <w:tc>
          <w:tcPr>
            <w:tcW w:type="dxa" w:w="679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параметр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horizonYears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 (3–10 лет у склада)</w:t>
            </w:r>
          </w:p>
        </w:tc>
      </w:tr>
    </w:tbl>
    <w:p>
      <w:pPr>
        <w:spacing w:after="60"/>
      </w:pP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Каждая ручная корректировка пишется в журнал с автоматическим значением, прежним и новым
значением, единицей и причиной (ТЗ §3.5.4).</w:t>
      </w:r>
    </w:p>
    <w:p>
      <w:pPr>
        <w:pStyle w:val="Heading3"/>
        <w:keepNext/>
        <w:outlineLvl w:val="2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2.2 Карточка продукта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Из каталога в расчёт идёт снимок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ProductForCalc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lib/catalog/product-for-calc.ts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):
цена, ставка RaaS, паспортная производительность с областью («на робота», «на станцию», «на
парк») и оговоркой («до»), скорость, грузоподъёмность, автономность и время зарядки, сервис в
год, разовая цена ПО, стоимость внедрения и обучения, срок службы и срок замены АКБ. У
каждого числа есть происхождение и признак подтверждения. Если производитель значение не
публикует, берётся норматив, и статья помечается как оценка.</w:t>
      </w:r>
    </w:p>
    <w:p>
      <w:pPr>
        <w:pStyle w:val="Heading3"/>
        <w:keepNext/>
        <w:outlineLvl w:val="2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2.3 Процессы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Сгенерировано из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PROCESS_DEFS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80"/>
        <w:gridCol w:w="926"/>
        <w:gridCol w:w="1596"/>
        <w:gridCol w:w="1836"/>
        <w:gridCol w:w="1004"/>
        <w:gridCol w:w="911"/>
        <w:gridCol w:w="1685"/>
      </w:tblGrid>
      <w:tr>
        <w:trPr>
          <w:cantSplit/>
          <w:tblHeader/>
        </w:trPr>
        <w:tc>
          <w:tcPr>
            <w:tcW w:type="dxa" w:w="168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Процесс</w:t>
            </w:r>
          </w:p>
        </w:tc>
        <w:tc>
          <w:tcPr>
            <w:tcW w:type="dxa" w:w="92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Объект</w:t>
            </w:r>
          </w:p>
        </w:tc>
        <w:tc>
          <w:tcPr>
            <w:tcW w:type="dxa" w:w="159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Спрос</w:t>
            </w:r>
          </w:p>
        </w:tc>
        <w:tc>
          <w:tcPr>
            <w:tcW w:type="dxa" w:w="183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Производительность</w:t>
            </w:r>
          </w:p>
        </w:tc>
        <w:tc>
          <w:tcPr>
            <w:tcW w:type="dxa" w:w="100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Экономика</w:t>
            </w:r>
          </w:p>
        </w:tc>
        <w:tc>
          <w:tcPr>
            <w:tcW w:type="dxa" w:w="91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Имитация</w:t>
            </w:r>
          </w:p>
        </w:tc>
        <w:tc>
          <w:tcPr>
            <w:tcW w:type="dxa" w:w="168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Типы решений</w:t>
            </w:r>
          </w:p>
        </w:tc>
      </w:tr>
      <w:tr>
        <w:trPr>
          <w:cantSplit/>
        </w:trPr>
        <w:tc>
          <w:tcPr>
            <w:tcW w:type="dxa" w:w="168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Перемещение паллет: приёмка → хранение → отгрузка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pallet-transport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)</w:t>
            </w:r>
          </w:p>
        </w:tc>
        <w:tc>
          <w:tcPr>
            <w:tcW w:type="dxa" w:w="92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warehouse</w:t>
            </w:r>
          </w:p>
        </w:tc>
        <w:tc>
          <w:tcPr>
            <w:tcW w:type="dxa" w:w="159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(приёмка + отгрузка + внутренние перемещения) × (1 − доля негабарита) (паллет/сут)</w:t>
            </w:r>
          </w:p>
        </w:tc>
        <w:tc>
          <w:tcPr>
            <w:tcW w:type="dxa" w:w="183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паллет/ч</w:t>
            </w:r>
          </w:p>
        </w:tc>
        <w:tc>
          <w:tcPr>
            <w:tcW w:type="dxa" w:w="100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да</w:t>
            </w:r>
          </w:p>
        </w:tc>
        <w:tc>
          <w:tcPr>
            <w:tcW w:type="dxa" w:w="91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да</w:t>
            </w:r>
          </w:p>
        </w:tc>
        <w:tc>
          <w:tcPr>
            <w:tcW w:type="dxa" w:w="168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AMR паллетный (подъёмный), Автономный штабелёр (FMR), Паллетный шаттл, Кран-штабелёр AS/RS, Тягач</w:t>
            </w:r>
          </w:p>
        </w:tc>
      </w:tr>
      <w:tr>
        <w:trPr>
          <w:cantSplit/>
        </w:trPr>
        <w:tc>
          <w:tcPr>
            <w:tcW w:type="dxa" w:w="168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Автоматизированное хранение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storage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)</w:t>
            </w:r>
          </w:p>
        </w:tc>
        <w:tc>
          <w:tcPr>
            <w:tcW w:type="dxa" w:w="92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warehouse</w:t>
            </w:r>
          </w:p>
        </w:tc>
        <w:tc>
          <w:tcPr>
            <w:tcW w:type="dxa" w:w="159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ёмкость хранения (паллетоместа) — в tz-1.0.0 не рассчитывается (паллетомест)</w:t>
            </w:r>
          </w:p>
        </w:tc>
        <w:tc>
          <w:tcPr>
            <w:tcW w:type="dxa" w:w="183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паллет/ч</w:t>
            </w:r>
          </w:p>
        </w:tc>
        <w:tc>
          <w:tcPr>
            <w:tcW w:type="dxa" w:w="100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прототип</w:t>
            </w:r>
          </w:p>
        </w:tc>
        <w:tc>
          <w:tcPr>
            <w:tcW w:type="dxa" w:w="91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нет</w:t>
            </w:r>
          </w:p>
        </w:tc>
        <w:tc>
          <w:tcPr>
            <w:tcW w:type="dxa" w:w="168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Паллетный шаттл, Кран-штабелёр AS/RS, Автономный штабелёр (FMR)</w:t>
            </w:r>
          </w:p>
        </w:tc>
      </w:tr>
      <w:tr>
        <w:trPr>
          <w:cantSplit/>
        </w:trPr>
        <w:tc>
          <w:tcPr>
            <w:tcW w:type="dxa" w:w="168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Штучный отбор (товар к человеку)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piece-picking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)</w:t>
            </w:r>
          </w:p>
        </w:tc>
        <w:tc>
          <w:tcPr>
            <w:tcW w:type="dxa" w:w="92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warehouse</w:t>
            </w:r>
          </w:p>
        </w:tc>
        <w:tc>
          <w:tcPr>
            <w:tcW w:type="dxa" w:w="159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строки отбора × доля мелкоштучного отбора (строк/сут)</w:t>
            </w:r>
          </w:p>
        </w:tc>
        <w:tc>
          <w:tcPr>
            <w:tcW w:type="dxa" w:w="183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строк/ч</w:t>
            </w:r>
          </w:p>
        </w:tc>
        <w:tc>
          <w:tcPr>
            <w:tcW w:type="dxa" w:w="100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прототип</w:t>
            </w:r>
          </w:p>
        </w:tc>
        <w:tc>
          <w:tcPr>
            <w:tcW w:type="dxa" w:w="91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нет</w:t>
            </w:r>
          </w:p>
        </w:tc>
        <w:tc>
          <w:tcPr>
            <w:tcW w:type="dxa" w:w="168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Товар к человеку, AMR для ящиков и тележек</w:t>
            </w:r>
          </w:p>
        </w:tc>
      </w:tr>
      <w:tr>
        <w:trPr>
          <w:cantSplit/>
        </w:trPr>
        <w:tc>
          <w:tcPr>
            <w:tcW w:type="dxa" w:w="168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Сортировка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sorting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)</w:t>
            </w:r>
          </w:p>
        </w:tc>
        <w:tc>
          <w:tcPr>
            <w:tcW w:type="dxa" w:w="92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warehouse</w:t>
            </w:r>
          </w:p>
        </w:tc>
        <w:tc>
          <w:tcPr>
            <w:tcW w:type="dxa" w:w="159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штук отбора в сутки (шт./сут)</w:t>
            </w:r>
          </w:p>
        </w:tc>
        <w:tc>
          <w:tcPr>
            <w:tcW w:type="dxa" w:w="183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шт./ч</w:t>
            </w:r>
          </w:p>
        </w:tc>
        <w:tc>
          <w:tcPr>
            <w:tcW w:type="dxa" w:w="100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прототип</w:t>
            </w:r>
          </w:p>
        </w:tc>
        <w:tc>
          <w:tcPr>
            <w:tcW w:type="dxa" w:w="91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нет</w:t>
            </w:r>
          </w:p>
        </w:tc>
        <w:tc>
          <w:tcPr>
            <w:tcW w:type="dxa" w:w="168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Сортировочный робот</w:t>
            </w:r>
          </w:p>
        </w:tc>
      </w:tr>
      <w:tr>
        <w:trPr>
          <w:cantSplit/>
        </w:trPr>
        <w:tc>
          <w:tcPr>
            <w:tcW w:type="dxa" w:w="168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Инвентаризация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inventory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)</w:t>
            </w:r>
          </w:p>
        </w:tc>
        <w:tc>
          <w:tcPr>
            <w:tcW w:type="dxa" w:w="92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warehouse</w:t>
            </w:r>
          </w:p>
        </w:tc>
        <w:tc>
          <w:tcPr>
            <w:tcW w:type="dxa" w:w="159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паллетоместа × инвентаризаций в год — в tz-1.0.0 не рассчитывается (паллетомест/год)</w:t>
            </w:r>
          </w:p>
        </w:tc>
        <w:tc>
          <w:tcPr>
            <w:tcW w:type="dxa" w:w="183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паллетомест/ч</w:t>
            </w:r>
          </w:p>
        </w:tc>
        <w:tc>
          <w:tcPr>
            <w:tcW w:type="dxa" w:w="100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прототип</w:t>
            </w:r>
          </w:p>
        </w:tc>
        <w:tc>
          <w:tcPr>
            <w:tcW w:type="dxa" w:w="91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нет</w:t>
            </w:r>
          </w:p>
        </w:tc>
        <w:tc>
          <w:tcPr>
            <w:tcW w:type="dxa" w:w="168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Робот-инвентаризатор</w:t>
            </w:r>
          </w:p>
        </w:tc>
      </w:tr>
      <w:tr>
        <w:trPr>
          <w:cantSplit/>
        </w:trPr>
        <w:tc>
          <w:tcPr>
            <w:tcW w:type="dxa" w:w="168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Уборка склада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cleaning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)</w:t>
            </w:r>
          </w:p>
        </w:tc>
        <w:tc>
          <w:tcPr>
            <w:tcW w:type="dxa" w:w="92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warehouse</w:t>
            </w:r>
          </w:p>
        </w:tc>
        <w:tc>
          <w:tcPr>
            <w:tcW w:type="dxa" w:w="159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площадь уборки × уборок в сутки (м²/сут)</w:t>
            </w:r>
          </w:p>
        </w:tc>
        <w:tc>
          <w:tcPr>
            <w:tcW w:type="dxa" w:w="183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м²/ч</w:t>
            </w:r>
          </w:p>
        </w:tc>
        <w:tc>
          <w:tcPr>
            <w:tcW w:type="dxa" w:w="100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прототип</w:t>
            </w:r>
          </w:p>
        </w:tc>
        <w:tc>
          <w:tcPr>
            <w:tcW w:type="dxa" w:w="91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нет</w:t>
            </w:r>
          </w:p>
        </w:tc>
        <w:tc>
          <w:tcPr>
            <w:tcW w:type="dxa" w:w="168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Робот-уборщик</w:t>
            </w:r>
          </w:p>
        </w:tc>
      </w:tr>
      <w:tr>
        <w:trPr>
          <w:cantSplit/>
        </w:trPr>
        <w:tc>
          <w:tcPr>
            <w:tcW w:type="dxa" w:w="168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Перемещение багажа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baggage-transport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)</w:t>
            </w:r>
          </w:p>
        </w:tc>
        <w:tc>
          <w:tcPr>
            <w:tcW w:type="dxa" w:w="92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airport</w:t>
            </w:r>
          </w:p>
        </w:tc>
        <w:tc>
          <w:tcPr>
            <w:tcW w:type="dxa" w:w="159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единиц багажа в сутки (ед./сут)</w:t>
            </w:r>
          </w:p>
        </w:tc>
        <w:tc>
          <w:tcPr>
            <w:tcW w:type="dxa" w:w="183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ед./ч</w:t>
            </w:r>
          </w:p>
        </w:tc>
        <w:tc>
          <w:tcPr>
            <w:tcW w:type="dxa" w:w="100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прототип</w:t>
            </w:r>
          </w:p>
        </w:tc>
        <w:tc>
          <w:tcPr>
            <w:tcW w:type="dxa" w:w="91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нет</w:t>
            </w:r>
          </w:p>
        </w:tc>
        <w:tc>
          <w:tcPr>
            <w:tcW w:type="dxa" w:w="168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Тягач</w:t>
            </w:r>
          </w:p>
        </w:tc>
      </w:tr>
      <w:tr>
        <w:trPr>
          <w:cantSplit/>
        </w:trPr>
        <w:tc>
          <w:tcPr>
            <w:tcW w:type="dxa" w:w="168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Буксировка на перроне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apron-towing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)</w:t>
            </w:r>
          </w:p>
        </w:tc>
        <w:tc>
          <w:tcPr>
            <w:tcW w:type="dxa" w:w="92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airport</w:t>
            </w:r>
          </w:p>
        </w:tc>
        <w:tc>
          <w:tcPr>
            <w:tcW w:type="dxa" w:w="159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операции наземного обслуживания — в tz-1.0.0 не рассчитывается (операций/сут)</w:t>
            </w:r>
          </w:p>
        </w:tc>
        <w:tc>
          <w:tcPr>
            <w:tcW w:type="dxa" w:w="183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операций/ч</w:t>
            </w:r>
          </w:p>
        </w:tc>
        <w:tc>
          <w:tcPr>
            <w:tcW w:type="dxa" w:w="100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прототип</w:t>
            </w:r>
          </w:p>
        </w:tc>
        <w:tc>
          <w:tcPr>
            <w:tcW w:type="dxa" w:w="91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нет</w:t>
            </w:r>
          </w:p>
        </w:tc>
        <w:tc>
          <w:tcPr>
            <w:tcW w:type="dxa" w:w="168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Тягач, Беспилотный грузовик двора</w:t>
            </w:r>
          </w:p>
        </w:tc>
      </w:tr>
      <w:tr>
        <w:trPr>
          <w:cantSplit/>
        </w:trPr>
        <w:tc>
          <w:tcPr>
            <w:tcW w:type="dxa" w:w="168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Уборка терминала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terminal-cleaning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)</w:t>
            </w:r>
          </w:p>
        </w:tc>
        <w:tc>
          <w:tcPr>
            <w:tcW w:type="dxa" w:w="92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airport</w:t>
            </w:r>
          </w:p>
        </w:tc>
        <w:tc>
          <w:tcPr>
            <w:tcW w:type="dxa" w:w="159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площадь, доступная для роботизированной уборки (м²/сут)</w:t>
            </w:r>
          </w:p>
        </w:tc>
        <w:tc>
          <w:tcPr>
            <w:tcW w:type="dxa" w:w="183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м²/ч</w:t>
            </w:r>
          </w:p>
        </w:tc>
        <w:tc>
          <w:tcPr>
            <w:tcW w:type="dxa" w:w="100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прототип</w:t>
            </w:r>
          </w:p>
        </w:tc>
        <w:tc>
          <w:tcPr>
            <w:tcW w:type="dxa" w:w="91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нет</w:t>
            </w:r>
          </w:p>
        </w:tc>
        <w:tc>
          <w:tcPr>
            <w:tcW w:type="dxa" w:w="168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Робот-уборщик</w:t>
            </w:r>
          </w:p>
        </w:tc>
      </w:tr>
      <w:tr>
        <w:trPr>
          <w:cantSplit/>
        </w:trPr>
        <w:tc>
          <w:tcPr>
            <w:tcW w:type="dxa" w:w="168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Патрулирование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patrol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)</w:t>
            </w:r>
          </w:p>
        </w:tc>
        <w:tc>
          <w:tcPr>
            <w:tcW w:type="dxa" w:w="92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airport</w:t>
            </w:r>
          </w:p>
        </w:tc>
        <w:tc>
          <w:tcPr>
            <w:tcW w:type="dxa" w:w="159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обходы зон безопасности — в tz-1.0.0 не рассчитывается (обходов/сут)</w:t>
            </w:r>
          </w:p>
        </w:tc>
        <w:tc>
          <w:tcPr>
            <w:tcW w:type="dxa" w:w="183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обходов/ч</w:t>
            </w:r>
          </w:p>
        </w:tc>
        <w:tc>
          <w:tcPr>
            <w:tcW w:type="dxa" w:w="100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прототип</w:t>
            </w:r>
          </w:p>
        </w:tc>
        <w:tc>
          <w:tcPr>
            <w:tcW w:type="dxa" w:w="91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нет</w:t>
            </w:r>
          </w:p>
        </w:tc>
        <w:tc>
          <w:tcPr>
            <w:tcW w:type="dxa" w:w="168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Патрульный робот</w:t>
            </w:r>
          </w:p>
        </w:tc>
      </w:tr>
      <w:tr>
        <w:trPr>
          <w:cantSplit/>
        </w:trPr>
        <w:tc>
          <w:tcPr>
            <w:tcW w:type="dxa" w:w="168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Внутрибольничная доставка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hospital-delivery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)</w:t>
            </w:r>
          </w:p>
        </w:tc>
        <w:tc>
          <w:tcPr>
            <w:tcW w:type="dxa" w:w="92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medical</w:t>
            </w:r>
          </w:p>
        </w:tc>
        <w:tc>
          <w:tcPr>
            <w:tcW w:type="dxa" w:w="159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заявки на лекарства + рейсы с расходниками + рейсы с результатами анализов (рейсов/сут)</w:t>
            </w:r>
          </w:p>
        </w:tc>
        <w:tc>
          <w:tcPr>
            <w:tcW w:type="dxa" w:w="183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рейсов/ч</w:t>
            </w:r>
          </w:p>
        </w:tc>
        <w:tc>
          <w:tcPr>
            <w:tcW w:type="dxa" w:w="100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прототип</w:t>
            </w:r>
          </w:p>
        </w:tc>
        <w:tc>
          <w:tcPr>
            <w:tcW w:type="dxa" w:w="91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нет</w:t>
            </w:r>
          </w:p>
        </w:tc>
        <w:tc>
          <w:tcPr>
            <w:tcW w:type="dxa" w:w="168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Робот-доставщик в помещениях, AMR для ящиков и тележек, Тягач</w:t>
            </w:r>
          </w:p>
        </w:tc>
      </w:tr>
      <w:tr>
        <w:trPr>
          <w:cantSplit/>
        </w:trPr>
        <w:tc>
          <w:tcPr>
            <w:tcW w:type="dxa" w:w="168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Уборка помещений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hospital-cleaning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)</w:t>
            </w:r>
          </w:p>
        </w:tc>
        <w:tc>
          <w:tcPr>
            <w:tcW w:type="dxa" w:w="92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medical</w:t>
            </w:r>
          </w:p>
        </w:tc>
        <w:tc>
          <w:tcPr>
            <w:tcW w:type="dxa" w:w="159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общая площадь (м²/сут)</w:t>
            </w:r>
          </w:p>
        </w:tc>
        <w:tc>
          <w:tcPr>
            <w:tcW w:type="dxa" w:w="183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м²/ч</w:t>
            </w:r>
          </w:p>
        </w:tc>
        <w:tc>
          <w:tcPr>
            <w:tcW w:type="dxa" w:w="100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прототип</w:t>
            </w:r>
          </w:p>
        </w:tc>
        <w:tc>
          <w:tcPr>
            <w:tcW w:type="dxa" w:w="91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нет</w:t>
            </w:r>
          </w:p>
        </w:tc>
        <w:tc>
          <w:tcPr>
            <w:tcW w:type="dxa" w:w="168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Робот-уборщик</w:t>
            </w:r>
          </w:p>
        </w:tc>
      </w:tr>
      <w:tr>
        <w:trPr>
          <w:cantSplit/>
        </w:trPr>
        <w:tc>
          <w:tcPr>
            <w:tcW w:type="dxa" w:w="168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Дезинфекция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disinfection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)</w:t>
            </w:r>
          </w:p>
        </w:tc>
        <w:tc>
          <w:tcPr>
            <w:tcW w:type="dxa" w:w="92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medical</w:t>
            </w:r>
          </w:p>
        </w:tc>
        <w:tc>
          <w:tcPr>
            <w:tcW w:type="dxa" w:w="159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площадь обработки — в tz-1.0.0 не рассчитывается (м²/сут)</w:t>
            </w:r>
          </w:p>
        </w:tc>
        <w:tc>
          <w:tcPr>
            <w:tcW w:type="dxa" w:w="183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м²/ч</w:t>
            </w:r>
          </w:p>
        </w:tc>
        <w:tc>
          <w:tcPr>
            <w:tcW w:type="dxa" w:w="100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прототип</w:t>
            </w:r>
          </w:p>
        </w:tc>
        <w:tc>
          <w:tcPr>
            <w:tcW w:type="dxa" w:w="91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нет</w:t>
            </w:r>
          </w:p>
        </w:tc>
        <w:tc>
          <w:tcPr>
            <w:tcW w:type="dxa" w:w="168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Робот-уборщик, Прочее</w:t>
            </w:r>
          </w:p>
        </w:tc>
      </w:tr>
    </w:tbl>
    <w:p>
      <w:pPr>
        <w:spacing w:after="60"/>
      </w:pPr>
    </w:p>
    <w:p>
      <w:pPr>
        <w:pStyle w:val="Heading2"/>
        <w:keepNext/>
        <w:outlineLvl w:val="1"/>
      </w:pPr>
      <w:bookmarkStart w:name="toc23" w:id="1"/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3. Формулы</w:t>
      </w:r>
      <w:bookmarkEnd w:id="1"/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Все 47 формул модели. Колонка «Источник» говорит, откуда формула: «ТЗ §3.5.2» —
рекомендуемые зависимости ТЗ; «организатор» — легенда датасета организатора; «наш выбор» —
решение команды, его причина объяснена в методике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/methodology/tz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.</w:t>
      </w:r>
    </w:p>
    <w:p>
      <w:pPr>
        <w:pStyle w:val="Heading4"/>
        <w:keepNext/>
        <w:outlineLvl w:val="3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Режим работы и спрос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74"/>
        <w:gridCol w:w="1702"/>
        <w:gridCol w:w="4282"/>
        <w:gridCol w:w="1103"/>
        <w:gridCol w:w="1277"/>
      </w:tblGrid>
      <w:tr>
        <w:trPr>
          <w:cantSplit/>
          <w:tblHeader/>
        </w:trPr>
        <w:tc>
          <w:tcPr>
            <w:tcW w:type="dxa" w:w="127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7"/>
                <w:szCs w:val="17"/>
              </w:rPr>
              <w:t xml:space="preserve">Ключ</w:t>
            </w:r>
          </w:p>
        </w:tc>
        <w:tc>
          <w:tcPr>
            <w:tcW w:type="dxa" w:w="170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7"/>
                <w:szCs w:val="17"/>
              </w:rPr>
              <w:t xml:space="preserve">Показатель</w:t>
            </w:r>
          </w:p>
        </w:tc>
        <w:tc>
          <w:tcPr>
            <w:tcW w:type="dxa" w:w="428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7"/>
                <w:szCs w:val="17"/>
              </w:rPr>
              <w:t xml:space="preserve">Формула</w:t>
            </w:r>
          </w:p>
        </w:tc>
        <w:tc>
          <w:tcPr>
            <w:tcW w:type="dxa" w:w="110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7"/>
                <w:szCs w:val="17"/>
              </w:rPr>
              <w:t xml:space="preserve">Единицы</w:t>
            </w:r>
          </w:p>
        </w:tc>
        <w:tc>
          <w:tcPr>
            <w:tcW w:type="dxa" w:w="127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7"/>
                <w:szCs w:val="17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type="dxa" w:w="127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workHours</w:t>
            </w:r>
          </w:p>
        </w:tc>
        <w:tc>
          <w:tcPr>
            <w:tcW w:type="dxa" w:w="170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Часы работы объекта</w:t>
            </w:r>
          </w:p>
        </w:tc>
        <w:tc>
          <w:tcPr>
            <w:tcW w:type="dxa" w:w="428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Hсут = смен в сутки × длительность смены (не более 24 ч); Hгод = Hсут × рабочих дней в году</w:t>
            </w:r>
          </w:p>
        </w:tc>
        <w:tc>
          <w:tcPr>
            <w:tcW w:type="dxa" w:w="110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ч/сут; ч/год</w:t>
            </w:r>
          </w:p>
        </w:tc>
        <w:tc>
          <w:tcPr>
            <w:tcW w:type="dxa" w:w="127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организатор</w:t>
            </w:r>
          </w:p>
        </w:tc>
      </w:tr>
      <w:tr>
        <w:trPr>
          <w:cantSplit/>
        </w:trPr>
        <w:tc>
          <w:tcPr>
            <w:tcW w:type="dxa" w:w="127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demandDay</w:t>
            </w:r>
          </w:p>
        </w:tc>
        <w:tc>
          <w:tcPr>
            <w:tcW w:type="dxa" w:w="170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Суточный спрос процесса</w:t>
            </w:r>
          </w:p>
        </w:tc>
        <w:tc>
          <w:tcPr>
            <w:tcW w:type="dxa" w:w="428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Qсут = Σ объёмов процесса × (доля процесса / 100) × Π множителей × (1 − доля негабарита / 100)</w:t>
            </w:r>
          </w:p>
        </w:tc>
        <w:tc>
          <w:tcPr>
            <w:tcW w:type="dxa" w:w="110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ед./сут</w:t>
            </w:r>
          </w:p>
        </w:tc>
        <w:tc>
          <w:tcPr>
            <w:tcW w:type="dxa" w:w="127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наш выбор</w:t>
            </w:r>
          </w:p>
        </w:tc>
      </w:tr>
      <w:tr>
        <w:trPr>
          <w:cantSplit/>
        </w:trPr>
        <w:tc>
          <w:tcPr>
            <w:tcW w:type="dxa" w:w="127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peakPerHour</w:t>
            </w:r>
          </w:p>
        </w:tc>
        <w:tc>
          <w:tcPr>
            <w:tcW w:type="dxa" w:w="170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Пиковый часовой поток</w:t>
            </w:r>
          </w:p>
        </w:tc>
        <w:tc>
          <w:tcPr>
            <w:tcW w:type="dxa" w:w="428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λср = Qсут / Hсут; λпик = λср × пиковый коэффициент</w:t>
            </w:r>
          </w:p>
        </w:tc>
        <w:tc>
          <w:tcPr>
            <w:tcW w:type="dxa" w:w="110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ед./ч</w:t>
            </w:r>
          </w:p>
        </w:tc>
        <w:tc>
          <w:tcPr>
            <w:tcW w:type="dxa" w:w="127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организатор</w:t>
            </w:r>
          </w:p>
        </w:tc>
      </w:tr>
    </w:tbl>
    <w:p>
      <w:pPr>
        <w:spacing w:after="60"/>
      </w:pPr>
    </w:p>
    <w:p>
      <w:pPr>
        <w:pStyle w:val="Heading4"/>
        <w:keepNext/>
        <w:outlineLvl w:val="3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Производительность и парк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8"/>
        <w:gridCol w:w="2486"/>
        <w:gridCol w:w="4018"/>
        <w:gridCol w:w="1090"/>
        <w:gridCol w:w="1066"/>
      </w:tblGrid>
      <w:tr>
        <w:trPr>
          <w:cantSplit/>
          <w:tblHeader/>
        </w:trPr>
        <w:tc>
          <w:tcPr>
            <w:tcW w:type="dxa" w:w="97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7"/>
                <w:szCs w:val="17"/>
              </w:rPr>
              <w:t xml:space="preserve">Ключ</w:t>
            </w:r>
          </w:p>
        </w:tc>
        <w:tc>
          <w:tcPr>
            <w:tcW w:type="dxa" w:w="248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7"/>
                <w:szCs w:val="17"/>
              </w:rPr>
              <w:t xml:space="preserve">Показатель</w:t>
            </w:r>
          </w:p>
        </w:tc>
        <w:tc>
          <w:tcPr>
            <w:tcW w:type="dxa" w:w="401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7"/>
                <w:szCs w:val="17"/>
              </w:rPr>
              <w:t xml:space="preserve">Формула</w:t>
            </w:r>
          </w:p>
        </w:tc>
        <w:tc>
          <w:tcPr>
            <w:tcW w:type="dxa" w:w="109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7"/>
                <w:szCs w:val="17"/>
              </w:rPr>
              <w:t xml:space="preserve">Единицы</w:t>
            </w:r>
          </w:p>
        </w:tc>
        <w:tc>
          <w:tcPr>
            <w:tcW w:type="dxa" w:w="106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7"/>
                <w:szCs w:val="17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type="dxa" w:w="97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thrNorm</w:t>
            </w:r>
          </w:p>
        </w:tc>
        <w:tc>
          <w:tcPr>
            <w:tcW w:type="dxa" w:w="248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Паспортная производительность</w:t>
            </w:r>
          </w:p>
        </w:tc>
        <w:tc>
          <w:tcPr>
            <w:tcW w:type="dxa" w:w="401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thrнорм = производительность из карточки продукта, если она на один робот или станцию, в единицах процесса и не «до X» (предел, а не типичное значение)</w:t>
            </w:r>
          </w:p>
        </w:tc>
        <w:tc>
          <w:tcPr>
            <w:tcW w:type="dxa" w:w="109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ед./ч</w:t>
            </w:r>
          </w:p>
        </w:tc>
        <w:tc>
          <w:tcPr>
            <w:tcW w:type="dxa" w:w="106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наш выбор</w:t>
            </w:r>
          </w:p>
        </w:tc>
      </w:tr>
      <w:tr>
        <w:trPr>
          <w:cantSplit/>
        </w:trPr>
        <w:tc>
          <w:tcPr>
            <w:tcW w:type="dxa" w:w="97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thrCycle</w:t>
            </w:r>
          </w:p>
        </w:tc>
        <w:tc>
          <w:tcPr>
            <w:tcW w:type="dxa" w:w="248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Производительность по циклу на планировке объекта</w:t>
            </w:r>
          </w:p>
        </w:tc>
        <w:tc>
          <w:tcPr>
            <w:tcW w:type="dxa" w:w="401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thrцикл = 3600 / (Lпорож / v + Lгруз / (v × kгруз) + 2 × tзахв)</w:t>
            </w:r>
          </w:p>
        </w:tc>
        <w:tc>
          <w:tcPr>
            <w:tcW w:type="dxa" w:w="109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ед./ч; м; м/с; с</w:t>
            </w:r>
          </w:p>
        </w:tc>
        <w:tc>
          <w:tcPr>
            <w:tcW w:type="dxa" w:w="106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наш выбор</w:t>
            </w:r>
          </w:p>
        </w:tc>
      </w:tr>
      <w:tr>
        <w:trPr>
          <w:cantSplit/>
        </w:trPr>
        <w:tc>
          <w:tcPr>
            <w:tcW w:type="dxa" w:w="97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thrEff</w:t>
            </w:r>
          </w:p>
        </w:tc>
        <w:tc>
          <w:tcPr>
            <w:tcW w:type="dxa" w:w="248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Принятая производительность робота</w:t>
            </w:r>
          </w:p>
        </w:tc>
        <w:tc>
          <w:tcPr>
            <w:tcW w:type="dxa" w:w="401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thrэфф = значение, заданное вами, иначе min(thrнорм; thrцикл) из известных</w:t>
            </w:r>
          </w:p>
        </w:tc>
        <w:tc>
          <w:tcPr>
            <w:tcW w:type="dxa" w:w="109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ед./ч</w:t>
            </w:r>
          </w:p>
        </w:tc>
        <w:tc>
          <w:tcPr>
            <w:tcW w:type="dxa" w:w="106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наш выбор</w:t>
            </w:r>
          </w:p>
        </w:tc>
      </w:tr>
      <w:tr>
        <w:trPr>
          <w:cantSplit/>
        </w:trPr>
        <w:tc>
          <w:tcPr>
            <w:tcW w:type="dxa" w:w="97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fleet</w:t>
            </w:r>
          </w:p>
        </w:tc>
        <w:tc>
          <w:tcPr>
            <w:tcW w:type="dxa" w:w="248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Число роботов</w:t>
            </w:r>
          </w:p>
        </w:tc>
        <w:tc>
          <w:tcPr>
            <w:tcW w:type="dxa" w:w="401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Nточн = λпик / (thrэфф × U × A) × (1 + резерв); N = значение, заданное вами, иначе max(1; ⌈Nточн⌉)</w:t>
            </w:r>
          </w:p>
        </w:tc>
        <w:tc>
          <w:tcPr>
            <w:tcW w:type="dxa" w:w="109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шт.</w:t>
            </w:r>
          </w:p>
        </w:tc>
        <w:tc>
          <w:tcPr>
            <w:tcW w:type="dxa" w:w="106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ТЗ §3.5.2</w:t>
            </w:r>
          </w:p>
        </w:tc>
      </w:tr>
      <w:tr>
        <w:trPr>
          <w:cantSplit/>
        </w:trPr>
        <w:tc>
          <w:tcPr>
            <w:tcW w:type="dxa" w:w="97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coverage</w:t>
            </w:r>
          </w:p>
        </w:tc>
        <w:tc>
          <w:tcPr>
            <w:tcW w:type="dxa" w:w="248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Доля пикового спроса, которую закрывает парк</w:t>
            </w:r>
          </w:p>
        </w:tc>
        <w:tc>
          <w:tcPr>
            <w:tcW w:type="dxa" w:w="401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κ = min(1; N × thrэфф × U × A / λпик)</w:t>
            </w:r>
          </w:p>
        </w:tc>
        <w:tc>
          <w:tcPr>
            <w:tcW w:type="dxa" w:w="109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доля</w:t>
            </w:r>
          </w:p>
        </w:tc>
        <w:tc>
          <w:tcPr>
            <w:tcW w:type="dxa" w:w="106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наш выбор</w:t>
            </w:r>
          </w:p>
        </w:tc>
      </w:tr>
      <w:tr>
        <w:trPr>
          <w:cantSplit/>
        </w:trPr>
        <w:tc>
          <w:tcPr>
            <w:tcW w:type="dxa" w:w="97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chargers</w:t>
            </w:r>
          </w:p>
        </w:tc>
        <w:tc>
          <w:tcPr>
            <w:tcW w:type="dxa" w:w="248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Число зарядных станций</w:t>
            </w:r>
          </w:p>
        </w:tc>
        <w:tc>
          <w:tcPr>
            <w:tcW w:type="dxa" w:w="401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C = max(1; ⌈N × tзар / (автономность × 60 + tзар) × kзапас⌉); без данных о зарядке C = max(1; ⌈N / роботов на станцию⌉); для стационарных систем C = 0</w:t>
            </w:r>
          </w:p>
        </w:tc>
        <w:tc>
          <w:tcPr>
            <w:tcW w:type="dxa" w:w="109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шт.</w:t>
            </w:r>
          </w:p>
        </w:tc>
        <w:tc>
          <w:tcPr>
            <w:tcW w:type="dxa" w:w="106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наш выбор</w:t>
            </w:r>
          </w:p>
        </w:tc>
      </w:tr>
    </w:tbl>
    <w:p>
      <w:pPr>
        <w:spacing w:after="60"/>
      </w:pPr>
    </w:p>
    <w:p>
      <w:pPr>
        <w:pStyle w:val="Heading4"/>
        <w:keepNext/>
        <w:outlineLvl w:val="3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Труд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69"/>
        <w:gridCol w:w="1959"/>
        <w:gridCol w:w="3782"/>
        <w:gridCol w:w="951"/>
        <w:gridCol w:w="1277"/>
      </w:tblGrid>
      <w:tr>
        <w:trPr>
          <w:cantSplit/>
          <w:tblHeader/>
        </w:trPr>
        <w:tc>
          <w:tcPr>
            <w:tcW w:type="dxa" w:w="166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7"/>
                <w:szCs w:val="17"/>
              </w:rPr>
              <w:t xml:space="preserve">Ключ</w:t>
            </w:r>
          </w:p>
        </w:tc>
        <w:tc>
          <w:tcPr>
            <w:tcW w:type="dxa" w:w="195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7"/>
                <w:szCs w:val="17"/>
              </w:rPr>
              <w:t xml:space="preserve">Показатель</w:t>
            </w:r>
          </w:p>
        </w:tc>
        <w:tc>
          <w:tcPr>
            <w:tcW w:type="dxa" w:w="378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7"/>
                <w:szCs w:val="17"/>
              </w:rPr>
              <w:t xml:space="preserve">Формула</w:t>
            </w:r>
          </w:p>
        </w:tc>
        <w:tc>
          <w:tcPr>
            <w:tcW w:type="dxa" w:w="9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7"/>
                <w:szCs w:val="17"/>
              </w:rPr>
              <w:t xml:space="preserve">Единицы</w:t>
            </w:r>
          </w:p>
        </w:tc>
        <w:tc>
          <w:tcPr>
            <w:tcW w:type="dxa" w:w="127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7"/>
                <w:szCs w:val="17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type="dxa" w:w="166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roleCost</w:t>
            </w:r>
          </w:p>
        </w:tc>
        <w:tc>
          <w:tcPr>
            <w:tcW w:type="dxa" w:w="195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Годовая стоимость одной ставки</w:t>
            </w:r>
          </w:p>
        </w:tc>
        <w:tc>
          <w:tcPr>
            <w:tcW w:type="dxa" w:w="378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c = зарплата × 12 × коэффициент начислений на ФОТ</w:t>
            </w:r>
          </w:p>
        </w:tc>
        <w:tc>
          <w:tcPr>
            <w:tcW w:type="dxa" w:w="9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₽/год</w:t>
            </w:r>
          </w:p>
        </w:tc>
        <w:tc>
          <w:tcPr>
            <w:tcW w:type="dxa" w:w="127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организатор</w:t>
            </w:r>
          </w:p>
        </w:tc>
      </w:tr>
      <w:tr>
        <w:trPr>
          <w:cantSplit/>
        </w:trPr>
        <w:tc>
          <w:tcPr>
            <w:tcW w:type="dxa" w:w="166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baselineLabour</w:t>
            </w:r>
          </w:p>
        </w:tc>
        <w:tc>
          <w:tcPr>
            <w:tcW w:type="dxa" w:w="195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ФОТ персонала процесса (как есть)</w:t>
            </w:r>
          </w:p>
        </w:tc>
        <w:tc>
          <w:tcPr>
            <w:tcW w:type="dxa" w:w="378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ФОТбаз = численность × c</w:t>
            </w:r>
          </w:p>
        </w:tc>
        <w:tc>
          <w:tcPr>
            <w:tcW w:type="dxa" w:w="9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₽/год</w:t>
            </w:r>
          </w:p>
        </w:tc>
        <w:tc>
          <w:tcPr>
            <w:tcW w:type="dxa" w:w="127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ТЗ §3.5.2</w:t>
            </w:r>
          </w:p>
        </w:tc>
      </w:tr>
      <w:tr>
        <w:trPr>
          <w:cantSplit/>
        </w:trPr>
        <w:tc>
          <w:tcPr>
            <w:tcW w:type="dxa" w:w="166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releasedFte</w:t>
            </w:r>
          </w:p>
        </w:tc>
        <w:tc>
          <w:tcPr>
            <w:tcW w:type="dxa" w:w="195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Высвобождаемые ставки</w:t>
            </w:r>
          </w:p>
        </w:tc>
        <w:tc>
          <w:tcPr>
            <w:tcW w:type="dxa" w:w="378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F = численность × доля автоматизируемого труда × (1 − доля негабарита / 100) × κ (негабарит перевозят только люди, поэтому он исключён и из спроса роботов, и из высвобождаемого труда — это не двойной учёт)</w:t>
            </w:r>
          </w:p>
        </w:tc>
        <w:tc>
          <w:tcPr>
            <w:tcW w:type="dxa" w:w="9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ставок</w:t>
            </w:r>
          </w:p>
        </w:tc>
        <w:tc>
          <w:tcPr>
            <w:tcW w:type="dxa" w:w="127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наш выбор</w:t>
            </w:r>
          </w:p>
        </w:tc>
      </w:tr>
      <w:tr>
        <w:trPr>
          <w:cantSplit/>
        </w:trPr>
        <w:tc>
          <w:tcPr>
            <w:tcW w:type="dxa" w:w="166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remainingLabour</w:t>
            </w:r>
          </w:p>
        </w:tc>
        <w:tc>
          <w:tcPr>
            <w:tcW w:type="dxa" w:w="195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ФОТ оставшегося персонала процесса</w:t>
            </w:r>
          </w:p>
        </w:tc>
        <w:tc>
          <w:tcPr>
            <w:tcW w:type="dxa" w:w="378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ФОТост = (численность − F) × c</w:t>
            </w:r>
          </w:p>
        </w:tc>
        <w:tc>
          <w:tcPr>
            <w:tcW w:type="dxa" w:w="9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₽/год</w:t>
            </w:r>
          </w:p>
        </w:tc>
        <w:tc>
          <w:tcPr>
            <w:tcW w:type="dxa" w:w="127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ТЗ §3.5.2</w:t>
            </w:r>
          </w:p>
        </w:tc>
      </w:tr>
      <w:tr>
        <w:trPr>
          <w:cantSplit/>
        </w:trPr>
        <w:tc>
          <w:tcPr>
            <w:tcW w:type="dxa" w:w="166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operatingStaff</w:t>
            </w:r>
          </w:p>
        </w:tc>
        <w:tc>
          <w:tcPr>
            <w:tcW w:type="dxa" w:w="195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Персонал эксплуатации (диспетчер парка)</w:t>
            </w:r>
          </w:p>
        </w:tc>
        <w:tc>
          <w:tcPr>
            <w:tcW w:type="dxa" w:w="378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посты = ⌈N / роботов на пост⌉; ФОТэксп = посты × Hсут × дней в году / фонд ставки в год × c</w:t>
            </w:r>
          </w:p>
        </w:tc>
        <w:tc>
          <w:tcPr>
            <w:tcW w:type="dxa" w:w="9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₽/год</w:t>
            </w:r>
          </w:p>
        </w:tc>
        <w:tc>
          <w:tcPr>
            <w:tcW w:type="dxa" w:w="127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наш выбор</w:t>
            </w:r>
          </w:p>
        </w:tc>
      </w:tr>
    </w:tbl>
    <w:p>
      <w:pPr>
        <w:spacing w:after="60"/>
      </w:pPr>
    </w:p>
    <w:p>
      <w:pPr>
        <w:pStyle w:val="Heading4"/>
        <w:keepNext/>
        <w:outlineLvl w:val="3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CAPEX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4"/>
        <w:gridCol w:w="2107"/>
        <w:gridCol w:w="3300"/>
        <w:gridCol w:w="951"/>
        <w:gridCol w:w="1276"/>
      </w:tblGrid>
      <w:tr>
        <w:trPr>
          <w:cantSplit/>
          <w:tblHeader/>
        </w:trPr>
        <w:tc>
          <w:tcPr>
            <w:tcW w:type="dxa" w:w="200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7"/>
                <w:szCs w:val="17"/>
              </w:rPr>
              <w:t xml:space="preserve">Ключ</w:t>
            </w:r>
          </w:p>
        </w:tc>
        <w:tc>
          <w:tcPr>
            <w:tcW w:type="dxa" w:w="210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7"/>
                <w:szCs w:val="17"/>
              </w:rPr>
              <w:t xml:space="preserve">Показатель</w:t>
            </w:r>
          </w:p>
        </w:tc>
        <w:tc>
          <w:tcPr>
            <w:tcW w:type="dxa" w:w="330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7"/>
                <w:szCs w:val="17"/>
              </w:rPr>
              <w:t xml:space="preserve">Формула</w:t>
            </w:r>
          </w:p>
        </w:tc>
        <w:tc>
          <w:tcPr>
            <w:tcW w:type="dxa" w:w="9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7"/>
                <w:szCs w:val="17"/>
              </w:rPr>
              <w:t xml:space="preserve">Единицы</w:t>
            </w:r>
          </w:p>
        </w:tc>
        <w:tc>
          <w:tcPr>
            <w:tcW w:type="dxa" w:w="127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7"/>
                <w:szCs w:val="17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type="dxa" w:w="200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capex:equipment</w:t>
            </w:r>
          </w:p>
        </w:tc>
        <w:tc>
          <w:tcPr>
            <w:tcW w:type="dxa" w:w="210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Оборудование (роботы)</w:t>
            </w:r>
          </w:p>
        </w:tc>
        <w:tc>
          <w:tcPr>
            <w:tcW w:type="dxa" w:w="330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N × цена за единицу</w:t>
            </w:r>
          </w:p>
        </w:tc>
        <w:tc>
          <w:tcPr>
            <w:tcW w:type="dxa" w:w="9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₽</w:t>
            </w:r>
          </w:p>
        </w:tc>
        <w:tc>
          <w:tcPr>
            <w:tcW w:type="dxa" w:w="127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ТЗ §3.5.2</w:t>
            </w:r>
          </w:p>
        </w:tc>
      </w:tr>
      <w:tr>
        <w:trPr>
          <w:cantSplit/>
        </w:trPr>
        <w:tc>
          <w:tcPr>
            <w:tcW w:type="dxa" w:w="200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capex:chargers</w:t>
            </w:r>
          </w:p>
        </w:tc>
        <w:tc>
          <w:tcPr>
            <w:tcW w:type="dxa" w:w="210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Зарядные станции</w:t>
            </w:r>
          </w:p>
        </w:tc>
        <w:tc>
          <w:tcPr>
            <w:tcW w:type="dxa" w:w="330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C × цена зарядной станции</w:t>
            </w:r>
          </w:p>
        </w:tc>
        <w:tc>
          <w:tcPr>
            <w:tcW w:type="dxa" w:w="9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₽</w:t>
            </w:r>
          </w:p>
        </w:tc>
        <w:tc>
          <w:tcPr>
            <w:tcW w:type="dxa" w:w="127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ТЗ §3.5.2</w:t>
            </w:r>
          </w:p>
        </w:tc>
      </w:tr>
      <w:tr>
        <w:trPr>
          <w:cantSplit/>
        </w:trPr>
        <w:tc>
          <w:tcPr>
            <w:tcW w:type="dxa" w:w="200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capex:infrastructure</w:t>
            </w:r>
          </w:p>
        </w:tc>
        <w:tc>
          <w:tcPr>
            <w:tcW w:type="dxa" w:w="210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Инфраструктура площадки (разметка, Wi-Fi)</w:t>
            </w:r>
          </w:p>
        </w:tc>
        <w:tc>
          <w:tcPr>
            <w:tcW w:type="dxa" w:w="330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площадь активной зоны × удельная стоимость инфраструктуры (для мобильных роботов)</w:t>
            </w:r>
          </w:p>
        </w:tc>
        <w:tc>
          <w:tcPr>
            <w:tcW w:type="dxa" w:w="9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₽</w:t>
            </w:r>
          </w:p>
        </w:tc>
        <w:tc>
          <w:tcPr>
            <w:tcW w:type="dxa" w:w="127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ТЗ §3.5.2</w:t>
            </w:r>
          </w:p>
        </w:tc>
      </w:tr>
      <w:tr>
        <w:trPr>
          <w:cantSplit/>
        </w:trPr>
        <w:tc>
          <w:tcPr>
            <w:tcW w:type="dxa" w:w="200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capex:software</w:t>
            </w:r>
          </w:p>
        </w:tc>
        <w:tc>
          <w:tcPr>
            <w:tcW w:type="dxa" w:w="210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ПО управления парком</w:t>
            </w:r>
          </w:p>
        </w:tc>
        <w:tc>
          <w:tcPr>
            <w:tcW w:type="dxa" w:w="330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разовая цена ПО из карточки продукта, иначе норматив на объект</w:t>
            </w:r>
          </w:p>
        </w:tc>
        <w:tc>
          <w:tcPr>
            <w:tcW w:type="dxa" w:w="9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₽</w:t>
            </w:r>
          </w:p>
        </w:tc>
        <w:tc>
          <w:tcPr>
            <w:tcW w:type="dxa" w:w="127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ТЗ §3.5.2</w:t>
            </w:r>
          </w:p>
        </w:tc>
      </w:tr>
      <w:tr>
        <w:trPr>
          <w:cantSplit/>
        </w:trPr>
        <w:tc>
          <w:tcPr>
            <w:tcW w:type="dxa" w:w="200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capex:integration</w:t>
            </w:r>
          </w:p>
        </w:tc>
        <w:tc>
          <w:tcPr>
            <w:tcW w:type="dxa" w:w="210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Интеграция с WMS/ERP</w:t>
            </w:r>
          </w:p>
        </w:tc>
        <w:tc>
          <w:tcPr>
            <w:tcW w:type="dxa" w:w="330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стоимость внедрения из карточки продукта, иначе норматив на объект</w:t>
            </w:r>
          </w:p>
        </w:tc>
        <w:tc>
          <w:tcPr>
            <w:tcW w:type="dxa" w:w="9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₽</w:t>
            </w:r>
          </w:p>
        </w:tc>
        <w:tc>
          <w:tcPr>
            <w:tcW w:type="dxa" w:w="127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ТЗ §3.5.2</w:t>
            </w:r>
          </w:p>
        </w:tc>
      </w:tr>
      <w:tr>
        <w:trPr>
          <w:cantSplit/>
        </w:trPr>
        <w:tc>
          <w:tcPr>
            <w:tcW w:type="dxa" w:w="200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capex:commissioning</w:t>
            </w:r>
          </w:p>
        </w:tc>
        <w:tc>
          <w:tcPr>
            <w:tcW w:type="dxa" w:w="210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Пусконаладка</w:t>
            </w:r>
          </w:p>
        </w:tc>
        <w:tc>
          <w:tcPr>
            <w:tcW w:type="dxa" w:w="330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N × пусконаладка на один робот</w:t>
            </w:r>
          </w:p>
        </w:tc>
        <w:tc>
          <w:tcPr>
            <w:tcW w:type="dxa" w:w="9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₽</w:t>
            </w:r>
          </w:p>
        </w:tc>
        <w:tc>
          <w:tcPr>
            <w:tcW w:type="dxa" w:w="127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ТЗ §3.5.2</w:t>
            </w:r>
          </w:p>
        </w:tc>
      </w:tr>
      <w:tr>
        <w:trPr>
          <w:cantSplit/>
        </w:trPr>
        <w:tc>
          <w:tcPr>
            <w:tcW w:type="dxa" w:w="200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capex:training</w:t>
            </w:r>
          </w:p>
        </w:tc>
        <w:tc>
          <w:tcPr>
            <w:tcW w:type="dxa" w:w="210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Обучение персонала</w:t>
            </w:r>
          </w:p>
        </w:tc>
        <w:tc>
          <w:tcPr>
            <w:tcW w:type="dxa" w:w="330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стоимость обучения из карточки продукта, иначе норматив на объект</w:t>
            </w:r>
          </w:p>
        </w:tc>
        <w:tc>
          <w:tcPr>
            <w:tcW w:type="dxa" w:w="9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₽</w:t>
            </w:r>
          </w:p>
        </w:tc>
        <w:tc>
          <w:tcPr>
            <w:tcW w:type="dxa" w:w="127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ТЗ §3.5.2</w:t>
            </w:r>
          </w:p>
        </w:tc>
      </w:tr>
      <w:tr>
        <w:trPr>
          <w:cantSplit/>
        </w:trPr>
        <w:tc>
          <w:tcPr>
            <w:tcW w:type="dxa" w:w="200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capex:reserve</w:t>
            </w:r>
          </w:p>
        </w:tc>
        <w:tc>
          <w:tcPr>
            <w:tcW w:type="dxa" w:w="210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Резерв</w:t>
            </w:r>
          </w:p>
        </w:tc>
        <w:tc>
          <w:tcPr>
            <w:tcW w:type="dxa" w:w="330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доля резерва CAPEX × сумма остальных статей CAPEX</w:t>
            </w:r>
          </w:p>
        </w:tc>
        <w:tc>
          <w:tcPr>
            <w:tcW w:type="dxa" w:w="9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₽</w:t>
            </w:r>
          </w:p>
        </w:tc>
        <w:tc>
          <w:tcPr>
            <w:tcW w:type="dxa" w:w="127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организатор</w:t>
            </w:r>
          </w:p>
        </w:tc>
      </w:tr>
      <w:tr>
        <w:trPr>
          <w:cantSplit/>
        </w:trPr>
        <w:tc>
          <w:tcPr>
            <w:tcW w:type="dxa" w:w="200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capexTotal</w:t>
            </w:r>
          </w:p>
        </w:tc>
        <w:tc>
          <w:tcPr>
            <w:tcW w:type="dxa" w:w="210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CAPEX</w:t>
            </w:r>
          </w:p>
        </w:tc>
        <w:tc>
          <w:tcPr>
            <w:tcW w:type="dxa" w:w="330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оборудование + зарядные станции + инфраструктура + ПО + интеграция + пусконаладка + обучение + резерв</w:t>
            </w:r>
          </w:p>
        </w:tc>
        <w:tc>
          <w:tcPr>
            <w:tcW w:type="dxa" w:w="9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₽</w:t>
            </w:r>
          </w:p>
        </w:tc>
        <w:tc>
          <w:tcPr>
            <w:tcW w:type="dxa" w:w="127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ТЗ §3.5.2</w:t>
            </w:r>
          </w:p>
        </w:tc>
      </w:tr>
    </w:tbl>
    <w:p>
      <w:pPr>
        <w:spacing w:after="60"/>
      </w:pPr>
    </w:p>
    <w:p>
      <w:pPr>
        <w:pStyle w:val="Heading4"/>
        <w:keepNext/>
        <w:outlineLvl w:val="3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OPEX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5"/>
        <w:gridCol w:w="2165"/>
        <w:gridCol w:w="3240"/>
        <w:gridCol w:w="951"/>
        <w:gridCol w:w="1277"/>
      </w:tblGrid>
      <w:tr>
        <w:trPr>
          <w:cantSplit/>
          <w:tblHeader/>
        </w:trPr>
        <w:tc>
          <w:tcPr>
            <w:tcW w:type="dxa" w:w="200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7"/>
                <w:szCs w:val="17"/>
              </w:rPr>
              <w:t xml:space="preserve">Ключ</w:t>
            </w:r>
          </w:p>
        </w:tc>
        <w:tc>
          <w:tcPr>
            <w:tcW w:type="dxa" w:w="216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7"/>
                <w:szCs w:val="17"/>
              </w:rPr>
              <w:t xml:space="preserve">Показатель</w:t>
            </w:r>
          </w:p>
        </w:tc>
        <w:tc>
          <w:tcPr>
            <w:tcW w:type="dxa" w:w="324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7"/>
                <w:szCs w:val="17"/>
              </w:rPr>
              <w:t xml:space="preserve">Формула</w:t>
            </w:r>
          </w:p>
        </w:tc>
        <w:tc>
          <w:tcPr>
            <w:tcW w:type="dxa" w:w="9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7"/>
                <w:szCs w:val="17"/>
              </w:rPr>
              <w:t xml:space="preserve">Единицы</w:t>
            </w:r>
          </w:p>
        </w:tc>
        <w:tc>
          <w:tcPr>
            <w:tcW w:type="dxa" w:w="127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7"/>
                <w:szCs w:val="17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type="dxa" w:w="200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opex:subscription</w:t>
            </w:r>
          </w:p>
        </w:tc>
        <w:tc>
          <w:tcPr>
            <w:tcW w:type="dxa" w:w="216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Подписка RaaS</w:t>
            </w:r>
          </w:p>
        </w:tc>
        <w:tc>
          <w:tcPr>
            <w:tcW w:type="dxa" w:w="324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N × 12 × ставка за робота в месяц</w:t>
            </w:r>
          </w:p>
        </w:tc>
        <w:tc>
          <w:tcPr>
            <w:tcW w:type="dxa" w:w="9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₽/год</w:t>
            </w:r>
          </w:p>
        </w:tc>
        <w:tc>
          <w:tcPr>
            <w:tcW w:type="dxa" w:w="127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ТЗ §3.5.2</w:t>
            </w:r>
          </w:p>
        </w:tc>
      </w:tr>
      <w:tr>
        <w:trPr>
          <w:cantSplit/>
        </w:trPr>
        <w:tc>
          <w:tcPr>
            <w:tcW w:type="dxa" w:w="200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opex:service</w:t>
            </w:r>
          </w:p>
        </w:tc>
        <w:tc>
          <w:tcPr>
            <w:tcW w:type="dxa" w:w="216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Сервисное обслуживание</w:t>
            </w:r>
          </w:p>
        </w:tc>
        <w:tc>
          <w:tcPr>
            <w:tcW w:type="dxa" w:w="324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N × сервис за робота в год (из карточки продукта, иначе доля сервиса × цена)</w:t>
            </w:r>
          </w:p>
        </w:tc>
        <w:tc>
          <w:tcPr>
            <w:tcW w:type="dxa" w:w="9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₽/год</w:t>
            </w:r>
          </w:p>
        </w:tc>
        <w:tc>
          <w:tcPr>
            <w:tcW w:type="dxa" w:w="127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ТЗ §3.5.2</w:t>
            </w:r>
          </w:p>
        </w:tc>
      </w:tr>
      <w:tr>
        <w:trPr>
          <w:cantSplit/>
        </w:trPr>
        <w:tc>
          <w:tcPr>
            <w:tcW w:type="dxa" w:w="200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opex:licences</w:t>
            </w:r>
          </w:p>
        </w:tc>
        <w:tc>
          <w:tcPr>
            <w:tcW w:type="dxa" w:w="216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Лицензии ПО</w:t>
            </w:r>
          </w:p>
        </w:tc>
        <w:tc>
          <w:tcPr>
            <w:tcW w:type="dxa" w:w="324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годовая плата за ПО из карточки продукта (на объект), иначе 0</w:t>
            </w:r>
          </w:p>
        </w:tc>
        <w:tc>
          <w:tcPr>
            <w:tcW w:type="dxa" w:w="9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₽/год</w:t>
            </w:r>
          </w:p>
        </w:tc>
        <w:tc>
          <w:tcPr>
            <w:tcW w:type="dxa" w:w="127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ТЗ §3.5.2</w:t>
            </w:r>
          </w:p>
        </w:tc>
      </w:tr>
      <w:tr>
        <w:trPr>
          <w:cantSplit/>
        </w:trPr>
        <w:tc>
          <w:tcPr>
            <w:tcW w:type="dxa" w:w="200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opex:electricity</w:t>
            </w:r>
          </w:p>
        </w:tc>
        <w:tc>
          <w:tcPr>
            <w:tcW w:type="dxa" w:w="216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Электроэнергия</w:t>
            </w:r>
          </w:p>
        </w:tc>
        <w:tc>
          <w:tcPr>
            <w:tcW w:type="dxa" w:w="324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N × средняя мощность робота × Hгод × U × тариф</w:t>
            </w:r>
          </w:p>
        </w:tc>
        <w:tc>
          <w:tcPr>
            <w:tcW w:type="dxa" w:w="9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₽/год</w:t>
            </w:r>
          </w:p>
        </w:tc>
        <w:tc>
          <w:tcPr>
            <w:tcW w:type="dxa" w:w="127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ТЗ §3.5.2</w:t>
            </w:r>
          </w:p>
        </w:tc>
      </w:tr>
      <w:tr>
        <w:trPr>
          <w:cantSplit/>
        </w:trPr>
        <w:tc>
          <w:tcPr>
            <w:tcW w:type="dxa" w:w="200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opex:connectivity</w:t>
            </w:r>
          </w:p>
        </w:tc>
        <w:tc>
          <w:tcPr>
            <w:tcW w:type="dxa" w:w="216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Связь и сеть</w:t>
            </w:r>
          </w:p>
        </w:tc>
        <w:tc>
          <w:tcPr>
            <w:tcW w:type="dxa" w:w="324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N × связь на один робот в год</w:t>
            </w:r>
          </w:p>
        </w:tc>
        <w:tc>
          <w:tcPr>
            <w:tcW w:type="dxa" w:w="9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₽/год</w:t>
            </w:r>
          </w:p>
        </w:tc>
        <w:tc>
          <w:tcPr>
            <w:tcW w:type="dxa" w:w="127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ТЗ §3.5.2</w:t>
            </w:r>
          </w:p>
        </w:tc>
      </w:tr>
      <w:tr>
        <w:trPr>
          <w:cantSplit/>
        </w:trPr>
        <w:tc>
          <w:tcPr>
            <w:tcW w:type="dxa" w:w="200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opex:consumables</w:t>
            </w:r>
          </w:p>
        </w:tc>
        <w:tc>
          <w:tcPr>
            <w:tcW w:type="dxa" w:w="216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Расходные материалы</w:t>
            </w:r>
          </w:p>
        </w:tc>
        <w:tc>
          <w:tcPr>
            <w:tcW w:type="dxa" w:w="324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N × расходники за робота в год (из карточки продукта, иначе доля × цена)</w:t>
            </w:r>
          </w:p>
        </w:tc>
        <w:tc>
          <w:tcPr>
            <w:tcW w:type="dxa" w:w="9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₽/год</w:t>
            </w:r>
          </w:p>
        </w:tc>
        <w:tc>
          <w:tcPr>
            <w:tcW w:type="dxa" w:w="127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организатор</w:t>
            </w:r>
          </w:p>
        </w:tc>
      </w:tr>
      <w:tr>
        <w:trPr>
          <w:cantSplit/>
        </w:trPr>
        <w:tc>
          <w:tcPr>
            <w:tcW w:type="dxa" w:w="200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opex:repair</w:t>
            </w:r>
          </w:p>
        </w:tc>
        <w:tc>
          <w:tcPr>
            <w:tcW w:type="dxa" w:w="216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Ремонт вне сервисного договора</w:t>
            </w:r>
          </w:p>
        </w:tc>
        <w:tc>
          <w:tcPr>
            <w:tcW w:type="dxa" w:w="324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доля ремонта в год × стоимость оборудования</w:t>
            </w:r>
          </w:p>
        </w:tc>
        <w:tc>
          <w:tcPr>
            <w:tcW w:type="dxa" w:w="9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₽/год</w:t>
            </w:r>
          </w:p>
        </w:tc>
        <w:tc>
          <w:tcPr>
            <w:tcW w:type="dxa" w:w="127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ТЗ §3.5.2</w:t>
            </w:r>
          </w:p>
        </w:tc>
      </w:tr>
      <w:tr>
        <w:trPr>
          <w:cantSplit/>
        </w:trPr>
        <w:tc>
          <w:tcPr>
            <w:tcW w:type="dxa" w:w="200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opex:battery</w:t>
            </w:r>
          </w:p>
        </w:tc>
        <w:tc>
          <w:tcPr>
            <w:tcW w:type="dxa" w:w="216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Замена АКБ (в среднем за год)</w:t>
            </w:r>
          </w:p>
        </w:tc>
        <w:tc>
          <w:tcPr>
            <w:tcW w:type="dxa" w:w="324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N × стоимость комплекта АКБ / срок замены; в денежном потоке — фактическая замена в годы, кратные сроку</w:t>
            </w:r>
          </w:p>
        </w:tc>
        <w:tc>
          <w:tcPr>
            <w:tcW w:type="dxa" w:w="9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₽/год</w:t>
            </w:r>
          </w:p>
        </w:tc>
        <w:tc>
          <w:tcPr>
            <w:tcW w:type="dxa" w:w="127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организатор</w:t>
            </w:r>
          </w:p>
        </w:tc>
      </w:tr>
      <w:tr>
        <w:trPr>
          <w:cantSplit/>
        </w:trPr>
        <w:tc>
          <w:tcPr>
            <w:tcW w:type="dxa" w:w="200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opex:operatingStaff</w:t>
            </w:r>
          </w:p>
        </w:tc>
        <w:tc>
          <w:tcPr>
            <w:tcW w:type="dxa" w:w="216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Персонал эксплуатации (диспетчер парка)</w:t>
            </w:r>
          </w:p>
        </w:tc>
        <w:tc>
          <w:tcPr>
            <w:tcW w:type="dxa" w:w="324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посты = ⌈N / роботов на пост⌉; посты × Hсут × дней в году / фонд ставки в год × c</w:t>
            </w:r>
          </w:p>
        </w:tc>
        <w:tc>
          <w:tcPr>
            <w:tcW w:type="dxa" w:w="9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₽/год</w:t>
            </w:r>
          </w:p>
        </w:tc>
        <w:tc>
          <w:tcPr>
            <w:tcW w:type="dxa" w:w="127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ТЗ §3.5.2</w:t>
            </w:r>
          </w:p>
        </w:tc>
      </w:tr>
      <w:tr>
        <w:trPr>
          <w:cantSplit/>
        </w:trPr>
        <w:tc>
          <w:tcPr>
            <w:tcW w:type="dxa" w:w="200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opex:remainingLabour</w:t>
            </w:r>
          </w:p>
        </w:tc>
        <w:tc>
          <w:tcPr>
            <w:tcW w:type="dxa" w:w="216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ФОТ оставшегося персонала процесса</w:t>
            </w:r>
          </w:p>
        </w:tc>
        <w:tc>
          <w:tcPr>
            <w:tcW w:type="dxa" w:w="324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(численность − F) × c</w:t>
            </w:r>
          </w:p>
        </w:tc>
        <w:tc>
          <w:tcPr>
            <w:tcW w:type="dxa" w:w="9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₽/год</w:t>
            </w:r>
          </w:p>
        </w:tc>
        <w:tc>
          <w:tcPr>
            <w:tcW w:type="dxa" w:w="127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ТЗ §3.5.2</w:t>
            </w:r>
          </w:p>
        </w:tc>
      </w:tr>
      <w:tr>
        <w:trPr>
          <w:cantSplit/>
        </w:trPr>
        <w:tc>
          <w:tcPr>
            <w:tcW w:type="dxa" w:w="200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opex:uncoveredLabour</w:t>
            </w:r>
          </w:p>
        </w:tc>
        <w:tc>
          <w:tcPr>
            <w:tcW w:type="dxa" w:w="216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ФОТ процессов без роботов (охват сравнения)</w:t>
            </w:r>
          </w:p>
        </w:tc>
        <w:tc>
          <w:tcPr>
            <w:tcW w:type="dxa" w:w="324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Σ ФОТбаз процессов охвата сравнения, которые этот сценарий не роботизирует</w:t>
            </w:r>
          </w:p>
        </w:tc>
        <w:tc>
          <w:tcPr>
            <w:tcW w:type="dxa" w:w="9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₽/год</w:t>
            </w:r>
          </w:p>
        </w:tc>
        <w:tc>
          <w:tcPr>
            <w:tcW w:type="dxa" w:w="127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наш выбор</w:t>
            </w:r>
          </w:p>
        </w:tc>
      </w:tr>
      <w:tr>
        <w:trPr>
          <w:cantSplit/>
        </w:trPr>
        <w:tc>
          <w:tcPr>
            <w:tcW w:type="dxa" w:w="200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opex:baselineLabour</w:t>
            </w:r>
          </w:p>
        </w:tc>
        <w:tc>
          <w:tcPr>
            <w:tcW w:type="dxa" w:w="216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ФОТ персонала процессов (как есть)</w:t>
            </w:r>
          </w:p>
        </w:tc>
        <w:tc>
          <w:tcPr>
            <w:tcW w:type="dxa" w:w="324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Σ численность × c по процессам охвата сравнения</w:t>
            </w:r>
          </w:p>
        </w:tc>
        <w:tc>
          <w:tcPr>
            <w:tcW w:type="dxa" w:w="9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₽/год</w:t>
            </w:r>
          </w:p>
        </w:tc>
        <w:tc>
          <w:tcPr>
            <w:tcW w:type="dxa" w:w="127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ТЗ §3.5.2</w:t>
            </w:r>
          </w:p>
        </w:tc>
      </w:tr>
      <w:tr>
        <w:trPr>
          <w:cantSplit/>
        </w:trPr>
        <w:tc>
          <w:tcPr>
            <w:tcW w:type="dxa" w:w="200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opexTotal</w:t>
            </w:r>
          </w:p>
        </w:tc>
        <w:tc>
          <w:tcPr>
            <w:tcW w:type="dxa" w:w="216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OPEX за год</w:t>
            </w:r>
          </w:p>
        </w:tc>
        <w:tc>
          <w:tcPr>
            <w:tcW w:type="dxa" w:w="324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сумма статей OPEX сценария</w:t>
            </w:r>
          </w:p>
        </w:tc>
        <w:tc>
          <w:tcPr>
            <w:tcW w:type="dxa" w:w="9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₽/год</w:t>
            </w:r>
          </w:p>
        </w:tc>
        <w:tc>
          <w:tcPr>
            <w:tcW w:type="dxa" w:w="127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ТЗ §3.5.2</w:t>
            </w:r>
          </w:p>
        </w:tc>
      </w:tr>
    </w:tbl>
    <w:p>
      <w:pPr>
        <w:spacing w:after="60"/>
      </w:pPr>
    </w:p>
    <w:p>
      <w:pPr>
        <w:pStyle w:val="Heading4"/>
        <w:keepNext/>
        <w:outlineLvl w:val="3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Эффект, окупаемость, ROI, NPV и TCO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66"/>
        <w:gridCol w:w="2094"/>
        <w:gridCol w:w="3451"/>
        <w:gridCol w:w="951"/>
        <w:gridCol w:w="1276"/>
      </w:tblGrid>
      <w:tr>
        <w:trPr>
          <w:cantSplit/>
          <w:tblHeader/>
        </w:trPr>
        <w:tc>
          <w:tcPr>
            <w:tcW w:type="dxa" w:w="186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7"/>
                <w:szCs w:val="17"/>
              </w:rPr>
              <w:t xml:space="preserve">Ключ</w:t>
            </w:r>
          </w:p>
        </w:tc>
        <w:tc>
          <w:tcPr>
            <w:tcW w:type="dxa" w:w="209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7"/>
                <w:szCs w:val="17"/>
              </w:rPr>
              <w:t xml:space="preserve">Показатель</w:t>
            </w:r>
          </w:p>
        </w:tc>
        <w:tc>
          <w:tcPr>
            <w:tcW w:type="dxa" w:w="34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7"/>
                <w:szCs w:val="17"/>
              </w:rPr>
              <w:t xml:space="preserve">Формула</w:t>
            </w:r>
          </w:p>
        </w:tc>
        <w:tc>
          <w:tcPr>
            <w:tcW w:type="dxa" w:w="9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7"/>
                <w:szCs w:val="17"/>
              </w:rPr>
              <w:t xml:space="preserve">Единицы</w:t>
            </w:r>
          </w:p>
        </w:tc>
        <w:tc>
          <w:tcPr>
            <w:tcW w:type="dxa" w:w="127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7"/>
                <w:szCs w:val="17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type="dxa" w:w="186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effect</w:t>
            </w:r>
          </w:p>
        </w:tc>
        <w:tc>
          <w:tcPr>
            <w:tcW w:type="dxa" w:w="209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Чистый годовой эффект</w:t>
            </w:r>
          </w:p>
        </w:tc>
        <w:tc>
          <w:tcPr>
            <w:tcW w:type="dxa" w:w="34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E = OPEXкак есть − OPEXсценария (охват сравнения один для всех сценариев)</w:t>
            </w:r>
          </w:p>
        </w:tc>
        <w:tc>
          <w:tcPr>
            <w:tcW w:type="dxa" w:w="9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₽/год</w:t>
            </w:r>
          </w:p>
        </w:tc>
        <w:tc>
          <w:tcPr>
            <w:tcW w:type="dxa" w:w="127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ТЗ §3.5.2</w:t>
            </w:r>
          </w:p>
        </w:tc>
      </w:tr>
      <w:tr>
        <w:trPr>
          <w:cantSplit/>
        </w:trPr>
        <w:tc>
          <w:tcPr>
            <w:tcW w:type="dxa" w:w="186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payback</w:t>
            </w:r>
          </w:p>
        </w:tc>
        <w:tc>
          <w:tcPr>
            <w:tcW w:type="dxa" w:w="209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Простой срок окупаемости</w:t>
            </w:r>
          </w:p>
        </w:tc>
        <w:tc>
          <w:tcPr>
            <w:tcW w:type="dxa" w:w="34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PB = CAPEX / E при E &gt; 0</w:t>
            </w:r>
          </w:p>
        </w:tc>
        <w:tc>
          <w:tcPr>
            <w:tcW w:type="dxa" w:w="9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лет</w:t>
            </w:r>
          </w:p>
        </w:tc>
        <w:tc>
          <w:tcPr>
            <w:tcW w:type="dxa" w:w="127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ТЗ §3.5.2</w:t>
            </w:r>
          </w:p>
        </w:tc>
      </w:tr>
      <w:tr>
        <w:trPr>
          <w:cantSplit/>
        </w:trPr>
        <w:tc>
          <w:tcPr>
            <w:tcW w:type="dxa" w:w="186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roiTz</w:t>
            </w:r>
          </w:p>
        </w:tc>
        <w:tc>
          <w:tcPr>
            <w:tcW w:type="dxa" w:w="209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ROI по ТЗ</w:t>
            </w:r>
          </w:p>
        </w:tc>
        <w:tc>
          <w:tcPr>
            <w:tcW w:type="dxa" w:w="34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ROI = Σ CFt (t = 1…H) / CAPEX × 100 %, при CAPEX &gt; 0</w:t>
            </w:r>
          </w:p>
        </w:tc>
        <w:tc>
          <w:tcPr>
            <w:tcW w:type="dxa" w:w="9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%</w:t>
            </w:r>
          </w:p>
        </w:tc>
        <w:tc>
          <w:tcPr>
            <w:tcW w:type="dxa" w:w="127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ТЗ §3.5.2</w:t>
            </w:r>
          </w:p>
        </w:tc>
      </w:tr>
      <w:tr>
        <w:trPr>
          <w:cantSplit/>
        </w:trPr>
        <w:tc>
          <w:tcPr>
            <w:tcW w:type="dxa" w:w="186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roiNet</w:t>
            </w:r>
          </w:p>
        </w:tc>
        <w:tc>
          <w:tcPr>
            <w:tcW w:type="dxa" w:w="209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Чистый ROI</w:t>
            </w:r>
          </w:p>
        </w:tc>
        <w:tc>
          <w:tcPr>
            <w:tcW w:type="dxa" w:w="34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ROIчист = ROI по ТЗ − 100 % (доход сверх возврата вложений)</w:t>
            </w:r>
          </w:p>
        </w:tc>
        <w:tc>
          <w:tcPr>
            <w:tcW w:type="dxa" w:w="9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%</w:t>
            </w:r>
          </w:p>
        </w:tc>
        <w:tc>
          <w:tcPr>
            <w:tcW w:type="dxa" w:w="127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наш выбор</w:t>
            </w:r>
          </w:p>
        </w:tc>
      </w:tr>
      <w:tr>
        <w:trPr>
          <w:cantSplit/>
        </w:trPr>
        <w:tc>
          <w:tcPr>
            <w:tcW w:type="dxa" w:w="186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npv</w:t>
            </w:r>
          </w:p>
        </w:tc>
        <w:tc>
          <w:tcPr>
            <w:tcW w:type="dxa" w:w="209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Чистая приведённая стоимость (NPV)</w:t>
            </w:r>
          </w:p>
        </w:tc>
        <w:tc>
          <w:tcPr>
            <w:tcW w:type="dxa" w:w="34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NPV = Σ CFt / (1 + r)^t, t = 0…H</w:t>
            </w:r>
          </w:p>
        </w:tc>
        <w:tc>
          <w:tcPr>
            <w:tcW w:type="dxa" w:w="9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₽</w:t>
            </w:r>
          </w:p>
        </w:tc>
        <w:tc>
          <w:tcPr>
            <w:tcW w:type="dxa" w:w="127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наш выбор</w:t>
            </w:r>
          </w:p>
        </w:tc>
      </w:tr>
      <w:tr>
        <w:trPr>
          <w:cantSplit/>
        </w:trPr>
        <w:tc>
          <w:tcPr>
            <w:tcW w:type="dxa" w:w="186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discountedPayback</w:t>
            </w:r>
          </w:p>
        </w:tc>
        <w:tc>
          <w:tcPr>
            <w:tcW w:type="dxa" w:w="209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Дисконтированный срок окупаемости</w:t>
            </w:r>
          </w:p>
        </w:tc>
        <w:tc>
          <w:tcPr>
            <w:tcW w:type="dxa" w:w="34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год, в котором накопленный дисконтированный поток становится неотрицательным и остаётся таким до конца горизонта H</w:t>
            </w:r>
          </w:p>
        </w:tc>
        <w:tc>
          <w:tcPr>
            <w:tcW w:type="dxa" w:w="9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лет</w:t>
            </w:r>
          </w:p>
        </w:tc>
        <w:tc>
          <w:tcPr>
            <w:tcW w:type="dxa" w:w="127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наш выбор</w:t>
            </w:r>
          </w:p>
        </w:tc>
      </w:tr>
      <w:tr>
        <w:trPr>
          <w:cantSplit/>
        </w:trPr>
        <w:tc>
          <w:tcPr>
            <w:tcW w:type="dxa" w:w="186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tco</w:t>
            </w:r>
          </w:p>
        </w:tc>
        <w:tc>
          <w:tcPr>
            <w:tcW w:type="dxa" w:w="209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Совокупная стоимость владения (TCO)</w:t>
            </w:r>
          </w:p>
        </w:tc>
        <w:tc>
          <w:tcPr>
            <w:tcW w:type="dxa" w:w="34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TCO = CAPEX + Σ (OPEXt + докупкаt), t = 1…T; T = max(H; минимальный горизонт TCO)</w:t>
            </w:r>
          </w:p>
        </w:tc>
        <w:tc>
          <w:tcPr>
            <w:tcW w:type="dxa" w:w="9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₽</w:t>
            </w:r>
          </w:p>
        </w:tc>
        <w:tc>
          <w:tcPr>
            <w:tcW w:type="dxa" w:w="127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ТЗ §3.5.2</w:t>
            </w:r>
          </w:p>
        </w:tc>
      </w:tr>
      <w:tr>
        <w:trPr>
          <w:cantSplit/>
        </w:trPr>
        <w:tc>
          <w:tcPr>
            <w:tcW w:type="dxa" w:w="186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cashflow</w:t>
            </w:r>
          </w:p>
        </w:tc>
        <w:tc>
          <w:tcPr>
            <w:tcW w:type="dxa" w:w="209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Денежный поток года</w:t>
            </w:r>
          </w:p>
        </w:tc>
        <w:tc>
          <w:tcPr>
            <w:tcW w:type="dxa" w:w="34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CF0 = −CAPEX; CFt = OPEXкак есть − OPEXt − докупкаt</w:t>
            </w:r>
          </w:p>
        </w:tc>
        <w:tc>
          <w:tcPr>
            <w:tcW w:type="dxa" w:w="9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₽</w:t>
            </w:r>
          </w:p>
        </w:tc>
        <w:tc>
          <w:tcPr>
            <w:tcW w:type="dxa" w:w="127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наш выбор</w:t>
            </w:r>
          </w:p>
        </w:tc>
      </w:tr>
      <w:tr>
        <w:trPr>
          <w:cantSplit/>
        </w:trPr>
        <w:tc>
          <w:tcPr>
            <w:tcW w:type="dxa" w:w="186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batteryYear</w:t>
            </w:r>
          </w:p>
        </w:tc>
        <w:tc>
          <w:tcPr>
            <w:tcW w:type="dxa" w:w="209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Замена АКБ в году t</w:t>
            </w:r>
          </w:p>
        </w:tc>
        <w:tc>
          <w:tcPr>
            <w:tcW w:type="dxa" w:w="34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АКБt = N × стоимость комплекта, если t кратно сроку замены и t &lt; T; OPEXt = OPEX − АКБср + АКБt</w:t>
            </w:r>
          </w:p>
        </w:tc>
        <w:tc>
          <w:tcPr>
            <w:tcW w:type="dxa" w:w="9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₽</w:t>
            </w:r>
          </w:p>
        </w:tc>
        <w:tc>
          <w:tcPr>
            <w:tcW w:type="dxa" w:w="127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организатор</w:t>
            </w:r>
          </w:p>
        </w:tc>
      </w:tr>
      <w:tr>
        <w:trPr>
          <w:cantSplit/>
        </w:trPr>
        <w:tc>
          <w:tcPr>
            <w:tcW w:type="dxa" w:w="186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reinvest</w:t>
            </w:r>
          </w:p>
        </w:tc>
        <w:tc>
          <w:tcPr>
            <w:tcW w:type="dxa" w:w="209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Докупка оборудования</w:t>
            </w:r>
          </w:p>
        </w:tc>
        <w:tc>
          <w:tcPr>
            <w:tcW w:type="dxa" w:w="34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докупкаt = N × цена, если t кратно сроку службы и t &lt; T (только оборудование)</w:t>
            </w:r>
          </w:p>
        </w:tc>
        <w:tc>
          <w:tcPr>
            <w:tcW w:type="dxa" w:w="9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₽</w:t>
            </w:r>
          </w:p>
        </w:tc>
        <w:tc>
          <w:tcPr>
            <w:tcW w:type="dxa" w:w="127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наш выбор</w:t>
            </w:r>
          </w:p>
        </w:tc>
      </w:tr>
      <w:tr>
        <w:trPr>
          <w:cantSplit/>
        </w:trPr>
        <w:tc>
          <w:tcPr>
            <w:tcW w:type="dxa" w:w="186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breakEvenSalary</w:t>
            </w:r>
          </w:p>
        </w:tc>
        <w:tc>
          <w:tcPr>
            <w:tcW w:type="dxa" w:w="209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Пороговая зарплата</w:t>
            </w:r>
          </w:p>
        </w:tc>
        <w:tc>
          <w:tcPr>
            <w:tcW w:type="dxa" w:w="34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зарплата, при которой NPV покупки = 0; NPV линеен по зарплате, поэтому порог находится по двум расчётам</w:t>
            </w:r>
          </w:p>
        </w:tc>
        <w:tc>
          <w:tcPr>
            <w:tcW w:type="dxa" w:w="9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₽/мес</w:t>
            </w:r>
          </w:p>
        </w:tc>
        <w:tc>
          <w:tcPr>
            <w:tcW w:type="dxa" w:w="127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наш выбор</w:t>
            </w:r>
          </w:p>
        </w:tc>
      </w:tr>
    </w:tbl>
    <w:p>
      <w:pPr>
        <w:spacing w:after="60"/>
      </w:pPr>
    </w:p>
    <w:p>
      <w:pPr>
        <w:pStyle w:val="Heading3"/>
        <w:keepNext/>
        <w:outlineLvl w:val="2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3.1 Сценарии и охват сравнения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«Как есть»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— текущий процесс без роботов: OPEX равен ФОТ персонала процессов охвата.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Покупка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— CAPEX по восьми статьям, OPEX по статьям покупки.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Услуга (RaaS)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— CAPEX только интеграция, обучение и резерв; оборудование, зарядные
станции, инфраструктура, ПО, пусконаладка, сервис, лицензии, расходники, ремонт и замена АКБ
приняты входящими в подписку и показаны нулём с пометкой «входит в подписку (допущение —
проверить в договоре)».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Охват сравнения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— все процессы, которые роботизирует хотя бы один сценарий. Сценарий
платит базовый ФОТ процессов охвата, которые он сам не роботизирует. Поэтому эффект
сравним между сценариями.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Отказы.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Если числа посчитать нельзя, сценарий получает типизированный отказ с
подсказкой, что заполнить, а не ноль: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throughput_required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price_required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
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raas_rate_required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(с кнопкой «Подставить оценку (5,2 % цены в месяц)»),
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staffing_required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calc_not_supported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invalid_inputs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. NaN и ±∞ наружу не выходят —
это проверяет фаззинг на 500 случайных контекстах.</w:t>
      </w:r>
    </w:p>
    <w:p>
      <w:pPr>
        <w:pStyle w:val="Heading3"/>
        <w:keepNext/>
        <w:outlineLvl w:val="2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3.2 Денежный поток, ROI, NPV, TCO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Горизонт H — параметр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horizonYears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; горизонт TCO T = max(H; 5) по ТЗ §3.5.2.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CF₀ = −CAPEX. В году t: CFₜ = OPEX_как есть − (OPEX − АКБ_ср + АКБₜ) − докупкаₜ, где АКБₜ —
фактическая замена батарей в годы, кратные сроку замены, а докупкаₜ — повторная покупка
оборудования в год окончания срока службы (только при покупке, t &lt; 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ROI по ТЗ = Σ CFₜ (t = 1…H) / CAPEX × 100 %. Рядом показан «чистый ROI» = ROI по ТЗ − 100 %,
чтобы не путать возврат вложений с доходом сверх него. У услуги ROI помечен «неинформативен
при малом CAPEX — сравнивайте NPV и TCO».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NPV и дисконтированная окупаемость считаются функциями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npv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и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discountedPaybackYears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из
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lib/economics/finance.ts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(импорт из прежней модели без правок) по ставке
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discountRate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= 12 %.</w:t>
      </w:r>
    </w:p>
    <w:p>
      <w:pPr>
        <w:pStyle w:val="Heading3"/>
        <w:keepNext/>
        <w:outlineLvl w:val="2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3.3 Чувствительность (ТЗ §3.5.6)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Для каждого сценария роботизации каждое плечо — полный пересчёт всех сценариев с одним
изменённым входом; парк пересчитывается. Границы берутся из диапазона организатора, иначе из
диапазона норматива, иначе ±20 %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sensitivityDeltaPct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Рычаги покупки: зарплата роли, цена робота, производительность, загрузка (0,70–0,85),
пиковый коэффициент, объём паллет, сервис, доля автоматизируемого труда, горизонт, ставка
дисконтирования.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У услуги вместо цены и сервиса — ставка RaaS.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У «Как есть» — зарплата, численность и горизонт; размах считается по TCO.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Смена знака NPV внутри диапазона отмечается риском SIGN_FLIP.</w:t>
      </w:r>
    </w:p>
    <w:p>
      <w:pPr>
        <w:pStyle w:val="Heading3"/>
        <w:keepNext/>
        <w:outlineLvl w:val="2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3.4 Риски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Каждый риск — код, важность и текст с числами объекта: NORM_VS_CYCLE, PRICE_UNCONFIRMED,
THROUGHPUT_UNCONFIRMED, RAAS_LOWER_BOUND, RAAS_ESTIMATE, RAAS_ROI_UNINFORMATIVE,
ESTIMATE_SHARE (больше 30 % CAPEX из оценок), SIGN_FLIP, CAPEX_OVER_BUDGET, NO_WMS,
MULTI_FLOOR, POWER, LOW_COMPLETENESS, MANUAL_ADD, PILOTING, LABOR_SHARE_ESTIMATE,
ROUTE_ESTIMATE, FLEET_COST_MISSING, STAFF_REDUCTION. Риски имитации SIM_NOT_CONFIRMED и
SIM_OVERSIZED добавляет сборка модели, если сводка имитации относится к текущему расчёту.</w:t>
      </w:r>
    </w:p>
    <w:p>
      <w:pPr>
        <w:pStyle w:val="Heading3"/>
        <w:keepNext/>
        <w:outlineLvl w:val="2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3.5 Вывод и интерпретация (ТЗ §3.5.7)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Жизнеспособный сценарий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— NPV ≥ 0 и дисконтированная окупаемость внутри горизонта.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Рекомендуется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жизнеспособный сценарий с наибольшим NPV, при равенстве — с меньшим
CAPEX. Сценарий с решением, которое подбор исключил жёстким правилом, не рекомендуется, даже
при наибольшем NPV.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Пункты вывода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: лидер по TCO, три главных риска, сильнейший рычаг с диапазоном NPV,
горизонт, при котором вывод меняется (перебор H в диапазоне рычага), пороговая зарплата
(NPV покупки линеен по зарплате, порог находится по двум расчётам).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Интервал окупаемости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— «быстрая (менее 3 лет)», «средняя (3–5 лет)», «долгая (более
5 лет)», «не окупается». Границы — нормативы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paybackBandFastYears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и
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paybackBandSlowYears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их меняет администратор. Интервал — описание, а не критерий.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Если окупаемых сценариев нет, вывод так и говорит и называет сильнейший рычаг.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Оговорка всегда одна: «Результат является предварительной оценкой и требует верификации
при обследовании объекта.» (ТЗ §3.7.5).</w:t>
      </w:r>
    </w:p>
    <w:p>
      <w:pPr>
        <w:pStyle w:val="Heading2"/>
        <w:keepNext/>
        <w:outlineLvl w:val="1"/>
      </w:pPr>
      <w:bookmarkStart w:name="toc24" w:id="1"/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4. Нормативы</w:t>
      </w:r>
      <w:bookmarkEnd w:id="1"/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Нормативы — все числа расчёта, которые не являются параметрами объекта. У каждого есть
происхождение и обоснование, у внешних — источник. Правила проверяет тест
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lib/tz/norms.test.ts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«Организатор» и «ТЗ» — обязательна ссылка на место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sourceRef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«Открытый источник» — https-ссылка;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«Оценка», «Расчёт», «Наш выбор» — обоснование не короче 40 знаков, а у расчётных ещё и
формула;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значение по умолчанию лежит в диапазоне.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Значение из таблицы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Norm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(правит администратор) перекрывает значение из кода, но
прижимается к диапазону. После этого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resolveNorms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восстанавливает взаимные ограничения:
«долгая» граница окупаемости не ниже «быстрой», порог возврата с зарядки не ниже порога ухода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5 п.п., веса балла подбора в сумме дают 1. Пять нормативов пользователь может переопределить
в сценарии: загрузка, резерв парка, доступность, ставка дисконтирования и доля
автоматизируемого труда.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Обоснования и полные ссылки на источники — в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data-provenance.md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(</w:t>
      </w:r>
      <w:hyperlink w:history="1" w:anchor="ch4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1A42A8"/>
            <w:u w:val="single"/>
          </w:rPr>
          <w:t xml:space="preserve">гл. 4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
раздел «Нормативы модели tz-1.0.0». Сводная таблица (сгенерирована из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NORM_DEFS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97"/>
        <w:gridCol w:w="1864"/>
        <w:gridCol w:w="1788"/>
        <w:gridCol w:w="1009"/>
        <w:gridCol w:w="1213"/>
        <w:gridCol w:w="842"/>
        <w:gridCol w:w="1525"/>
      </w:tblGrid>
      <w:tr>
        <w:trPr>
          <w:cantSplit/>
          <w:tblHeader/>
        </w:trPr>
        <w:tc>
          <w:tcPr>
            <w:tcW w:type="dxa" w:w="139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Группа</w:t>
            </w:r>
          </w:p>
        </w:tc>
        <w:tc>
          <w:tcPr>
            <w:tcW w:type="dxa" w:w="186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Ключ</w:t>
            </w:r>
          </w:p>
        </w:tc>
        <w:tc>
          <w:tcPr>
            <w:tcW w:type="dxa" w:w="178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Норматив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Значение</w:t>
            </w:r>
          </w:p>
        </w:tc>
        <w:tc>
          <w:tcPr>
            <w:tcW w:type="dxa" w:w="121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Диапазон</w:t>
            </w:r>
          </w:p>
        </w:tc>
        <w:tc>
          <w:tcPr>
            <w:tcW w:type="dxa" w:w="8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Ед.</w:t>
            </w:r>
          </w:p>
        </w:tc>
        <w:tc>
          <w:tcPr>
            <w:tcW w:type="dxa" w:w="152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Происхождение</w:t>
            </w:r>
          </w:p>
        </w:tc>
      </w:tr>
      <w:tr>
        <w:trPr>
          <w:cantSplit/>
        </w:trPr>
        <w:tc>
          <w:tcPr>
            <w:tcW w:type="dxa" w:w="139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Режим и загрузка</w:t>
            </w:r>
          </w:p>
        </w:tc>
        <w:tc>
          <w:tcPr>
            <w:tcW w:type="dxa" w:w="186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utilization</w:t>
            </w:r>
          </w:p>
        </w:tc>
        <w:tc>
          <w:tcPr>
            <w:tcW w:type="dxa" w:w="178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Коэффициент загрузки робота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0,775</w:t>
            </w:r>
          </w:p>
        </w:tc>
        <w:tc>
          <w:tcPr>
            <w:tcW w:type="dxa" w:w="121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0,7–0,85</w:t>
            </w:r>
          </w:p>
        </w:tc>
        <w:tc>
          <w:tcPr>
            <w:tcW w:type="dxa" w:w="8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доля</w:t>
            </w:r>
          </w:p>
        </w:tc>
        <w:tc>
          <w:tcPr>
            <w:tcW w:type="dxa" w:w="152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Организатор</w:t>
            </w:r>
          </w:p>
        </w:tc>
      </w:tr>
      <w:tr>
        <w:trPr>
          <w:cantSplit/>
        </w:trPr>
        <w:tc>
          <w:tcPr>
            <w:tcW w:type="dxa" w:w="139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Режим и загрузка</w:t>
            </w:r>
          </w:p>
        </w:tc>
        <w:tc>
          <w:tcPr>
            <w:tcW w:type="dxa" w:w="186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availability</w:t>
            </w:r>
          </w:p>
        </w:tc>
        <w:tc>
          <w:tcPr>
            <w:tcW w:type="dxa" w:w="178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Коэффициент доступности робота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1</w:t>
            </w:r>
          </w:p>
        </w:tc>
        <w:tc>
          <w:tcPr>
            <w:tcW w:type="dxa" w:w="121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0,9–1</w:t>
            </w:r>
          </w:p>
        </w:tc>
        <w:tc>
          <w:tcPr>
            <w:tcW w:type="dxa" w:w="8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доля</w:t>
            </w:r>
          </w:p>
        </w:tc>
        <w:tc>
          <w:tcPr>
            <w:tcW w:type="dxa" w:w="152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Расчёт</w:t>
            </w:r>
          </w:p>
        </w:tc>
      </w:tr>
      <w:tr>
        <w:trPr>
          <w:cantSplit/>
        </w:trPr>
        <w:tc>
          <w:tcPr>
            <w:tcW w:type="dxa" w:w="139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Режим и загрузка</w:t>
            </w:r>
          </w:p>
        </w:tc>
        <w:tc>
          <w:tcPr>
            <w:tcW w:type="dxa" w:w="186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reservePct</w:t>
            </w:r>
          </w:p>
        </w:tc>
        <w:tc>
          <w:tcPr>
            <w:tcW w:type="dxa" w:w="178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Резерв парка сверх пиковой потребности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0,175</w:t>
            </w:r>
          </w:p>
        </w:tc>
        <w:tc>
          <w:tcPr>
            <w:tcW w:type="dxa" w:w="121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0,15–0,2</w:t>
            </w:r>
          </w:p>
        </w:tc>
        <w:tc>
          <w:tcPr>
            <w:tcW w:type="dxa" w:w="8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доля</w:t>
            </w:r>
          </w:p>
        </w:tc>
        <w:tc>
          <w:tcPr>
            <w:tcW w:type="dxa" w:w="152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Организатор</w:t>
            </w:r>
          </w:p>
        </w:tc>
      </w:tr>
      <w:tr>
        <w:trPr>
          <w:cantSplit/>
        </w:trPr>
        <w:tc>
          <w:tcPr>
            <w:tcW w:type="dxa" w:w="139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Режим и загрузка</w:t>
            </w:r>
          </w:p>
        </w:tc>
        <w:tc>
          <w:tcPr>
            <w:tcW w:type="dxa" w:w="186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loadedSpeedFactor</w:t>
            </w:r>
          </w:p>
        </w:tc>
        <w:tc>
          <w:tcPr>
            <w:tcW w:type="dxa" w:w="178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Доля скорости при движении с грузом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0,8</w:t>
            </w:r>
          </w:p>
        </w:tc>
        <w:tc>
          <w:tcPr>
            <w:tcW w:type="dxa" w:w="121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0,6–1</w:t>
            </w:r>
          </w:p>
        </w:tc>
        <w:tc>
          <w:tcPr>
            <w:tcW w:type="dxa" w:w="8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доля</w:t>
            </w:r>
          </w:p>
        </w:tc>
        <w:tc>
          <w:tcPr>
            <w:tcW w:type="dxa" w:w="152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Оценка</w:t>
            </w:r>
          </w:p>
        </w:tc>
      </w:tr>
      <w:tr>
        <w:trPr>
          <w:cantSplit/>
        </w:trPr>
        <w:tc>
          <w:tcPr>
            <w:tcW w:type="dxa" w:w="139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Режим и загрузка</w:t>
            </w:r>
          </w:p>
        </w:tc>
        <w:tc>
          <w:tcPr>
            <w:tcW w:type="dxa" w:w="186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handlingSecJacking</w:t>
            </w:r>
          </w:p>
        </w:tc>
        <w:tc>
          <w:tcPr>
            <w:tcW w:type="dxa" w:w="178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Время захвата или постановки груза: подъёмный AMR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20</w:t>
            </w:r>
          </w:p>
        </w:tc>
        <w:tc>
          <w:tcPr>
            <w:tcW w:type="dxa" w:w="121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0–…</w:t>
            </w:r>
          </w:p>
        </w:tc>
        <w:tc>
          <w:tcPr>
            <w:tcW w:type="dxa" w:w="8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с</w:t>
            </w:r>
          </w:p>
        </w:tc>
        <w:tc>
          <w:tcPr>
            <w:tcW w:type="dxa" w:w="152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Оценка</w:t>
            </w:r>
          </w:p>
        </w:tc>
      </w:tr>
      <w:tr>
        <w:trPr>
          <w:cantSplit/>
        </w:trPr>
        <w:tc>
          <w:tcPr>
            <w:tcW w:type="dxa" w:w="139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Режим и загрузка</w:t>
            </w:r>
          </w:p>
        </w:tc>
        <w:tc>
          <w:tcPr>
            <w:tcW w:type="dxa" w:w="186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handlingSecFork</w:t>
            </w:r>
          </w:p>
        </w:tc>
        <w:tc>
          <w:tcPr>
            <w:tcW w:type="dxa" w:w="178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Время захвата или постановки груза: вилочный робот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45</w:t>
            </w:r>
          </w:p>
        </w:tc>
        <w:tc>
          <w:tcPr>
            <w:tcW w:type="dxa" w:w="121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0–…</w:t>
            </w:r>
          </w:p>
        </w:tc>
        <w:tc>
          <w:tcPr>
            <w:tcW w:type="dxa" w:w="8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с</w:t>
            </w:r>
          </w:p>
        </w:tc>
        <w:tc>
          <w:tcPr>
            <w:tcW w:type="dxa" w:w="152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Оценка</w:t>
            </w:r>
          </w:p>
        </w:tc>
      </w:tr>
      <w:tr>
        <w:trPr>
          <w:cantSplit/>
        </w:trPr>
        <w:tc>
          <w:tcPr>
            <w:tcW w:type="dxa" w:w="139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Режим и загрузка</w:t>
            </w:r>
          </w:p>
        </w:tc>
        <w:tc>
          <w:tcPr>
            <w:tcW w:type="dxa" w:w="186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handlingSecTug</w:t>
            </w:r>
          </w:p>
        </w:tc>
        <w:tc>
          <w:tcPr>
            <w:tcW w:type="dxa" w:w="178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Время сцепки или расцепки: тягач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30</w:t>
            </w:r>
          </w:p>
        </w:tc>
        <w:tc>
          <w:tcPr>
            <w:tcW w:type="dxa" w:w="121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0–…</w:t>
            </w:r>
          </w:p>
        </w:tc>
        <w:tc>
          <w:tcPr>
            <w:tcW w:type="dxa" w:w="8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с</w:t>
            </w:r>
          </w:p>
        </w:tc>
        <w:tc>
          <w:tcPr>
            <w:tcW w:type="dxa" w:w="152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Оценка</w:t>
            </w:r>
          </w:p>
        </w:tc>
      </w:tr>
      <w:tr>
        <w:trPr>
          <w:cantSplit/>
        </w:trPr>
        <w:tc>
          <w:tcPr>
            <w:tcW w:type="dxa" w:w="139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Режим и загрузка</w:t>
            </w:r>
          </w:p>
        </w:tc>
        <w:tc>
          <w:tcPr>
            <w:tcW w:type="dxa" w:w="186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chargerSafetyFactor</w:t>
            </w:r>
          </w:p>
        </w:tc>
        <w:tc>
          <w:tcPr>
            <w:tcW w:type="dxa" w:w="178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Запас по числу зарядных станций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1,5</w:t>
            </w:r>
          </w:p>
        </w:tc>
        <w:tc>
          <w:tcPr>
            <w:tcW w:type="dxa" w:w="121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1–3</w:t>
            </w:r>
          </w:p>
        </w:tc>
        <w:tc>
          <w:tcPr>
            <w:tcW w:type="dxa" w:w="8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коэф.</w:t>
            </w:r>
          </w:p>
        </w:tc>
        <w:tc>
          <w:tcPr>
            <w:tcW w:type="dxa" w:w="152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Оценка</w:t>
            </w:r>
          </w:p>
        </w:tc>
      </w:tr>
      <w:tr>
        <w:trPr>
          <w:cantSplit/>
        </w:trPr>
        <w:tc>
          <w:tcPr>
            <w:tcW w:type="dxa" w:w="139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Режим и загрузка</w:t>
            </w:r>
          </w:p>
        </w:tc>
        <w:tc>
          <w:tcPr>
            <w:tcW w:type="dxa" w:w="186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robotsPerChargerDefault</w:t>
            </w:r>
          </w:p>
        </w:tc>
        <w:tc>
          <w:tcPr>
            <w:tcW w:type="dxa" w:w="178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Роботов на одну зарядную станцию (если нет данных о зарядке)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5</w:t>
            </w:r>
          </w:p>
        </w:tc>
        <w:tc>
          <w:tcPr>
            <w:tcW w:type="dxa" w:w="121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1–20</w:t>
            </w:r>
          </w:p>
        </w:tc>
        <w:tc>
          <w:tcPr>
            <w:tcW w:type="dxa" w:w="8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шт.</w:t>
            </w:r>
          </w:p>
        </w:tc>
        <w:tc>
          <w:tcPr>
            <w:tcW w:type="dxa" w:w="152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Оценка</w:t>
            </w:r>
          </w:p>
        </w:tc>
      </w:tr>
      <w:tr>
        <w:trPr>
          <w:cantSplit/>
        </w:trPr>
        <w:tc>
          <w:tcPr>
            <w:tcW w:type="dxa" w:w="139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Режим и загрузка</w:t>
            </w:r>
          </w:p>
        </w:tc>
        <w:tc>
          <w:tcPr>
            <w:tcW w:type="dxa" w:w="186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chargerPowerKw</w:t>
            </w:r>
          </w:p>
        </w:tc>
        <w:tc>
          <w:tcPr>
            <w:tcW w:type="dxa" w:w="178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Мощность одной зарядной станции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3</w:t>
            </w:r>
          </w:p>
        </w:tc>
        <w:tc>
          <w:tcPr>
            <w:tcW w:type="dxa" w:w="121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0–…</w:t>
            </w:r>
          </w:p>
        </w:tc>
        <w:tc>
          <w:tcPr>
            <w:tcW w:type="dxa" w:w="8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кВт</w:t>
            </w:r>
          </w:p>
        </w:tc>
        <w:tc>
          <w:tcPr>
            <w:tcW w:type="dxa" w:w="152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Оценка</w:t>
            </w:r>
          </w:p>
        </w:tc>
      </w:tr>
      <w:tr>
        <w:trPr>
          <w:cantSplit/>
        </w:trPr>
        <w:tc>
          <w:tcPr>
            <w:tcW w:type="dxa" w:w="139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Труд</w:t>
            </w:r>
          </w:p>
        </w:tc>
        <w:tc>
          <w:tcPr>
            <w:tcW w:type="dxa" w:w="186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payrollMultiplier</w:t>
            </w:r>
          </w:p>
        </w:tc>
        <w:tc>
          <w:tcPr>
            <w:tcW w:type="dxa" w:w="178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Коэффициент начислений на ФОТ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1,302</w:t>
            </w:r>
          </w:p>
        </w:tc>
        <w:tc>
          <w:tcPr>
            <w:tcW w:type="dxa" w:w="121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1,302–1,302</w:t>
            </w:r>
          </w:p>
        </w:tc>
        <w:tc>
          <w:tcPr>
            <w:tcW w:type="dxa" w:w="8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коэф.</w:t>
            </w:r>
          </w:p>
        </w:tc>
        <w:tc>
          <w:tcPr>
            <w:tcW w:type="dxa" w:w="152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Организатор</w:t>
            </w:r>
          </w:p>
        </w:tc>
      </w:tr>
      <w:tr>
        <w:trPr>
          <w:cantSplit/>
        </w:trPr>
        <w:tc>
          <w:tcPr>
            <w:tcW w:type="dxa" w:w="139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Труд</w:t>
            </w:r>
          </w:p>
        </w:tc>
        <w:tc>
          <w:tcPr>
            <w:tcW w:type="dxa" w:w="186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laborShareAutomatable</w:t>
            </w:r>
          </w:p>
        </w:tc>
        <w:tc>
          <w:tcPr>
            <w:tcW w:type="dxa" w:w="178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Доля труда процесса, которую берут роботы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0,5</w:t>
            </w:r>
          </w:p>
        </w:tc>
        <w:tc>
          <w:tcPr>
            <w:tcW w:type="dxa" w:w="121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0,3–0,7</w:t>
            </w:r>
          </w:p>
        </w:tc>
        <w:tc>
          <w:tcPr>
            <w:tcW w:type="dxa" w:w="8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доля</w:t>
            </w:r>
          </w:p>
        </w:tc>
        <w:tc>
          <w:tcPr>
            <w:tcW w:type="dxa" w:w="152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Оценка</w:t>
            </w:r>
          </w:p>
        </w:tc>
      </w:tr>
      <w:tr>
        <w:trPr>
          <w:cantSplit/>
        </w:trPr>
        <w:tc>
          <w:tcPr>
            <w:tcW w:type="dxa" w:w="139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Труд</w:t>
            </w:r>
          </w:p>
        </w:tc>
        <w:tc>
          <w:tcPr>
            <w:tcW w:type="dxa" w:w="186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robotsPerOperatorPost</w:t>
            </w:r>
          </w:p>
        </w:tc>
        <w:tc>
          <w:tcPr>
            <w:tcW w:type="dxa" w:w="178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Роботов на один пост диспетчера парка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20</w:t>
            </w:r>
          </w:p>
        </w:tc>
        <w:tc>
          <w:tcPr>
            <w:tcW w:type="dxa" w:w="121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10–40</w:t>
            </w:r>
          </w:p>
        </w:tc>
        <w:tc>
          <w:tcPr>
            <w:tcW w:type="dxa" w:w="8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шт.</w:t>
            </w:r>
          </w:p>
        </w:tc>
        <w:tc>
          <w:tcPr>
            <w:tcW w:type="dxa" w:w="152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Оценка</w:t>
            </w:r>
          </w:p>
        </w:tc>
      </w:tr>
      <w:tr>
        <w:trPr>
          <w:cantSplit/>
        </w:trPr>
        <w:tc>
          <w:tcPr>
            <w:tcW w:type="dxa" w:w="139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Труд</w:t>
            </w:r>
          </w:p>
        </w:tc>
        <w:tc>
          <w:tcPr>
            <w:tcW w:type="dxa" w:w="186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annualHoursPerFte</w:t>
            </w:r>
          </w:p>
        </w:tc>
        <w:tc>
          <w:tcPr>
            <w:tcW w:type="dxa" w:w="178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Годовой фонд рабочего времени одной ставки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1 973</w:t>
            </w:r>
          </w:p>
        </w:tc>
        <w:tc>
          <w:tcPr>
            <w:tcW w:type="dxa" w:w="121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1 800–2 100</w:t>
            </w:r>
          </w:p>
        </w:tc>
        <w:tc>
          <w:tcPr>
            <w:tcW w:type="dxa" w:w="8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ч</w:t>
            </w:r>
          </w:p>
        </w:tc>
        <w:tc>
          <w:tcPr>
            <w:tcW w:type="dxa" w:w="152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Оценка</w:t>
            </w:r>
          </w:p>
        </w:tc>
      </w:tr>
      <w:tr>
        <w:trPr>
          <w:cantSplit/>
        </w:trPr>
        <w:tc>
          <w:tcPr>
            <w:tcW w:type="dxa" w:w="139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CAPEX</w:t>
            </w:r>
          </w:p>
        </w:tc>
        <w:tc>
          <w:tcPr>
            <w:tcW w:type="dxa" w:w="186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capexReservePct</w:t>
            </w:r>
          </w:p>
        </w:tc>
        <w:tc>
          <w:tcPr>
            <w:tcW w:type="dxa" w:w="178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Резерв CAPEX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0,1</w:t>
            </w:r>
          </w:p>
        </w:tc>
        <w:tc>
          <w:tcPr>
            <w:tcW w:type="dxa" w:w="121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0,05–0,2</w:t>
            </w:r>
          </w:p>
        </w:tc>
        <w:tc>
          <w:tcPr>
            <w:tcW w:type="dxa" w:w="8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доля</w:t>
            </w:r>
          </w:p>
        </w:tc>
        <w:tc>
          <w:tcPr>
            <w:tcW w:type="dxa" w:w="152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Организатор</w:t>
            </w:r>
          </w:p>
        </w:tc>
      </w:tr>
      <w:tr>
        <w:trPr>
          <w:cantSplit/>
        </w:trPr>
        <w:tc>
          <w:tcPr>
            <w:tcW w:type="dxa" w:w="139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CAPEX</w:t>
            </w:r>
          </w:p>
        </w:tc>
        <w:tc>
          <w:tcPr>
            <w:tcW w:type="dxa" w:w="186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softwareRubPerSite</w:t>
            </w:r>
          </w:p>
        </w:tc>
        <w:tc>
          <w:tcPr>
            <w:tcW w:type="dxa" w:w="178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ПО управления парком (разово на объект)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1 000 000</w:t>
            </w:r>
          </w:p>
        </w:tc>
        <w:tc>
          <w:tcPr>
            <w:tcW w:type="dxa" w:w="121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0–5 000 000</w:t>
            </w:r>
          </w:p>
        </w:tc>
        <w:tc>
          <w:tcPr>
            <w:tcW w:type="dxa" w:w="8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₽</w:t>
            </w:r>
          </w:p>
        </w:tc>
        <w:tc>
          <w:tcPr>
            <w:tcW w:type="dxa" w:w="152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Открытый источник</w:t>
            </w:r>
          </w:p>
        </w:tc>
      </w:tr>
      <w:tr>
        <w:trPr>
          <w:cantSplit/>
        </w:trPr>
        <w:tc>
          <w:tcPr>
            <w:tcW w:type="dxa" w:w="139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CAPEX</w:t>
            </w:r>
          </w:p>
        </w:tc>
        <w:tc>
          <w:tcPr>
            <w:tcW w:type="dxa" w:w="186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integrationRubPerSite</w:t>
            </w:r>
          </w:p>
        </w:tc>
        <w:tc>
          <w:tcPr>
            <w:tcW w:type="dxa" w:w="178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Интеграция с WMS/ERP (разово на объект)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1 250 000</w:t>
            </w:r>
          </w:p>
        </w:tc>
        <w:tc>
          <w:tcPr>
            <w:tcW w:type="dxa" w:w="121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500 000–2 000 000</w:t>
            </w:r>
          </w:p>
        </w:tc>
        <w:tc>
          <w:tcPr>
            <w:tcW w:type="dxa" w:w="8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₽</w:t>
            </w:r>
          </w:p>
        </w:tc>
        <w:tc>
          <w:tcPr>
            <w:tcW w:type="dxa" w:w="152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Открытый источник</w:t>
            </w:r>
          </w:p>
        </w:tc>
      </w:tr>
      <w:tr>
        <w:trPr>
          <w:cantSplit/>
        </w:trPr>
        <w:tc>
          <w:tcPr>
            <w:tcW w:type="dxa" w:w="139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CAPEX</w:t>
            </w:r>
          </w:p>
        </w:tc>
        <w:tc>
          <w:tcPr>
            <w:tcW w:type="dxa" w:w="186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commissioningRubPerUnit</w:t>
            </w:r>
          </w:p>
        </w:tc>
        <w:tc>
          <w:tcPr>
            <w:tcW w:type="dxa" w:w="178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Пусконаладка на один робот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100 000</w:t>
            </w:r>
          </w:p>
        </w:tc>
        <w:tc>
          <w:tcPr>
            <w:tcW w:type="dxa" w:w="121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0–1 000 000</w:t>
            </w:r>
          </w:p>
        </w:tc>
        <w:tc>
          <w:tcPr>
            <w:tcW w:type="dxa" w:w="8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₽</w:t>
            </w:r>
          </w:p>
        </w:tc>
        <w:tc>
          <w:tcPr>
            <w:tcW w:type="dxa" w:w="152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Открытый источник</w:t>
            </w:r>
          </w:p>
        </w:tc>
      </w:tr>
      <w:tr>
        <w:trPr>
          <w:cantSplit/>
        </w:trPr>
        <w:tc>
          <w:tcPr>
            <w:tcW w:type="dxa" w:w="139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CAPEX</w:t>
            </w:r>
          </w:p>
        </w:tc>
        <w:tc>
          <w:tcPr>
            <w:tcW w:type="dxa" w:w="186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trainingRubPerSite</w:t>
            </w:r>
          </w:p>
        </w:tc>
        <w:tc>
          <w:tcPr>
            <w:tcW w:type="dxa" w:w="178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Обучение персонала (разово на объект)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150 000</w:t>
            </w:r>
          </w:p>
        </w:tc>
        <w:tc>
          <w:tcPr>
            <w:tcW w:type="dxa" w:w="121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0–…</w:t>
            </w:r>
          </w:p>
        </w:tc>
        <w:tc>
          <w:tcPr>
            <w:tcW w:type="dxa" w:w="8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₽</w:t>
            </w:r>
          </w:p>
        </w:tc>
        <w:tc>
          <w:tcPr>
            <w:tcW w:type="dxa" w:w="152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Оценка</w:t>
            </w:r>
          </w:p>
        </w:tc>
      </w:tr>
      <w:tr>
        <w:trPr>
          <w:cantSplit/>
        </w:trPr>
        <w:tc>
          <w:tcPr>
            <w:tcW w:type="dxa" w:w="139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CAPEX</w:t>
            </w:r>
          </w:p>
        </w:tc>
        <w:tc>
          <w:tcPr>
            <w:tcW w:type="dxa" w:w="186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chargerRub</w:t>
            </w:r>
          </w:p>
        </w:tc>
        <w:tc>
          <w:tcPr>
            <w:tcW w:type="dxa" w:w="178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Зарядная станция (за штуку)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300 000</w:t>
            </w:r>
          </w:p>
        </w:tc>
        <w:tc>
          <w:tcPr>
            <w:tcW w:type="dxa" w:w="121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200 000–400 000</w:t>
            </w:r>
          </w:p>
        </w:tc>
        <w:tc>
          <w:tcPr>
            <w:tcW w:type="dxa" w:w="8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₽</w:t>
            </w:r>
          </w:p>
        </w:tc>
        <w:tc>
          <w:tcPr>
            <w:tcW w:type="dxa" w:w="152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Открытый источник</w:t>
            </w:r>
          </w:p>
        </w:tc>
      </w:tr>
      <w:tr>
        <w:trPr>
          <w:cantSplit/>
        </w:trPr>
        <w:tc>
          <w:tcPr>
            <w:tcW w:type="dxa" w:w="139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CAPEX</w:t>
            </w:r>
          </w:p>
        </w:tc>
        <w:tc>
          <w:tcPr>
            <w:tcW w:type="dxa" w:w="186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siteInfraRubPerM2</w:t>
            </w:r>
          </w:p>
        </w:tc>
        <w:tc>
          <w:tcPr>
            <w:tcW w:type="dxa" w:w="178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Инфраструктура площадки на 1 м² активной зоны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150</w:t>
            </w:r>
          </w:p>
        </w:tc>
        <w:tc>
          <w:tcPr>
            <w:tcW w:type="dxa" w:w="121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0–…</w:t>
            </w:r>
          </w:p>
        </w:tc>
        <w:tc>
          <w:tcPr>
            <w:tcW w:type="dxa" w:w="8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₽/м²</w:t>
            </w:r>
          </w:p>
        </w:tc>
        <w:tc>
          <w:tcPr>
            <w:tcW w:type="dxa" w:w="152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Оценка</w:t>
            </w:r>
          </w:p>
        </w:tc>
      </w:tr>
      <w:tr>
        <w:trPr>
          <w:cantSplit/>
        </w:trPr>
        <w:tc>
          <w:tcPr>
            <w:tcW w:type="dxa" w:w="139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OPEX</w:t>
            </w:r>
          </w:p>
        </w:tc>
        <w:tc>
          <w:tcPr>
            <w:tcW w:type="dxa" w:w="186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servicePctOfPriceYear</w:t>
            </w:r>
          </w:p>
        </w:tc>
        <w:tc>
          <w:tcPr>
            <w:tcW w:type="dxa" w:w="178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Сервисное обслуживание в год, доля цены робота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0,12</w:t>
            </w:r>
          </w:p>
        </w:tc>
        <w:tc>
          <w:tcPr>
            <w:tcW w:type="dxa" w:w="121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0,1–0,24</w:t>
            </w:r>
          </w:p>
        </w:tc>
        <w:tc>
          <w:tcPr>
            <w:tcW w:type="dxa" w:w="8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доля в год</w:t>
            </w:r>
          </w:p>
        </w:tc>
        <w:tc>
          <w:tcPr>
            <w:tcW w:type="dxa" w:w="152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Открытый источник</w:t>
            </w:r>
          </w:p>
        </w:tc>
      </w:tr>
      <w:tr>
        <w:trPr>
          <w:cantSplit/>
        </w:trPr>
        <w:tc>
          <w:tcPr>
            <w:tcW w:type="dxa" w:w="139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OPEX</w:t>
            </w:r>
          </w:p>
        </w:tc>
        <w:tc>
          <w:tcPr>
            <w:tcW w:type="dxa" w:w="186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repairPctOfPriceYear</w:t>
            </w:r>
          </w:p>
        </w:tc>
        <w:tc>
          <w:tcPr>
            <w:tcW w:type="dxa" w:w="178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Ремонт вне сервисного договора в год, доля цены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0,02</w:t>
            </w:r>
          </w:p>
        </w:tc>
        <w:tc>
          <w:tcPr>
            <w:tcW w:type="dxa" w:w="121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0–0,05</w:t>
            </w:r>
          </w:p>
        </w:tc>
        <w:tc>
          <w:tcPr>
            <w:tcW w:type="dxa" w:w="8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доля в год</w:t>
            </w:r>
          </w:p>
        </w:tc>
        <w:tc>
          <w:tcPr>
            <w:tcW w:type="dxa" w:w="152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Оценка</w:t>
            </w:r>
          </w:p>
        </w:tc>
      </w:tr>
      <w:tr>
        <w:trPr>
          <w:cantSplit/>
        </w:trPr>
        <w:tc>
          <w:tcPr>
            <w:tcW w:type="dxa" w:w="139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OPEX</w:t>
            </w:r>
          </w:p>
        </w:tc>
        <w:tc>
          <w:tcPr>
            <w:tcW w:type="dxa" w:w="186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consumablesPctOfPriceYear</w:t>
            </w:r>
          </w:p>
        </w:tc>
        <w:tc>
          <w:tcPr>
            <w:tcW w:type="dxa" w:w="178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Расходные материалы в год, доля цены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0,01</w:t>
            </w:r>
          </w:p>
        </w:tc>
        <w:tc>
          <w:tcPr>
            <w:tcW w:type="dxa" w:w="121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0–0,03</w:t>
            </w:r>
          </w:p>
        </w:tc>
        <w:tc>
          <w:tcPr>
            <w:tcW w:type="dxa" w:w="8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доля в год</w:t>
            </w:r>
          </w:p>
        </w:tc>
        <w:tc>
          <w:tcPr>
            <w:tcW w:type="dxa" w:w="152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Оценка</w:t>
            </w:r>
          </w:p>
        </w:tc>
      </w:tr>
      <w:tr>
        <w:trPr>
          <w:cantSplit/>
        </w:trPr>
        <w:tc>
          <w:tcPr>
            <w:tcW w:type="dxa" w:w="139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OPEX</w:t>
            </w:r>
          </w:p>
        </w:tc>
        <w:tc>
          <w:tcPr>
            <w:tcW w:type="dxa" w:w="186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batteryReplacementYears</w:t>
            </w:r>
          </w:p>
        </w:tc>
        <w:tc>
          <w:tcPr>
            <w:tcW w:type="dxa" w:w="178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Замена АКБ, раз в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4</w:t>
            </w:r>
          </w:p>
        </w:tc>
        <w:tc>
          <w:tcPr>
            <w:tcW w:type="dxa" w:w="121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3–5</w:t>
            </w:r>
          </w:p>
        </w:tc>
        <w:tc>
          <w:tcPr>
            <w:tcW w:type="dxa" w:w="8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лет</w:t>
            </w:r>
          </w:p>
        </w:tc>
        <w:tc>
          <w:tcPr>
            <w:tcW w:type="dxa" w:w="152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Организатор</w:t>
            </w:r>
          </w:p>
        </w:tc>
      </w:tr>
      <w:tr>
        <w:trPr>
          <w:cantSplit/>
        </w:trPr>
        <w:tc>
          <w:tcPr>
            <w:tcW w:type="dxa" w:w="139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OPEX</w:t>
            </w:r>
          </w:p>
        </w:tc>
        <w:tc>
          <w:tcPr>
            <w:tcW w:type="dxa" w:w="186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batteryCostPctOfPrice</w:t>
            </w:r>
          </w:p>
        </w:tc>
        <w:tc>
          <w:tcPr>
            <w:tcW w:type="dxa" w:w="178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Стоимость комплекта АКБ, доля цены робота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0,1</w:t>
            </w:r>
          </w:p>
        </w:tc>
        <w:tc>
          <w:tcPr>
            <w:tcW w:type="dxa" w:w="121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0,05–0,2</w:t>
            </w:r>
          </w:p>
        </w:tc>
        <w:tc>
          <w:tcPr>
            <w:tcW w:type="dxa" w:w="8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доля</w:t>
            </w:r>
          </w:p>
        </w:tc>
        <w:tc>
          <w:tcPr>
            <w:tcW w:type="dxa" w:w="152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Оценка</w:t>
            </w:r>
          </w:p>
        </w:tc>
      </w:tr>
      <w:tr>
        <w:trPr>
          <w:cantSplit/>
        </w:trPr>
        <w:tc>
          <w:tcPr>
            <w:tcW w:type="dxa" w:w="139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OPEX</w:t>
            </w:r>
          </w:p>
        </w:tc>
        <w:tc>
          <w:tcPr>
            <w:tcW w:type="dxa" w:w="186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robotAvgPowerKw</w:t>
            </w:r>
          </w:p>
        </w:tc>
        <w:tc>
          <w:tcPr>
            <w:tcW w:type="dxa" w:w="178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Средняя потребляемая мощность робота в работе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0,4</w:t>
            </w:r>
          </w:p>
        </w:tc>
        <w:tc>
          <w:tcPr>
            <w:tcW w:type="dxa" w:w="121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0–…</w:t>
            </w:r>
          </w:p>
        </w:tc>
        <w:tc>
          <w:tcPr>
            <w:tcW w:type="dxa" w:w="8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кВт</w:t>
            </w:r>
          </w:p>
        </w:tc>
        <w:tc>
          <w:tcPr>
            <w:tcW w:type="dxa" w:w="152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Оценка</w:t>
            </w:r>
          </w:p>
        </w:tc>
      </w:tr>
      <w:tr>
        <w:trPr>
          <w:cantSplit/>
        </w:trPr>
        <w:tc>
          <w:tcPr>
            <w:tcW w:type="dxa" w:w="139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OPEX</w:t>
            </w:r>
          </w:p>
        </w:tc>
        <w:tc>
          <w:tcPr>
            <w:tcW w:type="dxa" w:w="186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electricityRubPerKwh</w:t>
            </w:r>
          </w:p>
        </w:tc>
        <w:tc>
          <w:tcPr>
            <w:tcW w:type="dxa" w:w="178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Тариф на электроэнергию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9</w:t>
            </w:r>
          </w:p>
        </w:tc>
        <w:tc>
          <w:tcPr>
            <w:tcW w:type="dxa" w:w="121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0–…</w:t>
            </w:r>
          </w:p>
        </w:tc>
        <w:tc>
          <w:tcPr>
            <w:tcW w:type="dxa" w:w="8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₽/кВт·ч</w:t>
            </w:r>
          </w:p>
        </w:tc>
        <w:tc>
          <w:tcPr>
            <w:tcW w:type="dxa" w:w="152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Оценка</w:t>
            </w:r>
          </w:p>
        </w:tc>
      </w:tr>
      <w:tr>
        <w:trPr>
          <w:cantSplit/>
        </w:trPr>
        <w:tc>
          <w:tcPr>
            <w:tcW w:type="dxa" w:w="139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OPEX</w:t>
            </w:r>
          </w:p>
        </w:tc>
        <w:tc>
          <w:tcPr>
            <w:tcW w:type="dxa" w:w="186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connectivityRubPerUnitYear</w:t>
            </w:r>
          </w:p>
        </w:tc>
        <w:tc>
          <w:tcPr>
            <w:tcW w:type="dxa" w:w="178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Связь и сеть на один робот в год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12 000</w:t>
            </w:r>
          </w:p>
        </w:tc>
        <w:tc>
          <w:tcPr>
            <w:tcW w:type="dxa" w:w="121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0–…</w:t>
            </w:r>
          </w:p>
        </w:tc>
        <w:tc>
          <w:tcPr>
            <w:tcW w:type="dxa" w:w="8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₽/год</w:t>
            </w:r>
          </w:p>
        </w:tc>
        <w:tc>
          <w:tcPr>
            <w:tcW w:type="dxa" w:w="152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Оценка</w:t>
            </w:r>
          </w:p>
        </w:tc>
      </w:tr>
      <w:tr>
        <w:trPr>
          <w:cantSplit/>
        </w:trPr>
        <w:tc>
          <w:tcPr>
            <w:tcW w:type="dxa" w:w="139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OPEX</w:t>
            </w:r>
          </w:p>
        </w:tc>
        <w:tc>
          <w:tcPr>
            <w:tcW w:type="dxa" w:w="186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raasMonthlyPctOfPrice</w:t>
            </w:r>
          </w:p>
        </w:tc>
        <w:tc>
          <w:tcPr>
            <w:tcW w:type="dxa" w:w="178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Оценка ставки RaaS в месяц, доля цены робота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0,052</w:t>
            </w:r>
          </w:p>
        </w:tc>
        <w:tc>
          <w:tcPr>
            <w:tcW w:type="dxa" w:w="121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0,037–0,067</w:t>
            </w:r>
          </w:p>
        </w:tc>
        <w:tc>
          <w:tcPr>
            <w:tcW w:type="dxa" w:w="8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доля в месяц</w:t>
            </w:r>
          </w:p>
        </w:tc>
        <w:tc>
          <w:tcPr>
            <w:tcW w:type="dxa" w:w="152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Расчёт</w:t>
            </w:r>
          </w:p>
        </w:tc>
      </w:tr>
      <w:tr>
        <w:trPr>
          <w:cantSplit/>
        </w:trPr>
        <w:tc>
          <w:tcPr>
            <w:tcW w:type="dxa" w:w="139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Финансы</w:t>
            </w:r>
          </w:p>
        </w:tc>
        <w:tc>
          <w:tcPr>
            <w:tcW w:type="dxa" w:w="186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discountRate</w:t>
            </w:r>
          </w:p>
        </w:tc>
        <w:tc>
          <w:tcPr>
            <w:tcW w:type="dxa" w:w="178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Ставка дисконтирования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0,12</w:t>
            </w:r>
          </w:p>
        </w:tc>
        <w:tc>
          <w:tcPr>
            <w:tcW w:type="dxa" w:w="121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0,08–0,2</w:t>
            </w:r>
          </w:p>
        </w:tc>
        <w:tc>
          <w:tcPr>
            <w:tcW w:type="dxa" w:w="8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доля в год</w:t>
            </w:r>
          </w:p>
        </w:tc>
        <w:tc>
          <w:tcPr>
            <w:tcW w:type="dxa" w:w="152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Наш выбор</w:t>
            </w:r>
          </w:p>
        </w:tc>
      </w:tr>
      <w:tr>
        <w:trPr>
          <w:cantSplit/>
        </w:trPr>
        <w:tc>
          <w:tcPr>
            <w:tcW w:type="dxa" w:w="139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Финансы</w:t>
            </w:r>
          </w:p>
        </w:tc>
        <w:tc>
          <w:tcPr>
            <w:tcW w:type="dxa" w:w="186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serviceLifeYearsDefault</w:t>
            </w:r>
          </w:p>
        </w:tc>
        <w:tc>
          <w:tcPr>
            <w:tcW w:type="dxa" w:w="178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Срок службы робота (если производитель не публикует)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7</w:t>
            </w:r>
          </w:p>
        </w:tc>
        <w:tc>
          <w:tcPr>
            <w:tcW w:type="dxa" w:w="121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5–10</w:t>
            </w:r>
          </w:p>
        </w:tc>
        <w:tc>
          <w:tcPr>
            <w:tcW w:type="dxa" w:w="8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лет</w:t>
            </w:r>
          </w:p>
        </w:tc>
        <w:tc>
          <w:tcPr>
            <w:tcW w:type="dxa" w:w="152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Оценка</w:t>
            </w:r>
          </w:p>
        </w:tc>
      </w:tr>
      <w:tr>
        <w:trPr>
          <w:cantSplit/>
        </w:trPr>
        <w:tc>
          <w:tcPr>
            <w:tcW w:type="dxa" w:w="139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Финансы</w:t>
            </w:r>
          </w:p>
        </w:tc>
        <w:tc>
          <w:tcPr>
            <w:tcW w:type="dxa" w:w="186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tcoMinYears</w:t>
            </w:r>
          </w:p>
        </w:tc>
        <w:tc>
          <w:tcPr>
            <w:tcW w:type="dxa" w:w="178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Минимальный горизонт TCO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5</w:t>
            </w:r>
          </w:p>
        </w:tc>
        <w:tc>
          <w:tcPr>
            <w:tcW w:type="dxa" w:w="121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5–30</w:t>
            </w:r>
          </w:p>
        </w:tc>
        <w:tc>
          <w:tcPr>
            <w:tcW w:type="dxa" w:w="8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лет</w:t>
            </w:r>
          </w:p>
        </w:tc>
        <w:tc>
          <w:tcPr>
            <w:tcW w:type="dxa" w:w="152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ТЗ</w:t>
            </w:r>
          </w:p>
        </w:tc>
      </w:tr>
      <w:tr>
        <w:trPr>
          <w:cantSplit/>
        </w:trPr>
        <w:tc>
          <w:tcPr>
            <w:tcW w:type="dxa" w:w="139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Интерпретация</w:t>
            </w:r>
          </w:p>
        </w:tc>
        <w:tc>
          <w:tcPr>
            <w:tcW w:type="dxa" w:w="186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paybackBandFastYears</w:t>
            </w:r>
          </w:p>
        </w:tc>
        <w:tc>
          <w:tcPr>
            <w:tcW w:type="dxa" w:w="178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Граница «быстрой» окупаемости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3</w:t>
            </w:r>
          </w:p>
        </w:tc>
        <w:tc>
          <w:tcPr>
            <w:tcW w:type="dxa" w:w="121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0–…</w:t>
            </w:r>
          </w:p>
        </w:tc>
        <w:tc>
          <w:tcPr>
            <w:tcW w:type="dxa" w:w="8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лет</w:t>
            </w:r>
          </w:p>
        </w:tc>
        <w:tc>
          <w:tcPr>
            <w:tcW w:type="dxa" w:w="152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ТЗ</w:t>
            </w:r>
          </w:p>
        </w:tc>
      </w:tr>
      <w:tr>
        <w:trPr>
          <w:cantSplit/>
        </w:trPr>
        <w:tc>
          <w:tcPr>
            <w:tcW w:type="dxa" w:w="139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Интерпретация</w:t>
            </w:r>
          </w:p>
        </w:tc>
        <w:tc>
          <w:tcPr>
            <w:tcW w:type="dxa" w:w="186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paybackBandSlowYears</w:t>
            </w:r>
          </w:p>
        </w:tc>
        <w:tc>
          <w:tcPr>
            <w:tcW w:type="dxa" w:w="178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Граница «долгой» окупаемости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5</w:t>
            </w:r>
          </w:p>
        </w:tc>
        <w:tc>
          <w:tcPr>
            <w:tcW w:type="dxa" w:w="121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0–…</w:t>
            </w:r>
          </w:p>
        </w:tc>
        <w:tc>
          <w:tcPr>
            <w:tcW w:type="dxa" w:w="8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лет</w:t>
            </w:r>
          </w:p>
        </w:tc>
        <w:tc>
          <w:tcPr>
            <w:tcW w:type="dxa" w:w="152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ТЗ</w:t>
            </w:r>
          </w:p>
        </w:tc>
      </w:tr>
      <w:tr>
        <w:trPr>
          <w:cantSplit/>
        </w:trPr>
        <w:tc>
          <w:tcPr>
            <w:tcW w:type="dxa" w:w="139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Интерпретация</w:t>
            </w:r>
          </w:p>
        </w:tc>
        <w:tc>
          <w:tcPr>
            <w:tcW w:type="dxa" w:w="186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sensitivityDeltaPct</w:t>
            </w:r>
          </w:p>
        </w:tc>
        <w:tc>
          <w:tcPr>
            <w:tcW w:type="dxa" w:w="178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Шаг чувствительности, если нет диапазона организатора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0,2</w:t>
            </w:r>
          </w:p>
        </w:tc>
        <w:tc>
          <w:tcPr>
            <w:tcW w:type="dxa" w:w="121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0–1</w:t>
            </w:r>
          </w:p>
        </w:tc>
        <w:tc>
          <w:tcPr>
            <w:tcW w:type="dxa" w:w="8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доля</w:t>
            </w:r>
          </w:p>
        </w:tc>
        <w:tc>
          <w:tcPr>
            <w:tcW w:type="dxa" w:w="152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Наш выбор</w:t>
            </w:r>
          </w:p>
        </w:tc>
      </w:tr>
      <w:tr>
        <w:trPr>
          <w:cantSplit/>
        </w:trPr>
        <w:tc>
          <w:tcPr>
            <w:tcW w:type="dxa" w:w="139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Имитация</w:t>
            </w:r>
          </w:p>
        </w:tc>
        <w:tc>
          <w:tcPr>
            <w:tcW w:type="dxa" w:w="186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simServedShareMin</w:t>
            </w:r>
          </w:p>
        </w:tc>
        <w:tc>
          <w:tcPr>
            <w:tcW w:type="dxa" w:w="178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Минимальная доля обслуженных заданий для подтверждения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0,97</w:t>
            </w:r>
          </w:p>
        </w:tc>
        <w:tc>
          <w:tcPr>
            <w:tcW w:type="dxa" w:w="121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0–1</w:t>
            </w:r>
          </w:p>
        </w:tc>
        <w:tc>
          <w:tcPr>
            <w:tcW w:type="dxa" w:w="8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доля</w:t>
            </w:r>
          </w:p>
        </w:tc>
        <w:tc>
          <w:tcPr>
            <w:tcW w:type="dxa" w:w="152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Оценка</w:t>
            </w:r>
          </w:p>
        </w:tc>
      </w:tr>
      <w:tr>
        <w:trPr>
          <w:cantSplit/>
        </w:trPr>
        <w:tc>
          <w:tcPr>
            <w:tcW w:type="dxa" w:w="139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Имитация</w:t>
            </w:r>
          </w:p>
        </w:tc>
        <w:tc>
          <w:tcPr>
            <w:tcW w:type="dxa" w:w="186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simP95WaitMaxMin</w:t>
            </w:r>
          </w:p>
        </w:tc>
        <w:tc>
          <w:tcPr>
            <w:tcW w:type="dxa" w:w="178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Предельное ожидание задания (95-й перцентиль)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10</w:t>
            </w:r>
          </w:p>
        </w:tc>
        <w:tc>
          <w:tcPr>
            <w:tcW w:type="dxa" w:w="121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0–…</w:t>
            </w:r>
          </w:p>
        </w:tc>
        <w:tc>
          <w:tcPr>
            <w:tcW w:type="dxa" w:w="8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мин</w:t>
            </w:r>
          </w:p>
        </w:tc>
        <w:tc>
          <w:tcPr>
            <w:tcW w:type="dxa" w:w="152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Оценка</w:t>
            </w:r>
          </w:p>
        </w:tc>
      </w:tr>
      <w:tr>
        <w:trPr>
          <w:cantSplit/>
        </w:trPr>
        <w:tc>
          <w:tcPr>
            <w:tcW w:type="dxa" w:w="139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Имитация</w:t>
            </w:r>
          </w:p>
        </w:tc>
        <w:tc>
          <w:tcPr>
            <w:tcW w:type="dxa" w:w="186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simOversizedIdleShare</w:t>
            </w:r>
          </w:p>
        </w:tc>
        <w:tc>
          <w:tcPr>
            <w:tcW w:type="dxa" w:w="178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Доля простоя, при которой парк избыточен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0,4</w:t>
            </w:r>
          </w:p>
        </w:tc>
        <w:tc>
          <w:tcPr>
            <w:tcW w:type="dxa" w:w="121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0–1</w:t>
            </w:r>
          </w:p>
        </w:tc>
        <w:tc>
          <w:tcPr>
            <w:tcW w:type="dxa" w:w="8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доля</w:t>
            </w:r>
          </w:p>
        </w:tc>
        <w:tc>
          <w:tcPr>
            <w:tcW w:type="dxa" w:w="152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Оценка</w:t>
            </w:r>
          </w:p>
        </w:tc>
      </w:tr>
      <w:tr>
        <w:trPr>
          <w:cantSplit/>
        </w:trPr>
        <w:tc>
          <w:tcPr>
            <w:tcW w:type="dxa" w:w="139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Имитация</w:t>
            </w:r>
          </w:p>
        </w:tc>
        <w:tc>
          <w:tcPr>
            <w:tcW w:type="dxa" w:w="186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simWarmupMin</w:t>
            </w:r>
          </w:p>
        </w:tc>
        <w:tc>
          <w:tcPr>
            <w:tcW w:type="dxa" w:w="178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Прогрев имитации на среднем потоке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15</w:t>
            </w:r>
          </w:p>
        </w:tc>
        <w:tc>
          <w:tcPr>
            <w:tcW w:type="dxa" w:w="121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0–60</w:t>
            </w:r>
          </w:p>
        </w:tc>
        <w:tc>
          <w:tcPr>
            <w:tcW w:type="dxa" w:w="8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мин</w:t>
            </w:r>
          </w:p>
        </w:tc>
        <w:tc>
          <w:tcPr>
            <w:tcW w:type="dxa" w:w="152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Оценка</w:t>
            </w:r>
          </w:p>
        </w:tc>
      </w:tr>
      <w:tr>
        <w:trPr>
          <w:cantSplit/>
        </w:trPr>
        <w:tc>
          <w:tcPr>
            <w:tcW w:type="dxa" w:w="139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Имитация</w:t>
            </w:r>
          </w:p>
        </w:tc>
        <w:tc>
          <w:tcPr>
            <w:tcW w:type="dxa" w:w="186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simPeakMin</w:t>
            </w:r>
          </w:p>
        </w:tc>
        <w:tc>
          <w:tcPr>
            <w:tcW w:type="dxa" w:w="178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Длительность пикового окна имитации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120</w:t>
            </w:r>
          </w:p>
        </w:tc>
        <w:tc>
          <w:tcPr>
            <w:tcW w:type="dxa" w:w="121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30–480</w:t>
            </w:r>
          </w:p>
        </w:tc>
        <w:tc>
          <w:tcPr>
            <w:tcW w:type="dxa" w:w="8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мин</w:t>
            </w:r>
          </w:p>
        </w:tc>
        <w:tc>
          <w:tcPr>
            <w:tcW w:type="dxa" w:w="152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Оценка</w:t>
            </w:r>
          </w:p>
        </w:tc>
      </w:tr>
      <w:tr>
        <w:trPr>
          <w:cantSplit/>
        </w:trPr>
        <w:tc>
          <w:tcPr>
            <w:tcW w:type="dxa" w:w="139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Имитация</w:t>
            </w:r>
          </w:p>
        </w:tc>
        <w:tc>
          <w:tcPr>
            <w:tcW w:type="dxa" w:w="186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chargeStartSoc</w:t>
            </w:r>
          </w:p>
        </w:tc>
        <w:tc>
          <w:tcPr>
            <w:tcW w:type="dxa" w:w="178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Заряд, при котором робот уходит на зарядку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0,2</w:t>
            </w:r>
          </w:p>
        </w:tc>
        <w:tc>
          <w:tcPr>
            <w:tcW w:type="dxa" w:w="121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0–0,95</w:t>
            </w:r>
          </w:p>
        </w:tc>
        <w:tc>
          <w:tcPr>
            <w:tcW w:type="dxa" w:w="8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доля</w:t>
            </w:r>
          </w:p>
        </w:tc>
        <w:tc>
          <w:tcPr>
            <w:tcW w:type="dxa" w:w="152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Оценка</w:t>
            </w:r>
          </w:p>
        </w:tc>
      </w:tr>
      <w:tr>
        <w:trPr>
          <w:cantSplit/>
        </w:trPr>
        <w:tc>
          <w:tcPr>
            <w:tcW w:type="dxa" w:w="139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Имитация</w:t>
            </w:r>
          </w:p>
        </w:tc>
        <w:tc>
          <w:tcPr>
            <w:tcW w:type="dxa" w:w="186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chargeStopSoc</w:t>
            </w:r>
          </w:p>
        </w:tc>
        <w:tc>
          <w:tcPr>
            <w:tcW w:type="dxa" w:w="178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Заряд, при котором робот возвращается в работу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0,9</w:t>
            </w:r>
          </w:p>
        </w:tc>
        <w:tc>
          <w:tcPr>
            <w:tcW w:type="dxa" w:w="121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0,05–1</w:t>
            </w:r>
          </w:p>
        </w:tc>
        <w:tc>
          <w:tcPr>
            <w:tcW w:type="dxa" w:w="8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доля</w:t>
            </w:r>
          </w:p>
        </w:tc>
        <w:tc>
          <w:tcPr>
            <w:tcW w:type="dxa" w:w="152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Оценка</w:t>
            </w:r>
          </w:p>
        </w:tc>
      </w:tr>
      <w:tr>
        <w:trPr>
          <w:cantSplit/>
        </w:trPr>
        <w:tc>
          <w:tcPr>
            <w:tcW w:type="dxa" w:w="139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Подбор</w:t>
            </w:r>
          </w:p>
        </w:tc>
        <w:tc>
          <w:tcPr>
            <w:tcW w:type="dxa" w:w="186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scoreWeightEcon</w:t>
            </w:r>
          </w:p>
        </w:tc>
        <w:tc>
          <w:tcPr>
            <w:tcW w:type="dxa" w:w="178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Вес фактора «Экономика» в балле подбора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0,4</w:t>
            </w:r>
          </w:p>
        </w:tc>
        <w:tc>
          <w:tcPr>
            <w:tcW w:type="dxa" w:w="121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0–1</w:t>
            </w:r>
          </w:p>
        </w:tc>
        <w:tc>
          <w:tcPr>
            <w:tcW w:type="dxa" w:w="8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доля</w:t>
            </w:r>
          </w:p>
        </w:tc>
        <w:tc>
          <w:tcPr>
            <w:tcW w:type="dxa" w:w="152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Наш выбор</w:t>
            </w:r>
          </w:p>
        </w:tc>
      </w:tr>
      <w:tr>
        <w:trPr>
          <w:cantSplit/>
        </w:trPr>
        <w:tc>
          <w:tcPr>
            <w:tcW w:type="dxa" w:w="139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Подбор</w:t>
            </w:r>
          </w:p>
        </w:tc>
        <w:tc>
          <w:tcPr>
            <w:tcW w:type="dxa" w:w="186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scoreWeightData</w:t>
            </w:r>
          </w:p>
        </w:tc>
        <w:tc>
          <w:tcPr>
            <w:tcW w:type="dxa" w:w="178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Вес фактора «Данные» в балле подбора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0,2</w:t>
            </w:r>
          </w:p>
        </w:tc>
        <w:tc>
          <w:tcPr>
            <w:tcW w:type="dxa" w:w="121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0–1</w:t>
            </w:r>
          </w:p>
        </w:tc>
        <w:tc>
          <w:tcPr>
            <w:tcW w:type="dxa" w:w="8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доля</w:t>
            </w:r>
          </w:p>
        </w:tc>
        <w:tc>
          <w:tcPr>
            <w:tcW w:type="dxa" w:w="152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Наш выбор</w:t>
            </w:r>
          </w:p>
        </w:tc>
      </w:tr>
      <w:tr>
        <w:trPr>
          <w:cantSplit/>
        </w:trPr>
        <w:tc>
          <w:tcPr>
            <w:tcW w:type="dxa" w:w="139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Подбор</w:t>
            </w:r>
          </w:p>
        </w:tc>
        <w:tc>
          <w:tcPr>
            <w:tcW w:type="dxa" w:w="186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scoreWeightMaturity</w:t>
            </w:r>
          </w:p>
        </w:tc>
        <w:tc>
          <w:tcPr>
            <w:tcW w:type="dxa" w:w="178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Вес фактора «Зрелость» в балле подбора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0,15</w:t>
            </w:r>
          </w:p>
        </w:tc>
        <w:tc>
          <w:tcPr>
            <w:tcW w:type="dxa" w:w="121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0–1</w:t>
            </w:r>
          </w:p>
        </w:tc>
        <w:tc>
          <w:tcPr>
            <w:tcW w:type="dxa" w:w="8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доля</w:t>
            </w:r>
          </w:p>
        </w:tc>
        <w:tc>
          <w:tcPr>
            <w:tcW w:type="dxa" w:w="152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Наш выбор</w:t>
            </w:r>
          </w:p>
        </w:tc>
      </w:tr>
      <w:tr>
        <w:trPr>
          <w:cantSplit/>
        </w:trPr>
        <w:tc>
          <w:tcPr>
            <w:tcW w:type="dxa" w:w="139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Подбор</w:t>
            </w:r>
          </w:p>
        </w:tc>
        <w:tc>
          <w:tcPr>
            <w:tcW w:type="dxa" w:w="186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scoreWeightMargin</w:t>
            </w:r>
          </w:p>
        </w:tc>
        <w:tc>
          <w:tcPr>
            <w:tcW w:type="dxa" w:w="178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Вес фактора «Запас» в балле подбора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0,15</w:t>
            </w:r>
          </w:p>
        </w:tc>
        <w:tc>
          <w:tcPr>
            <w:tcW w:type="dxa" w:w="121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0–1</w:t>
            </w:r>
          </w:p>
        </w:tc>
        <w:tc>
          <w:tcPr>
            <w:tcW w:type="dxa" w:w="8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доля</w:t>
            </w:r>
          </w:p>
        </w:tc>
        <w:tc>
          <w:tcPr>
            <w:tcW w:type="dxa" w:w="152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Наш выбор</w:t>
            </w:r>
          </w:p>
        </w:tc>
      </w:tr>
      <w:tr>
        <w:trPr>
          <w:cantSplit/>
        </w:trPr>
        <w:tc>
          <w:tcPr>
            <w:tcW w:type="dxa" w:w="139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Подбор</w:t>
            </w:r>
          </w:p>
        </w:tc>
        <w:tc>
          <w:tcPr>
            <w:tcW w:type="dxa" w:w="186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scoreWeightCases</w:t>
            </w:r>
          </w:p>
        </w:tc>
        <w:tc>
          <w:tcPr>
            <w:tcW w:type="dxa" w:w="178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Вес фактора «Кейсы» в балле подбора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0,1</w:t>
            </w:r>
          </w:p>
        </w:tc>
        <w:tc>
          <w:tcPr>
            <w:tcW w:type="dxa" w:w="121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0–1</w:t>
            </w:r>
          </w:p>
        </w:tc>
        <w:tc>
          <w:tcPr>
            <w:tcW w:type="dxa" w:w="8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доля</w:t>
            </w:r>
          </w:p>
        </w:tc>
        <w:tc>
          <w:tcPr>
            <w:tcW w:type="dxa" w:w="152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Наш выбор</w:t>
            </w:r>
          </w:p>
        </w:tc>
      </w:tr>
    </w:tbl>
    <w:p>
      <w:pPr>
        <w:spacing w:after="60"/>
      </w:pPr>
    </w:p>
    <w:p>
      <w:pPr>
        <w:pStyle w:val="Heading2"/>
        <w:keepNext/>
        <w:outlineLvl w:val="1"/>
      </w:pPr>
      <w:bookmarkStart w:name="toc25" w:id="1"/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5. Имитация (ТЗ §3.6)</w:t>
      </w:r>
      <w:bookmarkEnd w:id="1"/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Имитация отвечает на вопрос ТЗ §2.1.4: достигается ли рассчитанная производительность, какова
загрузка, где простои и узкие места. Она нужна не для анимации, а для проверки расчёта
(ТЗ §2.2, шаг 7): экономика берёт производительность по циклу из той же планировки, по которой
едут роботы.</w:t>
      </w:r>
    </w:p>
    <w:p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Планировка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lib/sim/layout.ts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). Склад строится из активной зоны A: W = √(2A), H = √(A/2).
Корень считается методом Ньютона на сложении и умножении, чтобы Node и браузер давали
одинаковый результат. Слева полоса приёмки с воротами и угол зарядки, справа полоса отгрузки,
три поперечных проезда, стеллажные проходы через ширину прохода плюс двойной ряд стеллажей,
места хранения с шагом 4 м. Размеры полос и отступов — оценки, они перечислены в
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LIMITATIONS.md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(</w:t>
      </w:r>
      <w:hyperlink w:history="1" w:anchor="ch9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1A42A8"/>
            <w:u w:val="single"/>
          </w:rPr>
          <w:t xml:space="preserve">гл. 9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§3, и в блоке «Откуда параметры имитации».</w:t>
      </w:r>
    </w:p>
    <w:p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Маршруты и цикл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routing.ts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analytic.ts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). Робот едет только по проходам, длина пути —
сумма модулей.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expectedLegsM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даёт точные средние плечи для смеси 50/50 «приёмка → хранение»
и «хранение → отгрузка». Производительность по циклу:
thrцикл = 3600 / (Lпорож / v + Lгруз / (v × kгруз) + 2 × tзахв).</w:t>
      </w:r>
    </w:p>
    <w:p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Движок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engine.ts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). Шаг 1 с. Задания поступают по испытаниям Бернулли от генератора
mulberry32: 15 минут прогрева на среднем потоке, затем 120 минут на пиковом. У робота конечный
автомат: подъезд, ожидание у ворот (одна машина на ворота), погрузка, перевозка, выгрузка,
уход на зарядку при 20 % заряда и возврат при 90 %, очередь к станциям. Задание получает
ближайший свободный робот в порядке поступления. В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lib/sim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правилом ESLint запрещены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Date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
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performance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Math.random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Math.sqrt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и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Math.log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: прогон с тем же входом и зерном даёт
тот же результат бит-в-бит на сервере и в браузере.</w:t>
      </w:r>
    </w:p>
    <w:p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Показатели и вердикт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metrics.ts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). По пиковому окну: достигнутый и поступивший поток,
доля обслуженных заданий, разложение времени парка (работа, ожидание у точек, зарядка,
простой — в сумме 100 %), очередь, 95-й перцентиль ожидания. Вердикт «подтверждён» требует
одновременно: обслужено не меньше 97 % заданий пика, очередь в конце не больше max(3; 5 %
часового потока), p95 ожидания не больше 10 минут, ни один робот не разрядился до нуля.
Иначе — «не подтверждён» с узким местом: парк, ворота, зарядка или грузоподъёмность. «Парк
избыточен», если простой не меньше 40 %. Пороги — нормативы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sim*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(таблица в §4).</w:t>
      </w:r>
    </w:p>
    <w:p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Минимальный устойчивый парк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sweep.ts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). Двоичный поиск наименьшего парка, при котором
расчёт подтверждён, в диапазоне [1; 2N]: около log₂(2N) прогонов вместо 2N. Результат —
проверенный порог: при n роботах подтверждён, при n − 1 — нет. На сервере у подбора бюджет
20 с на сценарий и 40 с на проект, чтобы сохранение уложилось в 60 с ТЗ §4.3.3.</w:t>
      </w:r>
    </w:p>
    <w:p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Три варианта парка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в списке «Сценарий и парк»: парк по расчёту (N), минимальный по
имитации (M) и парк по паспортной норме организатора (K). «Принять парк по имитации»
записывает M ручным числом роботов в журнал.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24575" cy="4981575"/>
            <wp:effectExtent t="0" r="0" b="0" l="0"/>
            <wp:docPr id="1" name="sample-simulation.png" descr="PNG имитации, выгруженный сборкой кнопкой «Скачать PNG»: сценарий «Покупка — AMR 1500», парк по расчёту (11), вердикт «Расчёт подтверждён имитацией» (docs/submission/sample-simulation.png)" title="PNG имитации, выгруженный сборкой кнопкой «Скачать PNG»: сценарий «Покупка — AMR 1500», парк по расчёту (11), вердикт «Расчёт подтверждён имитацией» (docs/submission/sample-simulation.png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Рисунок 3 — PNG имитации, выгруженный сборкой кнопкой «Скачать PNG»: сценарий «Покупка — AMR 1500», парк по расчёту (11), вердикт «Расчёт подтверждён имитацией» (docs/submission/sample-simulation.png)</w:t>
      </w:r>
    </w:p>
    <w:p>
      <w:pPr>
        <w:pStyle w:val="Heading2"/>
        <w:keepNext/>
        <w:outlineLvl w:val="1"/>
      </w:pPr>
      <w:bookmarkStart w:name="toc26" w:id="1"/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6. Контрольный пример на демо-складе</w:t>
      </w:r>
      <w:bookmarkEnd w:id="1"/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Объект — базовые значения листа «Склад» датасета организатора. Решение — Ronavi H1500.
Числа ниже — трассировка движка «Как посчитано» на тех же данных, что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/demo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и засеянный
проект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demo-warehouse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. Каждую строку можно увидеть в рабочей области (шаг 5, «Как
посчитано»), в отчёте проекта (раздел «CAPEX и OPEX по статьям») и на листах XLSX «CAPEX»,
«OPEX» и «Денежный поток». Итоговые показатели совпадают с
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submission/demo-numbers.md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(</w:t>
      </w:r>
      <w:hyperlink w:history="1" w:anchor="appA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1A42A8"/>
            <w:u w:val="single"/>
          </w:rPr>
          <w:t xml:space="preserve">прил. А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и закреплены эталоном
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lib/tz/golden.test.ts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Статьи CAPEX и OPEX и строки трассировки в §6.1–6.4 тестом не закреплены: это вывод команды
ниже, перенесённый в таблицы без пересчёта. Если движок изменится, запустите её снова и
сверьте таблицы. Команда запускается из корня репозитория и не требует базы. Данные
организатора берутся из кода, нормативы — по умолчанию, как у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print-demo-numbers --offline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.
На засеянной базе без правок администратора вывод тот же: 83 строки совпали построчно
(проверено 2026-09-25).</w:t>
      </w:r>
    </w:p>
    <w:p>
      <w:pPr>
        <w:keepLines/>
        <w:shd w:fill="F2F4F7" w:color="auto" w:val="clear"/>
        <w:spacing w:after="140" w:before="60" w:line="250"/>
        <w:ind w:left="60" w:right="60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npx tsx --eval 'import { CATALOG } from "./lib/data/organizer/catalog"; import { paramSpecsFor } from "./lib/data/organizer/params"; import { productForCalcFromSeed } from "./lib/catalog/product-for-calc"; import { processDef } from "./lib/tz/processes"; import { resolveNorms } from "./lib/tz/norms"; import { buildProjectModel } from "./lib/tz/model"; import { asisScenario } from "./lib/projects/defaults"; const products = CATALOG.filter((p) =&gt; p.level !== "identification" &amp;&amp; p.processes.some((s) =&gt; processDef(s)?.facilityTypes.includes("warehouse"))).map(productForCalcFromSeed); const paramDefs = paramSpecsFor("warehouse"); const params = Object.fromEntries(paramDefs.map((d) =&gt; [d.key, d.base])); const items = [{ process: "pallet-transport", productSlug: "ronavi-h1500" }]; const m = buildProjectModel({ facility: "warehouse", params, paramDefs, products, norms: resolveNorms(), scenarios: [asisScenario(), { key: "p1", name: "Покупка — Ronavi H1500", kind: "purchase", items }, { key: "r1", name: "Услуга (RaaS) — Ronavi H1500", kind: "raas", items }] }); for (const r of m.results) { if (r.status !== "ok" || r.kind === "asis") continue; console.log(`## ${r.name}`); for (const l of [...r.capexLines, ...r.opexLines]) console.log(`${l.label} | ${l.substituted} | ${Math.round(l.valueRub).toLocaleString("ru-RU")} ₽`); for (const t of r.trace) console.log(`${t.label} :: ${t.substituted}`); }'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Для каждого сценария команда печатает статьи в виде «название | подстановка | сумма», а затем
трассировку в виде «шаг :: подстановка». Строки NPV, «Замена АКБ, год 4» и «Дисконтированный
срок окупаемости» тоже берутся из трассировки. Команда должна оставаться одной строкой: на
Windows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npx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обрезает аргумент на первом переводе строки.</w:t>
      </w:r>
    </w:p>
    <w:p>
      <w:pPr>
        <w:pStyle w:val="Heading3"/>
        <w:keepNext/>
        <w:outlineLvl w:val="2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6.1 Спрос и парк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39"/>
        <w:gridCol w:w="6899"/>
      </w:tblGrid>
      <w:tr>
        <w:trPr>
          <w:cantSplit/>
          <w:tblHeader/>
        </w:trPr>
        <w:tc>
          <w:tcPr>
            <w:tcW w:type="dxa" w:w="273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Шаг</w:t>
            </w:r>
          </w:p>
        </w:tc>
        <w:tc>
          <w:tcPr>
            <w:tcW w:type="dxa" w:w="689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Трассировка</w:t>
            </w:r>
          </w:p>
        </w:tc>
      </w:tr>
      <w:tr>
        <w:trPr>
          <w:cantSplit/>
        </w:trPr>
        <w:tc>
          <w:tcPr>
            <w:tcW w:type="dxa" w:w="273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Часы работы</w:t>
            </w:r>
          </w:p>
        </w:tc>
        <w:tc>
          <w:tcPr>
            <w:tcW w:type="dxa" w:w="689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Hсут = 2 × 11 = 22 ч; Hгод = 22 × 365 = 8 030 ч</w:t>
            </w:r>
          </w:p>
        </w:tc>
      </w:tr>
      <w:tr>
        <w:trPr>
          <w:cantSplit/>
        </w:trPr>
        <w:tc>
          <w:tcPr>
            <w:tcW w:type="dxa" w:w="273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Суточный спрос</w:t>
            </w:r>
          </w:p>
        </w:tc>
        <w:tc>
          <w:tcPr>
            <w:tcW w:type="dxa" w:w="689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(1 000 + 1 000 + 0) × (1 − 5/100) = 1 900 паллет/сут</w:t>
            </w:r>
          </w:p>
        </w:tc>
      </w:tr>
      <w:tr>
        <w:trPr>
          <w:cantSplit/>
        </w:trPr>
        <w:tc>
          <w:tcPr>
            <w:tcW w:type="dxa" w:w="273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Пиковый поток</w:t>
            </w:r>
          </w:p>
        </w:tc>
        <w:tc>
          <w:tcPr>
            <w:tcW w:type="dxa" w:w="689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λср = 1 900 / 22 = 86,36; λпик = 86,36 × 1,5 = 129,55 паллет/ч</w:t>
            </w:r>
          </w:p>
        </w:tc>
      </w:tr>
      <w:tr>
        <w:trPr>
          <w:cantSplit/>
        </w:trPr>
        <w:tc>
          <w:tcPr>
            <w:tcW w:type="dxa" w:w="273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Паспортная норма</w:t>
            </w:r>
          </w:p>
        </w:tc>
        <w:tc>
          <w:tcPr>
            <w:tcW w:type="dxa" w:w="689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90 паллет/ч (не подтверждена производителем)</w:t>
            </w:r>
          </w:p>
        </w:tc>
      </w:tr>
      <w:tr>
        <w:trPr>
          <w:cantSplit/>
        </w:trPr>
        <w:tc>
          <w:tcPr>
            <w:tcW w:type="dxa" w:w="273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Цикл на планировке</w:t>
            </w:r>
          </w:p>
        </w:tc>
        <w:tc>
          <w:tcPr>
            <w:tcW w:type="dxa" w:w="689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3600 / (103,6 / 1,5 + 93,8 / (1,5 × 0,8) + 2 × 20) = 19,23 паллет/ч</w:t>
            </w:r>
          </w:p>
        </w:tc>
      </w:tr>
      <w:tr>
        <w:trPr>
          <w:cantSplit/>
        </w:trPr>
        <w:tc>
          <w:tcPr>
            <w:tcW w:type="dxa" w:w="273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Принятая производительность</w:t>
            </w:r>
          </w:p>
        </w:tc>
        <w:tc>
          <w:tcPr>
            <w:tcW w:type="dxa" w:w="689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min(90; 19,23) = 19,23</w:t>
            </w:r>
          </w:p>
        </w:tc>
      </w:tr>
      <w:tr>
        <w:trPr>
          <w:cantSplit/>
        </w:trPr>
        <w:tc>
          <w:tcPr>
            <w:tcW w:type="dxa" w:w="273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Парк</w:t>
            </w:r>
          </w:p>
        </w:tc>
        <w:tc>
          <w:tcPr>
            <w:tcW w:type="dxa" w:w="689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Nточн = 129,55 / (19,23 × 0,775 × 1) × (1 + 0,175) = 10,22; N = max(1; ⌈10,22⌉) = 11</w:t>
            </w:r>
          </w:p>
        </w:tc>
      </w:tr>
      <w:tr>
        <w:trPr>
          <w:cantSplit/>
        </w:trPr>
        <w:tc>
          <w:tcPr>
            <w:tcW w:type="dxa" w:w="273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Доля закрытого спроса</w:t>
            </w:r>
          </w:p>
        </w:tc>
        <w:tc>
          <w:tcPr>
            <w:tcW w:type="dxa" w:w="689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min(1; 11 × 19,23 × 0,775 × 1 / 129,55) = 1</w:t>
            </w:r>
          </w:p>
        </w:tc>
      </w:tr>
      <w:tr>
        <w:trPr>
          <w:cantSplit/>
        </w:trPr>
        <w:tc>
          <w:tcPr>
            <w:tcW w:type="dxa" w:w="273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Зарядные станции</w:t>
            </w:r>
          </w:p>
        </w:tc>
        <w:tc>
          <w:tcPr>
            <w:tcW w:type="dxa" w:w="689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max(1; ⌈11 × 18 / (6 × 60 + 18) × 1,5⌉) = 1</w:t>
            </w:r>
          </w:p>
        </w:tc>
      </w:tr>
    </w:tbl>
    <w:p>
      <w:pPr>
        <w:spacing w:after="60"/>
      </w:pP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Плечи 103,6 м порожнем и 93,8 м с грузом — средние по планировке 10 000 м² с проходами
3,5 и 2,8 м. По паспортной норме 90 паллет/ч парк вышел бы 3 робота. Расчёт берёт меньшее из
нормы и цикла, а имитация проверяет, какой из двух парков справляется (§7).</w:t>
      </w:r>
    </w:p>
    <w:p>
      <w:pPr>
        <w:pStyle w:val="Heading3"/>
        <w:keepNext/>
        <w:outlineLvl w:val="2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6.2 Труд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20"/>
        <w:gridCol w:w="6818"/>
      </w:tblGrid>
      <w:tr>
        <w:trPr>
          <w:cantSplit/>
          <w:tblHeader/>
        </w:trPr>
        <w:tc>
          <w:tcPr>
            <w:tcW w:type="dxa" w:w="282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Шаг</w:t>
            </w:r>
          </w:p>
        </w:tc>
        <w:tc>
          <w:tcPr>
            <w:tcW w:type="dxa" w:w="681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Трассировка</w:t>
            </w:r>
          </w:p>
        </w:tc>
      </w:tr>
      <w:tr>
        <w:trPr>
          <w:cantSplit/>
        </w:trPr>
        <w:tc>
          <w:tcPr>
            <w:tcW w:type="dxa" w:w="282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Стоимость ставки</w:t>
            </w:r>
          </w:p>
        </w:tc>
        <w:tc>
          <w:tcPr>
            <w:tcW w:type="dxa" w:w="681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120 000 ₽ × 12 × 1,302 = 1 874 880 ₽</w:t>
            </w:r>
          </w:p>
        </w:tc>
      </w:tr>
      <w:tr>
        <w:trPr>
          <w:cantSplit/>
        </w:trPr>
        <w:tc>
          <w:tcPr>
            <w:tcW w:type="dxa" w:w="282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ФОТ процесса «как есть»</w:t>
            </w:r>
          </w:p>
        </w:tc>
        <w:tc>
          <w:tcPr>
            <w:tcW w:type="dxa" w:w="681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25 × 1 874 880 ₽ = 46 872 000 ₽</w:t>
            </w:r>
          </w:p>
        </w:tc>
      </w:tr>
      <w:tr>
        <w:trPr>
          <w:cantSplit/>
        </w:trPr>
        <w:tc>
          <w:tcPr>
            <w:tcW w:type="dxa" w:w="282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Высвобождаемые ставки</w:t>
            </w:r>
          </w:p>
        </w:tc>
        <w:tc>
          <w:tcPr>
            <w:tcW w:type="dxa" w:w="681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25 × 0,5 × (1 − 5/100) × 1 = 11,875</w:t>
            </w:r>
          </w:p>
        </w:tc>
      </w:tr>
      <w:tr>
        <w:trPr>
          <w:cantSplit/>
        </w:trPr>
        <w:tc>
          <w:tcPr>
            <w:tcW w:type="dxa" w:w="282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ФОТ оставшегося персонала</w:t>
            </w:r>
          </w:p>
        </w:tc>
        <w:tc>
          <w:tcPr>
            <w:tcW w:type="dxa" w:w="681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(25 − 11,875) × 1 874 880 ₽ = 24 607 800 ₽</w:t>
            </w:r>
          </w:p>
        </w:tc>
      </w:tr>
      <w:tr>
        <w:trPr>
          <w:cantSplit/>
        </w:trPr>
        <w:tc>
          <w:tcPr>
            <w:tcW w:type="dxa" w:w="282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Персонал эксплуатации</w:t>
            </w:r>
          </w:p>
        </w:tc>
        <w:tc>
          <w:tcPr>
            <w:tcW w:type="dxa" w:w="681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⌈11 / 20⌉ = 1; 1 × 22 × 365 / 1 973 × 1 874 880 ₽ = 7 630 657 ₽</w:t>
            </w:r>
          </w:p>
        </w:tc>
      </w:tr>
    </w:tbl>
    <w:p>
      <w:pPr>
        <w:spacing w:after="60"/>
      </w:pPr>
    </w:p>
    <w:p>
      <w:pPr>
        <w:pStyle w:val="Heading3"/>
        <w:keepNext/>
        <w:outlineLvl w:val="2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6.3 Покупка — Ronavi H1500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92"/>
        <w:gridCol w:w="3578"/>
        <w:gridCol w:w="2168"/>
      </w:tblGrid>
      <w:tr>
        <w:trPr>
          <w:cantSplit/>
          <w:tblHeader/>
        </w:trPr>
        <w:tc>
          <w:tcPr>
            <w:tcW w:type="dxa" w:w="389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Статья</w:t>
            </w:r>
          </w:p>
        </w:tc>
        <w:tc>
          <w:tcPr>
            <w:tcW w:type="dxa" w:w="357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Трассировка</w:t>
            </w:r>
          </w:p>
        </w:tc>
        <w:tc>
          <w:tcPr>
            <w:tcW w:type="dxa" w:w="216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Сумма</w:t>
            </w:r>
          </w:p>
        </w:tc>
      </w:tr>
      <w:tr>
        <w:trPr>
          <w:cantSplit/>
        </w:trPr>
        <w:tc>
          <w:tcPr>
            <w:tcW w:type="dxa" w:w="389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Оборудование</w:t>
            </w:r>
          </w:p>
        </w:tc>
        <w:tc>
          <w:tcPr>
            <w:tcW w:type="dxa" w:w="357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11 × 2 700 000 ₽</w:t>
            </w:r>
          </w:p>
        </w:tc>
        <w:tc>
          <w:tcPr>
            <w:tcW w:type="dxa" w:w="216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29 700 000 ₽</w:t>
            </w:r>
          </w:p>
        </w:tc>
      </w:tr>
      <w:tr>
        <w:trPr>
          <w:cantSplit/>
        </w:trPr>
        <w:tc>
          <w:tcPr>
            <w:tcW w:type="dxa" w:w="389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Зарядные станции</w:t>
            </w:r>
          </w:p>
        </w:tc>
        <w:tc>
          <w:tcPr>
            <w:tcW w:type="dxa" w:w="357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1 × 300 000 ₽</w:t>
            </w:r>
          </w:p>
        </w:tc>
        <w:tc>
          <w:tcPr>
            <w:tcW w:type="dxa" w:w="216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300 000 ₽</w:t>
            </w:r>
          </w:p>
        </w:tc>
      </w:tr>
      <w:tr>
        <w:trPr>
          <w:cantSplit/>
        </w:trPr>
        <w:tc>
          <w:tcPr>
            <w:tcW w:type="dxa" w:w="389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Инфраструктура площадки</w:t>
            </w:r>
          </w:p>
        </w:tc>
        <w:tc>
          <w:tcPr>
            <w:tcW w:type="dxa" w:w="357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10 000 м² × 150 ₽/м²</w:t>
            </w:r>
          </w:p>
        </w:tc>
        <w:tc>
          <w:tcPr>
            <w:tcW w:type="dxa" w:w="216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1 500 000 ₽</w:t>
            </w:r>
          </w:p>
        </w:tc>
      </w:tr>
      <w:tr>
        <w:trPr>
          <w:cantSplit/>
        </w:trPr>
        <w:tc>
          <w:tcPr>
            <w:tcW w:type="dxa" w:w="389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ПО управления парком</w:t>
            </w:r>
          </w:p>
        </w:tc>
        <w:tc>
          <w:tcPr>
            <w:tcW w:type="dxa" w:w="357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карточка Ronavi H1500</w:t>
            </w:r>
          </w:p>
        </w:tc>
        <w:tc>
          <w:tcPr>
            <w:tcW w:type="dxa" w:w="216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1 000 000 ₽</w:t>
            </w:r>
          </w:p>
        </w:tc>
      </w:tr>
      <w:tr>
        <w:trPr>
          <w:cantSplit/>
        </w:trPr>
        <w:tc>
          <w:tcPr>
            <w:tcW w:type="dxa" w:w="389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Интеграция с WMS/ERP</w:t>
            </w:r>
          </w:p>
        </w:tc>
        <w:tc>
          <w:tcPr>
            <w:tcW w:type="dxa" w:w="357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карточка Ronavi H1500</w:t>
            </w:r>
          </w:p>
        </w:tc>
        <w:tc>
          <w:tcPr>
            <w:tcW w:type="dxa" w:w="216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1 250 000 ₽</w:t>
            </w:r>
          </w:p>
        </w:tc>
      </w:tr>
      <w:tr>
        <w:trPr>
          <w:cantSplit/>
        </w:trPr>
        <w:tc>
          <w:tcPr>
            <w:tcW w:type="dxa" w:w="389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Пусконаладка</w:t>
            </w:r>
          </w:p>
        </w:tc>
        <w:tc>
          <w:tcPr>
            <w:tcW w:type="dxa" w:w="357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11 × 100 000 ₽</w:t>
            </w:r>
          </w:p>
        </w:tc>
        <w:tc>
          <w:tcPr>
            <w:tcW w:type="dxa" w:w="216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1 100 000 ₽</w:t>
            </w:r>
          </w:p>
        </w:tc>
      </w:tr>
      <w:tr>
        <w:trPr>
          <w:cantSplit/>
        </w:trPr>
        <w:tc>
          <w:tcPr>
            <w:tcW w:type="dxa" w:w="389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Обучение персонала</w:t>
            </w:r>
          </w:p>
        </w:tc>
        <w:tc>
          <w:tcPr>
            <w:tcW w:type="dxa" w:w="357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норматив на объект</w:t>
            </w:r>
          </w:p>
        </w:tc>
        <w:tc>
          <w:tcPr>
            <w:tcW w:type="dxa" w:w="216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150 000 ₽</w:t>
            </w:r>
          </w:p>
        </w:tc>
      </w:tr>
      <w:tr>
        <w:trPr>
          <w:cantSplit/>
        </w:trPr>
        <w:tc>
          <w:tcPr>
            <w:tcW w:type="dxa" w:w="389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Резерв</w:t>
            </w:r>
          </w:p>
        </w:tc>
        <w:tc>
          <w:tcPr>
            <w:tcW w:type="dxa" w:w="357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10 % × 35 000 000 ₽</w:t>
            </w:r>
          </w:p>
        </w:tc>
        <w:tc>
          <w:tcPr>
            <w:tcW w:type="dxa" w:w="216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3 500 000 ₽</w:t>
            </w:r>
          </w:p>
        </w:tc>
      </w:tr>
      <w:tr>
        <w:trPr>
          <w:cantSplit/>
        </w:trPr>
        <w:tc>
          <w:tcPr>
            <w:tcW w:type="dxa" w:w="389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CAPEX</w:t>
            </w:r>
          </w:p>
        </w:tc>
        <w:tc>
          <w:tcPr>
            <w:tcW w:type="dxa" w:w="357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216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38 500 000 ₽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06"/>
        <w:gridCol w:w="4828"/>
        <w:gridCol w:w="1304"/>
      </w:tblGrid>
      <w:tr>
        <w:trPr>
          <w:cantSplit/>
          <w:tblHeader/>
        </w:trPr>
        <w:tc>
          <w:tcPr>
            <w:tcW w:type="dxa" w:w="350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Статья OPEX</w:t>
            </w:r>
          </w:p>
        </w:tc>
        <w:tc>
          <w:tcPr>
            <w:tcW w:type="dxa" w:w="482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Трассировка</w:t>
            </w:r>
          </w:p>
        </w:tc>
        <w:tc>
          <w:tcPr>
            <w:tcW w:type="dxa" w:w="130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₽/год</w:t>
            </w:r>
          </w:p>
        </w:tc>
      </w:tr>
      <w:tr>
        <w:trPr>
          <w:cantSplit/>
        </w:trPr>
        <w:tc>
          <w:tcPr>
            <w:tcW w:type="dxa" w:w="350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Сервисное обслуживание</w:t>
            </w:r>
          </w:p>
        </w:tc>
        <w:tc>
          <w:tcPr>
            <w:tcW w:type="dxa" w:w="482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11 × 300 000 ₽</w:t>
            </w:r>
          </w:p>
        </w:tc>
        <w:tc>
          <w:tcPr>
            <w:tcW w:type="dxa" w:w="130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3 300 000</w:t>
            </w:r>
          </w:p>
        </w:tc>
      </w:tr>
      <w:tr>
        <w:trPr>
          <w:cantSplit/>
        </w:trPr>
        <w:tc>
          <w:tcPr>
            <w:tcW w:type="dxa" w:w="350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Лицензии ПО</w:t>
            </w:r>
          </w:p>
        </w:tc>
        <w:tc>
          <w:tcPr>
            <w:tcW w:type="dxa" w:w="482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годовая плата не опубликована — принято 0</w:t>
            </w:r>
          </w:p>
        </w:tc>
        <w:tc>
          <w:tcPr>
            <w:tcW w:type="dxa" w:w="130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50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Электроэнергия</w:t>
            </w:r>
          </w:p>
        </w:tc>
        <w:tc>
          <w:tcPr>
            <w:tcW w:type="dxa" w:w="482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11 × 0,4 кВт × 8 030 ч × 0,775 × 9 ₽/кВт·ч</w:t>
            </w:r>
          </w:p>
        </w:tc>
        <w:tc>
          <w:tcPr>
            <w:tcW w:type="dxa" w:w="130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246 441</w:t>
            </w:r>
          </w:p>
        </w:tc>
      </w:tr>
      <w:tr>
        <w:trPr>
          <w:cantSplit/>
        </w:trPr>
        <w:tc>
          <w:tcPr>
            <w:tcW w:type="dxa" w:w="350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Связь и сеть</w:t>
            </w:r>
          </w:p>
        </w:tc>
        <w:tc>
          <w:tcPr>
            <w:tcW w:type="dxa" w:w="482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11 × 12 000 ₽</w:t>
            </w:r>
          </w:p>
        </w:tc>
        <w:tc>
          <w:tcPr>
            <w:tcW w:type="dxa" w:w="130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132 000</w:t>
            </w:r>
          </w:p>
        </w:tc>
      </w:tr>
      <w:tr>
        <w:trPr>
          <w:cantSplit/>
        </w:trPr>
        <w:tc>
          <w:tcPr>
            <w:tcW w:type="dxa" w:w="350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Расходные материалы</w:t>
            </w:r>
          </w:p>
        </w:tc>
        <w:tc>
          <w:tcPr>
            <w:tcW w:type="dxa" w:w="482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11 × 1 % × 2 700 000 ₽</w:t>
            </w:r>
          </w:p>
        </w:tc>
        <w:tc>
          <w:tcPr>
            <w:tcW w:type="dxa" w:w="130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297 000</w:t>
            </w:r>
          </w:p>
        </w:tc>
      </w:tr>
      <w:tr>
        <w:trPr>
          <w:cantSplit/>
        </w:trPr>
        <w:tc>
          <w:tcPr>
            <w:tcW w:type="dxa" w:w="350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Ремонт вне сервисного договора</w:t>
            </w:r>
          </w:p>
        </w:tc>
        <w:tc>
          <w:tcPr>
            <w:tcW w:type="dxa" w:w="482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2 % × 29 700 000 ₽</w:t>
            </w:r>
          </w:p>
        </w:tc>
        <w:tc>
          <w:tcPr>
            <w:tcW w:type="dxa" w:w="130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594 000</w:t>
            </w:r>
          </w:p>
        </w:tc>
      </w:tr>
      <w:tr>
        <w:trPr>
          <w:cantSplit/>
        </w:trPr>
        <w:tc>
          <w:tcPr>
            <w:tcW w:type="dxa" w:w="350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Замена АКБ (в среднем за год)</w:t>
            </w:r>
          </w:p>
        </w:tc>
        <w:tc>
          <w:tcPr>
            <w:tcW w:type="dxa" w:w="482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11 × 10 % × 2 700 000 ₽ / 4 г.</w:t>
            </w:r>
          </w:p>
        </w:tc>
        <w:tc>
          <w:tcPr>
            <w:tcW w:type="dxa" w:w="130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742 500</w:t>
            </w:r>
          </w:p>
        </w:tc>
      </w:tr>
      <w:tr>
        <w:trPr>
          <w:cantSplit/>
        </w:trPr>
        <w:tc>
          <w:tcPr>
            <w:tcW w:type="dxa" w:w="350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Персонал эксплуатации</w:t>
            </w:r>
          </w:p>
        </w:tc>
        <w:tc>
          <w:tcPr>
            <w:tcW w:type="dxa" w:w="482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см. §6.2</w:t>
            </w:r>
          </w:p>
        </w:tc>
        <w:tc>
          <w:tcPr>
            <w:tcW w:type="dxa" w:w="130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7 630 657</w:t>
            </w:r>
          </w:p>
        </w:tc>
      </w:tr>
      <w:tr>
        <w:trPr>
          <w:cantSplit/>
        </w:trPr>
        <w:tc>
          <w:tcPr>
            <w:tcW w:type="dxa" w:w="350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ФОТ оставшегося персонала</w:t>
            </w:r>
          </w:p>
        </w:tc>
        <w:tc>
          <w:tcPr>
            <w:tcW w:type="dxa" w:w="482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см. §6.2</w:t>
            </w:r>
          </w:p>
        </w:tc>
        <w:tc>
          <w:tcPr>
            <w:tcW w:type="dxa" w:w="130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24 607 800</w:t>
            </w:r>
          </w:p>
        </w:tc>
      </w:tr>
      <w:tr>
        <w:trPr>
          <w:cantSplit/>
        </w:trPr>
        <w:tc>
          <w:tcPr>
            <w:tcW w:type="dxa" w:w="350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OPEX за год</w:t>
            </w:r>
          </w:p>
        </w:tc>
        <w:tc>
          <w:tcPr>
            <w:tcW w:type="dxa" w:w="482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130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37 550 398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43"/>
        <w:gridCol w:w="7895"/>
      </w:tblGrid>
      <w:tr>
        <w:trPr>
          <w:cantSplit/>
          <w:tblHeader/>
        </w:trPr>
        <w:tc>
          <w:tcPr>
            <w:tcW w:type="dxa" w:w="174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Показатель</w:t>
            </w:r>
          </w:p>
        </w:tc>
        <w:tc>
          <w:tcPr>
            <w:tcW w:type="dxa" w:w="789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Трассировка</w:t>
            </w:r>
          </w:p>
        </w:tc>
      </w:tr>
      <w:tr>
        <w:trPr>
          <w:cantSplit/>
        </w:trPr>
        <w:tc>
          <w:tcPr>
            <w:tcW w:type="dxa" w:w="174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Годовой эффект</w:t>
            </w:r>
          </w:p>
        </w:tc>
        <w:tc>
          <w:tcPr>
            <w:tcW w:type="dxa" w:w="789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46 872 000 ₽ − 37 550 398 ₽ = 9 321 602 ₽</w:t>
            </w:r>
          </w:p>
        </w:tc>
      </w:tr>
      <w:tr>
        <w:trPr>
          <w:cantSplit/>
        </w:trPr>
        <w:tc>
          <w:tcPr>
            <w:tcW w:type="dxa" w:w="174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Простая окупаемость</w:t>
            </w:r>
          </w:p>
        </w:tc>
        <w:tc>
          <w:tcPr>
            <w:tcW w:type="dxa" w:w="789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38 500 000 ₽ / 9 321 602 ₽ = 4,13 г. — средняя (3–5 лет)</w:t>
            </w:r>
          </w:p>
        </w:tc>
      </w:tr>
      <w:tr>
        <w:trPr>
          <w:cantSplit/>
        </w:trPr>
        <w:tc>
          <w:tcPr>
            <w:tcW w:type="dxa" w:w="174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ROI по ТЗ</w:t>
            </w:r>
          </w:p>
        </w:tc>
        <w:tc>
          <w:tcPr>
            <w:tcW w:type="dxa" w:w="789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47 350 511 ₽ / 38 500 000 ₽ × 100 % = 123 % (чистый ROI 23 %)</w:t>
            </w:r>
          </w:p>
        </w:tc>
      </w:tr>
      <w:tr>
        <w:trPr>
          <w:cantSplit/>
        </w:trPr>
        <w:tc>
          <w:tcPr>
            <w:tcW w:type="dxa" w:w="174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Замена АКБ, год 4</w:t>
            </w:r>
          </w:p>
        </w:tc>
        <w:tc>
          <w:tcPr>
            <w:tcW w:type="dxa" w:w="789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2 970 000 ₽</w:t>
            </w:r>
          </w:p>
        </w:tc>
      </w:tr>
      <w:tr>
        <w:trPr>
          <w:cantSplit/>
        </w:trPr>
        <w:tc>
          <w:tcPr>
            <w:tcW w:type="dxa" w:w="174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NPV за 5 лет</w:t>
            </w:r>
          </w:p>
        </w:tc>
        <w:tc>
          <w:tcPr>
            <w:tcW w:type="dxa" w:w="789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−38 500 000 ₽ + 10 064 102 ₽ / 1,12 + 10 064 102 ₽ / 1,12² + 10 064 102 ₽ / 1,12³ + 7 094 102 ₽ / 1,12⁴ + 10 064 102 ₽ / 1,12⁵ = −4 108 652 ₽</w:t>
            </w:r>
          </w:p>
        </w:tc>
      </w:tr>
      <w:tr>
        <w:trPr>
          <w:cantSplit/>
        </w:trPr>
        <w:tc>
          <w:tcPr>
            <w:tcW w:type="dxa" w:w="174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TCO за 5 лет</w:t>
            </w:r>
          </w:p>
        </w:tc>
        <w:tc>
          <w:tcPr>
            <w:tcW w:type="dxa" w:w="789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38 500 000 ₽ + Σ за 5 лет (OPEXₜ + докупкаₜ) = 225 509 489 ₽</w:t>
            </w:r>
          </w:p>
        </w:tc>
      </w:tr>
    </w:tbl>
    <w:p>
      <w:pPr>
        <w:spacing w:after="60"/>
      </w:pP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Поток года — эффект плюс средняя замена АКБ: 9 321 602 + 742 500 = 10 064 102 ₽; в год 4
вместо средней суммы вычитается фактическая замена 2 970 000 ₽.</w:t>
      </w:r>
    </w:p>
    <w:p>
      <w:pPr>
        <w:pStyle w:val="Heading3"/>
        <w:keepNext/>
        <w:outlineLvl w:val="2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6.4 Услуга (RaaS) — Ronavi H1500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54"/>
        <w:gridCol w:w="7584"/>
      </w:tblGrid>
      <w:tr>
        <w:trPr>
          <w:cantSplit/>
          <w:tblHeader/>
        </w:trPr>
        <w:tc>
          <w:tcPr>
            <w:tcW w:type="dxa" w:w="205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Показатель</w:t>
            </w:r>
          </w:p>
        </w:tc>
        <w:tc>
          <w:tcPr>
            <w:tcW w:type="dxa" w:w="758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Трассировка</w:t>
            </w:r>
          </w:p>
        </w:tc>
      </w:tr>
      <w:tr>
        <w:trPr>
          <w:cantSplit/>
        </w:trPr>
        <w:tc>
          <w:tcPr>
            <w:tcW w:type="dxa" w:w="205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CAPEX</w:t>
            </w:r>
          </w:p>
        </w:tc>
        <w:tc>
          <w:tcPr>
            <w:tcW w:type="dxa" w:w="758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интеграция 1 250 000 ₽ + обучение 150 000 ₽ + резерв 140 000 ₽ = 1 540 000 ₽</w:t>
            </w:r>
          </w:p>
        </w:tc>
      </w:tr>
      <w:tr>
        <w:trPr>
          <w:cantSplit/>
        </w:trPr>
        <w:tc>
          <w:tcPr>
            <w:tcW w:type="dxa" w:w="205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Подписка</w:t>
            </w:r>
          </w:p>
        </w:tc>
        <w:tc>
          <w:tcPr>
            <w:tcW w:type="dxa" w:w="758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11 × 12 × 100 000 ₽ = 13 200 000 ₽/год (ставка «от» — нижняя граница)</w:t>
            </w:r>
          </w:p>
        </w:tc>
      </w:tr>
      <w:tr>
        <w:trPr>
          <w:cantSplit/>
        </w:trPr>
        <w:tc>
          <w:tcPr>
            <w:tcW w:type="dxa" w:w="205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OPEX за год</w:t>
            </w:r>
          </w:p>
        </w:tc>
        <w:tc>
          <w:tcPr>
            <w:tcW w:type="dxa" w:w="758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13 200 000 ₽ + 246 441 ₽ + 132 000 ₽ + 7 630 657 ₽ + 24 607 800 ₽ = 45 816 898 ₽</w:t>
            </w:r>
          </w:p>
        </w:tc>
      </w:tr>
      <w:tr>
        <w:trPr>
          <w:cantSplit/>
        </w:trPr>
        <w:tc>
          <w:tcPr>
            <w:tcW w:type="dxa" w:w="205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Годовой эффект</w:t>
            </w:r>
          </w:p>
        </w:tc>
        <w:tc>
          <w:tcPr>
            <w:tcW w:type="dxa" w:w="758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46 872 000 ₽ − 45 816 898 ₽ = 1 055 102 ₽</w:t>
            </w:r>
          </w:p>
        </w:tc>
      </w:tr>
      <w:tr>
        <w:trPr>
          <w:cantSplit/>
        </w:trPr>
        <w:tc>
          <w:tcPr>
            <w:tcW w:type="dxa" w:w="205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Простая окупаемость</w:t>
            </w:r>
          </w:p>
        </w:tc>
        <w:tc>
          <w:tcPr>
            <w:tcW w:type="dxa" w:w="758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1 540 000 ₽ / 1 055 102 ₽ = 1,46 г. — быстрая</w:t>
            </w:r>
          </w:p>
        </w:tc>
      </w:tr>
      <w:tr>
        <w:trPr>
          <w:cantSplit/>
        </w:trPr>
        <w:tc>
          <w:tcPr>
            <w:tcW w:type="dxa" w:w="205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ROI по ТЗ</w:t>
            </w:r>
          </w:p>
        </w:tc>
        <w:tc>
          <w:tcPr>
            <w:tcW w:type="dxa" w:w="758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5 275 511 ₽ / 1 540 000 ₽ × 100 % = 342,6 % — неинформативен при малом CAPEX</w:t>
            </w:r>
          </w:p>
        </w:tc>
      </w:tr>
      <w:tr>
        <w:trPr>
          <w:cantSplit/>
        </w:trPr>
        <w:tc>
          <w:tcPr>
            <w:tcW w:type="dxa" w:w="205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NPV за 5 лет</w:t>
            </w:r>
          </w:p>
        </w:tc>
        <w:tc>
          <w:tcPr>
            <w:tcW w:type="dxa" w:w="758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2 263 407 ₽; дисконтированная окупаемость 1,71 г.</w:t>
            </w:r>
          </w:p>
        </w:tc>
      </w:tr>
      <w:tr>
        <w:trPr>
          <w:cantSplit/>
        </w:trPr>
        <w:tc>
          <w:tcPr>
            <w:tcW w:type="dxa" w:w="205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TCO за 5 лет</w:t>
            </w:r>
          </w:p>
        </w:tc>
        <w:tc>
          <w:tcPr>
            <w:tcW w:type="dxa" w:w="758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230 624 489 ₽</w:t>
            </w:r>
          </w:p>
        </w:tc>
      </w:tr>
    </w:tbl>
    <w:p>
      <w:pPr>
        <w:spacing w:after="60"/>
      </w:pPr>
    </w:p>
    <w:p>
      <w:pPr>
        <w:pStyle w:val="Heading3"/>
        <w:keepNext/>
        <w:outlineLvl w:val="2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6.5 Что видит жюри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Проект, созданный кнопкой «Новый проект» на демо-данных, и засеянный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demo-warehouse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
сравнивают четыре сценария: «Как есть», «Покупка — Ronavi H1500», «Услуга (RaaS) — Ronavi
H1500» и «Покупка — AMR 1500» — вторую покупку выбирает подбор. Рекомендуется «Покупка — AMR
1500» (NPV 3 983 162 ₽ за 5 лет, окупаемость 3,3 года) с рисками «цена не подтверждена
производителем» и «пилотная эксплуатация». Таблица сценариев, рычаги чувствительности и
пункты вывода обоих наборов — в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submission/demo-numbers.md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(</w:t>
      </w:r>
      <w:hyperlink w:history="1" w:anchor="appA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1A42A8"/>
            <w:u w:val="single"/>
          </w:rPr>
          <w:t xml:space="preserve">прил. А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.</w:t>
      </w:r>
    </w:p>
    <w:p>
      <w:pPr>
        <w:pStyle w:val="Heading2"/>
        <w:keepNext/>
        <w:outlineLvl w:val="1"/>
      </w:pPr>
      <w:bookmarkStart w:name="toc27" w:id="1"/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7. Проверка: подтверждает ли имитация расчёт</w:t>
      </w:r>
      <w:bookmarkEnd w:id="1"/>
    </w:p>
    <w:p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Демо-склад и H1500.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Имитация пикового окна на базовом складе (зерно 1):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62"/>
        <w:gridCol w:w="1291"/>
        <w:gridCol w:w="1160"/>
        <w:gridCol w:w="902"/>
        <w:gridCol w:w="1094"/>
        <w:gridCol w:w="1003"/>
        <w:gridCol w:w="968"/>
        <w:gridCol w:w="968"/>
        <w:gridCol w:w="1390"/>
      </w:tblGrid>
      <w:tr>
        <w:trPr>
          <w:cantSplit/>
          <w:tblHeader/>
        </w:trPr>
        <w:tc>
          <w:tcPr>
            <w:tcW w:type="dxa" w:w="86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5"/>
                <w:szCs w:val="15"/>
              </w:rPr>
              <w:t xml:space="preserve">Роботов</w:t>
            </w:r>
          </w:p>
        </w:tc>
        <w:tc>
          <w:tcPr>
            <w:tcW w:type="dxa" w:w="129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5"/>
                <w:szCs w:val="15"/>
              </w:rPr>
              <w:t xml:space="preserve">Достигнуто, паллет/ч</w:t>
            </w:r>
          </w:p>
        </w:tc>
        <w:tc>
          <w:tcPr>
            <w:tcW w:type="dxa" w:w="116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5"/>
                <w:szCs w:val="15"/>
              </w:rPr>
              <w:t xml:space="preserve">Обслужено, %</w:t>
            </w:r>
          </w:p>
        </w:tc>
        <w:tc>
          <w:tcPr>
            <w:tcW w:type="dxa" w:w="90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5"/>
                <w:szCs w:val="15"/>
              </w:rPr>
              <w:t xml:space="preserve">Очередь в конце</w:t>
            </w:r>
          </w:p>
        </w:tc>
        <w:tc>
          <w:tcPr>
            <w:tcW w:type="dxa" w:w="109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5"/>
                <w:szCs w:val="15"/>
              </w:rPr>
              <w:t xml:space="preserve">p95 ожидания, мин</w:t>
            </w:r>
          </w:p>
        </w:tc>
        <w:tc>
          <w:tcPr>
            <w:tcW w:type="dxa" w:w="100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5"/>
                <w:szCs w:val="15"/>
              </w:rPr>
              <w:t xml:space="preserve">Загрузка парка, %</w:t>
            </w:r>
          </w:p>
        </w:tc>
        <w:tc>
          <w:tcPr>
            <w:tcW w:type="dxa" w:w="96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5"/>
                <w:szCs w:val="15"/>
              </w:rPr>
              <w:t xml:space="preserve">Простой, %</w:t>
            </w:r>
          </w:p>
        </w:tc>
        <w:tc>
          <w:tcPr>
            <w:tcW w:type="dxa" w:w="96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5"/>
                <w:szCs w:val="15"/>
              </w:rPr>
              <w:t xml:space="preserve">Зарядка, %</w:t>
            </w:r>
          </w:p>
        </w:tc>
        <w:tc>
          <w:tcPr>
            <w:tcW w:type="dxa" w:w="139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5"/>
                <w:szCs w:val="15"/>
              </w:rPr>
              <w:t xml:space="preserve">Вердикт · узкое место</w:t>
            </w:r>
          </w:p>
        </w:tc>
      </w:tr>
      <w:tr>
        <w:trPr>
          <w:cantSplit/>
        </w:trPr>
        <w:tc>
          <w:tcPr>
            <w:tcW w:type="dxa" w:w="86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</w:rPr>
              <w:t xml:space="preserve">3</w:t>
            </w:r>
          </w:p>
        </w:tc>
        <w:tc>
          <w:tcPr>
            <w:tcW w:type="dxa" w:w="129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</w:rPr>
              <w:t xml:space="preserve">53,5</w:t>
            </w:r>
          </w:p>
        </w:tc>
        <w:tc>
          <w:tcPr>
            <w:tcW w:type="dxa" w:w="116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</w:rPr>
              <w:t xml:space="preserve">36,1</w:t>
            </w:r>
          </w:p>
        </w:tc>
        <w:tc>
          <w:tcPr>
            <w:tcW w:type="dxa" w:w="90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</w:rPr>
              <w:t xml:space="preserve">168</w:t>
            </w:r>
          </w:p>
        </w:tc>
        <w:tc>
          <w:tcPr>
            <w:tcW w:type="dxa" w:w="109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</w:rPr>
              <w:t xml:space="preserve">70,5</w:t>
            </w:r>
          </w:p>
        </w:tc>
        <w:tc>
          <w:tcPr>
            <w:tcW w:type="dxa" w:w="100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</w:rPr>
              <w:t xml:space="preserve">92,0</w:t>
            </w:r>
          </w:p>
        </w:tc>
        <w:tc>
          <w:tcPr>
            <w:tcW w:type="dxa" w:w="96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</w:rPr>
              <w:t xml:space="preserve">0,0</w:t>
            </w:r>
          </w:p>
        </w:tc>
        <w:tc>
          <w:tcPr>
            <w:tcW w:type="dxa" w:w="96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</w:rPr>
              <w:t xml:space="preserve">7,9</w:t>
            </w:r>
          </w:p>
        </w:tc>
        <w:tc>
          <w:tcPr>
            <w:tcW w:type="dxa" w:w="139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</w:rPr>
              <w:t xml:space="preserve">NOT_CONFIRMED · fleet</w:t>
            </w:r>
          </w:p>
        </w:tc>
      </w:tr>
      <w:tr>
        <w:trPr>
          <w:cantSplit/>
        </w:trPr>
        <w:tc>
          <w:tcPr>
            <w:tcW w:type="dxa" w:w="86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</w:rPr>
              <w:t xml:space="preserve">7</w:t>
            </w:r>
          </w:p>
        </w:tc>
        <w:tc>
          <w:tcPr>
            <w:tcW w:type="dxa" w:w="129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</w:rPr>
              <w:t xml:space="preserve">121,0</w:t>
            </w:r>
          </w:p>
        </w:tc>
        <w:tc>
          <w:tcPr>
            <w:tcW w:type="dxa" w:w="116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</w:rPr>
              <w:t xml:space="preserve">92,0</w:t>
            </w:r>
          </w:p>
        </w:tc>
        <w:tc>
          <w:tcPr>
            <w:tcW w:type="dxa" w:w="90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</w:rPr>
              <w:t xml:space="preserve">21</w:t>
            </w:r>
          </w:p>
        </w:tc>
        <w:tc>
          <w:tcPr>
            <w:tcW w:type="dxa" w:w="109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</w:rPr>
              <w:t xml:space="preserve">8,9</w:t>
            </w:r>
          </w:p>
        </w:tc>
        <w:tc>
          <w:tcPr>
            <w:tcW w:type="dxa" w:w="100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</w:rPr>
              <w:t xml:space="preserve">93,3</w:t>
            </w:r>
          </w:p>
        </w:tc>
        <w:tc>
          <w:tcPr>
            <w:tcW w:type="dxa" w:w="96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</w:rPr>
              <w:t xml:space="preserve">1,2</w:t>
            </w:r>
          </w:p>
        </w:tc>
        <w:tc>
          <w:tcPr>
            <w:tcW w:type="dxa" w:w="96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</w:rPr>
              <w:t xml:space="preserve">5,1</w:t>
            </w:r>
          </w:p>
        </w:tc>
        <w:tc>
          <w:tcPr>
            <w:tcW w:type="dxa" w:w="139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</w:rPr>
              <w:t xml:space="preserve">NOT_CONFIRMED · fleet</w:t>
            </w:r>
          </w:p>
        </w:tc>
      </w:tr>
      <w:tr>
        <w:trPr>
          <w:cantSplit/>
        </w:trPr>
        <w:tc>
          <w:tcPr>
            <w:tcW w:type="dxa" w:w="86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</w:rPr>
              <w:t xml:space="preserve">8</w:t>
            </w:r>
          </w:p>
        </w:tc>
        <w:tc>
          <w:tcPr>
            <w:tcW w:type="dxa" w:w="129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</w:rPr>
              <w:t xml:space="preserve">125,0</w:t>
            </w:r>
          </w:p>
        </w:tc>
        <w:tc>
          <w:tcPr>
            <w:tcW w:type="dxa" w:w="116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</w:rPr>
              <w:t xml:space="preserve">95,4</w:t>
            </w:r>
          </w:p>
        </w:tc>
        <w:tc>
          <w:tcPr>
            <w:tcW w:type="dxa" w:w="90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</w:rPr>
              <w:t xml:space="preserve">12</w:t>
            </w:r>
          </w:p>
        </w:tc>
        <w:tc>
          <w:tcPr>
            <w:tcW w:type="dxa" w:w="109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</w:rPr>
              <w:t xml:space="preserve">5,0</w:t>
            </w:r>
          </w:p>
        </w:tc>
        <w:tc>
          <w:tcPr>
            <w:tcW w:type="dxa" w:w="100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</w:rPr>
              <w:t xml:space="preserve">84,0</w:t>
            </w:r>
          </w:p>
        </w:tc>
        <w:tc>
          <w:tcPr>
            <w:tcW w:type="dxa" w:w="96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</w:rPr>
              <w:t xml:space="preserve">9,7</w:t>
            </w:r>
          </w:p>
        </w:tc>
        <w:tc>
          <w:tcPr>
            <w:tcW w:type="dxa" w:w="96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</w:rPr>
              <w:t xml:space="preserve">6,1</w:t>
            </w:r>
          </w:p>
        </w:tc>
        <w:tc>
          <w:tcPr>
            <w:tcW w:type="dxa" w:w="139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</w:rPr>
              <w:t xml:space="preserve">NOT_CONFIRMED · fleet</w:t>
            </w:r>
          </w:p>
        </w:tc>
      </w:tr>
      <w:tr>
        <w:trPr>
          <w:cantSplit/>
        </w:trPr>
        <w:tc>
          <w:tcPr>
            <w:tcW w:type="dxa" w:w="86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</w:rPr>
              <w:t xml:space="preserve">9</w:t>
            </w:r>
          </w:p>
        </w:tc>
        <w:tc>
          <w:tcPr>
            <w:tcW w:type="dxa" w:w="129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</w:rPr>
              <w:t xml:space="preserve">132,0</w:t>
            </w:r>
          </w:p>
        </w:tc>
        <w:tc>
          <w:tcPr>
            <w:tcW w:type="dxa" w:w="116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</w:rPr>
              <w:t xml:space="preserve">100,0</w:t>
            </w:r>
          </w:p>
        </w:tc>
        <w:tc>
          <w:tcPr>
            <w:tcW w:type="dxa" w:w="90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</w:rPr>
              <w:t xml:space="preserve">0</w:t>
            </w:r>
          </w:p>
        </w:tc>
        <w:tc>
          <w:tcPr>
            <w:tcW w:type="dxa" w:w="109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</w:rPr>
              <w:t xml:space="preserve">2,0</w:t>
            </w:r>
          </w:p>
        </w:tc>
        <w:tc>
          <w:tcPr>
            <w:tcW w:type="dxa" w:w="100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</w:rPr>
              <w:t xml:space="preserve">77,4</w:t>
            </w:r>
          </w:p>
        </w:tc>
        <w:tc>
          <w:tcPr>
            <w:tcW w:type="dxa" w:w="96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</w:rPr>
              <w:t xml:space="preserve">16,8</w:t>
            </w:r>
          </w:p>
        </w:tc>
        <w:tc>
          <w:tcPr>
            <w:tcW w:type="dxa" w:w="96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</w:rPr>
              <w:t xml:space="preserve">5,2</w:t>
            </w:r>
          </w:p>
        </w:tc>
        <w:tc>
          <w:tcPr>
            <w:tcW w:type="dxa" w:w="139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</w:rPr>
              <w:t xml:space="preserve">CONFIRMED · none</w:t>
            </w:r>
          </w:p>
        </w:tc>
      </w:tr>
      <w:tr>
        <w:trPr>
          <w:cantSplit/>
        </w:trPr>
        <w:tc>
          <w:tcPr>
            <w:tcW w:type="dxa" w:w="86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</w:rPr>
              <w:t xml:space="preserve">11</w:t>
            </w:r>
          </w:p>
        </w:tc>
        <w:tc>
          <w:tcPr>
            <w:tcW w:type="dxa" w:w="129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</w:rPr>
              <w:t xml:space="preserve">132,5</w:t>
            </w:r>
          </w:p>
        </w:tc>
        <w:tc>
          <w:tcPr>
            <w:tcW w:type="dxa" w:w="116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</w:rPr>
              <w:t xml:space="preserve">100,0</w:t>
            </w:r>
          </w:p>
        </w:tc>
        <w:tc>
          <w:tcPr>
            <w:tcW w:type="dxa" w:w="90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</w:rPr>
              <w:t xml:space="preserve">0</w:t>
            </w:r>
          </w:p>
        </w:tc>
        <w:tc>
          <w:tcPr>
            <w:tcW w:type="dxa" w:w="109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</w:rPr>
              <w:t xml:space="preserve">0,8</w:t>
            </w:r>
          </w:p>
        </w:tc>
        <w:tc>
          <w:tcPr>
            <w:tcW w:type="dxa" w:w="100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</w:rPr>
              <w:t xml:space="preserve">62,8</w:t>
            </w:r>
          </w:p>
        </w:tc>
        <w:tc>
          <w:tcPr>
            <w:tcW w:type="dxa" w:w="96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</w:rPr>
              <w:t xml:space="preserve">31,3</w:t>
            </w:r>
          </w:p>
        </w:tc>
        <w:tc>
          <w:tcPr>
            <w:tcW w:type="dxa" w:w="96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</w:rPr>
              <w:t xml:space="preserve">5,5</w:t>
            </w:r>
          </w:p>
        </w:tc>
        <w:tc>
          <w:tcPr>
            <w:tcW w:type="dxa" w:w="139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</w:rPr>
              <w:t xml:space="preserve">CONFIRMED · none</w:t>
            </w:r>
          </w:p>
        </w:tc>
      </w:tr>
      <w:tr>
        <w:trPr>
          <w:cantSplit/>
        </w:trPr>
        <w:tc>
          <w:tcPr>
            <w:tcW w:type="dxa" w:w="86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</w:rPr>
              <w:t xml:space="preserve">14</w:t>
            </w:r>
          </w:p>
        </w:tc>
        <w:tc>
          <w:tcPr>
            <w:tcW w:type="dxa" w:w="129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</w:rPr>
              <w:t xml:space="preserve">132,0</w:t>
            </w:r>
          </w:p>
        </w:tc>
        <w:tc>
          <w:tcPr>
            <w:tcW w:type="dxa" w:w="116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</w:rPr>
              <w:t xml:space="preserve">100,0</w:t>
            </w:r>
          </w:p>
        </w:tc>
        <w:tc>
          <w:tcPr>
            <w:tcW w:type="dxa" w:w="90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</w:rPr>
              <w:t xml:space="preserve">0</w:t>
            </w:r>
          </w:p>
        </w:tc>
        <w:tc>
          <w:tcPr>
            <w:tcW w:type="dxa" w:w="109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</w:rPr>
              <w:t xml:space="preserve">0,0</w:t>
            </w:r>
          </w:p>
        </w:tc>
        <w:tc>
          <w:tcPr>
            <w:tcW w:type="dxa" w:w="100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</w:rPr>
              <w:t xml:space="preserve">48,8</w:t>
            </w:r>
          </w:p>
        </w:tc>
        <w:tc>
          <w:tcPr>
            <w:tcW w:type="dxa" w:w="96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</w:rPr>
              <w:t xml:space="preserve">45,3</w:t>
            </w:r>
          </w:p>
        </w:tc>
        <w:tc>
          <w:tcPr>
            <w:tcW w:type="dxa" w:w="96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</w:rPr>
              <w:t xml:space="preserve">5,6</w:t>
            </w:r>
          </w:p>
        </w:tc>
        <w:tc>
          <w:tcPr>
            <w:tcW w:type="dxa" w:w="139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</w:rPr>
              <w:t xml:space="preserve">CONFIRMED (избыточен) · none</w:t>
            </w:r>
          </w:p>
        </w:tc>
      </w:tr>
    </w:tbl>
    <w:p>
      <w:pPr>
        <w:spacing w:after="60"/>
      </w:pP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Как воспроизвести (из корня репозитория, без базы):</w:t>
      </w:r>
    </w:p>
    <w:p>
      <w:pPr>
        <w:keepLines/>
        <w:shd w:fill="F2F4F7" w:color="auto" w:val="clear"/>
        <w:spacing w:after="140" w:before="60" w:line="250"/>
        <w:ind w:left="60" w:right="60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npx tsx --eval 'import { runSimSync } from "./lib/sim/runner"; import { warehouseBaseInput } from "./lib/sim/fixtures"; const f = (x: number) =&gt; x.toFixed(1).replace(".", ","); for (const n of [3, 7, 8, 9, 11, 14]) { const s = runSimSync(warehouseBaseInput(n)); console.log(`| ${n} | ${f(s.achievedPerH)} | ${f(s.servedShare * 100)} | ${s.queueEnd} | ${f(s.waitP95Min)} | ${f(s.fleetUtilPct)} | ${f(s.idlePct)} | ${f(s.chargingPct)} | ${s.verdict}${s.oversized ? " (избыточен)" : ""} · ${s.bottleneck} |`); }'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Что это показывает: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Расчётный парк 11 подтверждён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: 132,5 паллет/ч при требуемых 129,5, очереди нет.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Парк по паспортной норме (3 робота) опровергнут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: 53,5 из 129,5 паллет/ч, очередь растёт
до 168 заданий, узкое место — парк. Паспортная норма 90 паллет/ч, скорее всего, относится к
короткому плечу; на этом складе среднее плечо около 94 м с грузом и около 104 м порожнем.
Это находка демонстрации, а не ошибка: расчёт берёт меньшее из нормы и цикла, имитация
выступает арбитром, а вывод получает риск NORM_VS_CYCLE.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Минимальный устойчивый парк — 9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при зерне 1. Разница между 11 и 9 — резерв парка
17,5 % из легенды организатора: без него формула дала бы Nточн = 10,22 / 1,175 ≈ 8,69, то есть
9 роботов — ровно минимальный устойчивый парк имитации. Расчёт закладывает запас на пик,
имитация показывает, где он кончается. Загрузка парка при 11 роботах — 62,8 % против
заложенных 77,5 %.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При 14 роботах простой 45,3 % — вердикт «парк избыточен».</w:t>
      </w:r>
    </w:p>
    <w:p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Тесты, которые держат модель: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42"/>
        <w:gridCol w:w="6896"/>
      </w:tblGrid>
      <w:tr>
        <w:trPr>
          <w:cantSplit/>
          <w:tblHeader/>
        </w:trPr>
        <w:tc>
          <w:tcPr>
            <w:tcW w:type="dxa" w:w="27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Тест</w:t>
            </w:r>
          </w:p>
        </w:tc>
        <w:tc>
          <w:tcPr>
            <w:tcW w:type="dxa" w:w="689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Что проверяет</w:t>
            </w:r>
          </w:p>
        </w:tc>
      </w:tr>
      <w:tr>
        <w:trPr>
          <w:cantSplit/>
        </w:trPr>
        <w:tc>
          <w:tcPr>
            <w:tcW w:type="dxa" w:w="27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lib/tz/golden.test.ts</w:t>
            </w:r>
          </w:p>
        </w:tc>
        <w:tc>
          <w:tcPr>
            <w:tcW w:type="dxa" w:w="689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эталон сборки модели на настоящей планировке: N, Nточн, цикл, CAPEX, OPEX, эффект, окупаемость, ROI, NPV, TCO для четырёх сценариев, парк по норме, рекомендуемый сценарий</w:t>
            </w:r>
          </w:p>
        </w:tc>
      </w:tr>
      <w:tr>
        <w:trPr>
          <w:cantSplit/>
        </w:trPr>
        <w:tc>
          <w:tcPr>
            <w:tcW w:type="dxa" w:w="27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lib/tz/econ/golden-fixture.test.ts</w:t>
            </w:r>
          </w:p>
        </w:tc>
        <w:tc>
          <w:tcPr>
            <w:tcW w:type="dxa" w:w="689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эталон формул при цикле 20,0 паллет/ч (контрольный пример плана)</w:t>
            </w:r>
          </w:p>
        </w:tc>
      </w:tr>
      <w:tr>
        <w:trPr>
          <w:cantSplit/>
        </w:trPr>
        <w:tc>
          <w:tcPr>
            <w:tcW w:type="dxa" w:w="27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lib/tz/econ/identities.test.ts</w:t>
            </w:r>
          </w:p>
        </w:tc>
        <w:tc>
          <w:tcPr>
            <w:tcW w:type="dxa" w:w="689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тождества: ROI = H / PB × 100 % без АКБ и докупки, TCO = CAPEX + потоки, половина парка снижает долю спроса и эффект</w:t>
            </w:r>
          </w:p>
        </w:tc>
      </w:tr>
      <w:tr>
        <w:trPr>
          <w:cantSplit/>
        </w:trPr>
        <w:tc>
          <w:tcPr>
            <w:tcW w:type="dxa" w:w="27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lib/tz/econ/fuzz.test.ts</w:t>
            </w:r>
          </w:p>
        </w:tc>
        <w:tc>
          <w:tcPr>
            <w:tcW w:type="dxa" w:w="689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500 случайных контекстов: ни NaN, ни ±∞, отказ вместо нечислового результата</w:t>
            </w:r>
          </w:p>
        </w:tc>
      </w:tr>
      <w:tr>
        <w:trPr>
          <w:cantSplit/>
        </w:trPr>
        <w:tc>
          <w:tcPr>
            <w:tcW w:type="dxa" w:w="27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lib/sim/demo.test.ts</w:t>
            </w:r>
          </w:p>
        </w:tc>
        <w:tc>
          <w:tcPr>
            <w:tcW w:type="dxa" w:w="689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пик 129,55, цикл 19,2257, парк 11 подтверждён, парк 3 опровергнут с узким местом «парк»</w:t>
            </w:r>
          </w:p>
        </w:tc>
      </w:tr>
      <w:tr>
        <w:trPr>
          <w:cantSplit/>
        </w:trPr>
        <w:tc>
          <w:tcPr>
            <w:tcW w:type="dxa" w:w="27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lib/sim/*.test.ts</w:t>
            </w:r>
          </w:p>
        </w:tc>
        <w:tc>
          <w:tcPr>
            <w:tcW w:type="dxa" w:w="689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детерминизм, сохранение заданий, сумма долей 100 %, согласие одного робота с аналитикой, совпадение двоичного поиска с линейным, бюджет и отмена</w:t>
            </w:r>
          </w:p>
        </w:tc>
      </w:tr>
      <w:tr>
        <w:trPr>
          <w:cantSplit/>
        </w:trPr>
        <w:tc>
          <w:tcPr>
            <w:tcW w:type="dxa" w:w="27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lib/projects/actions.test.ts</w:t>
            </w:r>
          </w:p>
        </w:tc>
        <w:tc>
          <w:tcPr>
            <w:tcW w:type="dxa" w:w="689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пересчёт сохранённого проекта из снимка совпадает бит-в-бит</w:t>
            </w:r>
          </w:p>
        </w:tc>
      </w:tr>
    </w:tbl>
    <w:p>
      <w:pPr>
        <w:spacing w:after="60"/>
      </w:pPr>
    </w:p>
    <w:p>
      <w:pPr>
        <w:pStyle w:val="Heading2"/>
        <w:keepNext/>
        <w:outlineLvl w:val="1"/>
      </w:pPr>
      <w:bookmarkStart w:name="toc28" w:id="1"/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8. Как воспроизвести демонстрационный расчёт</w:t>
      </w:r>
      <w:bookmarkEnd w:id="1"/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Поднять приложение (README, запуск A или B). Сев создаёт демо-проект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demo-warehouse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npx tsx scripts/print-demo-numbers.ts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— таблицы сценариев, парка, рычагов и вывод на
данных БД. С ключом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--markdown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вывод совпадает с
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submission/demo-numbers.md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(</w:t>
      </w:r>
      <w:hyperlink w:history="1" w:anchor="appA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1A42A8"/>
            <w:u w:val="single"/>
          </w:rPr>
          <w:t xml:space="preserve">прил. А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; с ключом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--offline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расчёт
идёт по данным из кода, без базы.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/demo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без входа или «Проекты» → «Новый проект» → «Склад» → «Демо-данные организатора» —
те же числа в интерфейсе.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npx vitest run lib/tz lib/sim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— эталоны и тесты модели.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Статьи и трассировка контрольного примера — команда из §6; таблица прогонов имитации —
команда из §7.</w:t>
      </w:r>
    </w:p>
    <w:p>
      <w:pPr>
        <w:pStyle w:val="Heading1"/>
        <w:pageBreakBefore/>
        <w:outlineLvl w:val="0"/>
      </w:pPr>
      <w:bookmarkStart w:name="ch4" w:id="1"/>
      <w:r>
        <w:t xml:space="preserve">4. Данные организатора, исследование открытых источников и нормативы</w:t>
      </w:r>
      <w:bookmarkEnd w:id="1"/>
    </w:p>
    <w:p>
      <w:pPr>
        <w:pBdr>
          <w:bottom w:val="single" w:color="C8CFDB" w:sz="4" w:space="6"/>
        </w:pBdr>
        <w:spacing w:after="200"/>
      </w:pPr>
      <w:r>
        <w:rPr>
          <w:i/>
          <w:iCs/>
          <w:color w:val="6B7280"/>
          <w:sz w:val="17"/>
          <w:szCs w:val="17"/>
        </w:rPr>
        <w:t xml:space="preserve">Источник: docs/data-provenance.md, часть 1 «Модель по методике ТЗ (tz-1.0.0)». Часть 2 файла относится к прежней модели v1 и в документ не входит. Требования: ТЗ §6.6, §6.8.</w:t>
      </w:r>
    </w:p>
    <w:p>
      <w:pPr>
        <w:pBdr>
          <w:left w:val="single" w:color="9DB0E0" w:sz="18" w:space="10"/>
        </w:pBdr>
        <w:ind w:left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374151"/>
        </w:rPr>
        <w:t xml:space="preserve">Происхождение каждой характеристики продукта видно в интерфейсе: бейдж источника в карточке
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374151"/>
          <w:sz w:val="18"/>
          <w:szCs w:val="18"/>
          <w:shd w:fill="EEF1F6" w:color="auto" w:val="clear"/>
        </w:rPr>
        <w:t xml:space="preserve">/catalog/[slug]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374151"/>
        </w:rPr>
        <w:t xml:space="preserve">, в отчёте проекта (раздел «Источники данных») и на листе «Источники»
выгрузки XLSX. Нормативы с обоснованиями показывает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374151"/>
          <w:sz w:val="18"/>
          <w:szCs w:val="18"/>
          <w:shd w:fill="EEF1F6" w:color="auto" w:val="clear"/>
        </w:rPr>
        <w:t xml:space="preserve">/methodology/tz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374151"/>
        </w:rP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24575" cy="3448050"/>
            <wp:effectExtent t="0" r="0" b="0" l="0"/>
            <wp:docPr id="1" name="d-card2.png" descr="Карточка продукта в каталоге (/catalog/ronavi-h1500): значение, цитата «как в источнике», бейдж происхождения, дата проверки и отметка подтверждения" title="Карточка продукта в каталоге (/catalog/ronavi-h1500): значение, цитата «как в источнике», бейдж происхождения, дата проверки и отметка подтвержд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Рисунок 4 — Карточка продукта в каталоге (/catalog/ronavi-h1500): значение, цитата «как в источнике», бейдж происхождения, дата проверки и отметка подтверждения</w:t>
      </w:r>
    </w:p>
    <w:p>
      <w:pPr>
        <w:pStyle w:val="Heading2"/>
        <w:keepNext/>
        <w:outlineLvl w:val="1"/>
      </w:pPr>
      <w:bookmarkStart w:name="toc30" w:id="1"/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Входные файлы генератора</w:t>
      </w:r>
      <w:bookmarkEnd w:id="1"/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Генератор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scripts/gen-organizer-seed.ts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npm run gen:organizer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 читает JSON-выгрузки из
папки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ORGANIZER_DATA_DIR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вне репозитория и пишет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lib/data/organizer/params.generated.ts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
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catalog.generated.json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и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version.generated.ts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. Нужны файлы: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36"/>
        <w:gridCol w:w="6802"/>
      </w:tblGrid>
      <w:tr>
        <w:trPr>
          <w:cantSplit/>
          <w:tblHeader/>
        </w:trPr>
        <w:tc>
          <w:tcPr>
            <w:tcW w:type="dxa" w:w="283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Файл</w:t>
            </w:r>
          </w:p>
        </w:tc>
        <w:tc>
          <w:tcPr>
            <w:tcW w:type="dxa" w:w="680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Что в нём</w:t>
            </w:r>
          </w:p>
        </w:tc>
      </w:tr>
      <w:tr>
        <w:trPr>
          <w:cantSplit/>
        </w:trPr>
        <w:tc>
          <w:tcPr>
            <w:tcW w:type="dxa" w:w="283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organizer_datasets.json</w:t>
            </w:r>
          </w:p>
        </w:tc>
        <w:tc>
          <w:tcPr>
            <w:tcW w:type="dxa" w:w="680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листы «Склад», «Аэропорт», «Медучреждение» датасета организатора: раздел, параметр, единица, базовое значение, минимум, максимум, примечание; легенда</w:t>
            </w:r>
          </w:p>
        </w:tc>
      </w:tr>
      <w:tr>
        <w:trPr>
          <w:cantSplit/>
        </w:trPr>
        <w:tc>
          <w:tcPr>
            <w:tcW w:type="dxa" w:w="283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organizer_catalog.json</w:t>
            </w:r>
          </w:p>
        </w:tc>
        <w:tc>
          <w:tcPr>
            <w:tcW w:type="dxa" w:w="680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выгрузка каталога организатора (223 записи)</w:t>
            </w:r>
          </w:p>
        </w:tc>
      </w:tr>
      <w:tr>
        <w:trPr>
          <w:cantSplit/>
        </w:trPr>
        <w:tc>
          <w:tcPr>
            <w:tcW w:type="dxa" w:w="283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rows.json</w:t>
            </w:r>
          </w:p>
        </w:tc>
        <w:tc>
          <w:tcPr>
            <w:tcW w:type="dxa" w:w="680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61 строка кураторского свода по наземным роботам (разделы A/A2)</w:t>
            </w:r>
          </w:p>
        </w:tc>
      </w:tr>
      <w:tr>
        <w:trPr>
          <w:cantSplit/>
        </w:trPr>
        <w:tc>
          <w:tcPr>
            <w:tcW w:type="dxa" w:w="283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svod.json</w:t>
            </w:r>
          </w:p>
        </w:tc>
        <w:tc>
          <w:tcPr>
            <w:tcW w:type="dxa" w:w="680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полный дамп свода со ссылками и отметками подтверждения</w:t>
            </w:r>
          </w:p>
        </w:tc>
      </w:tr>
      <w:tr>
        <w:trPr>
          <w:cantSplit/>
        </w:trPr>
        <w:tc>
          <w:tcPr>
            <w:tcW w:type="dxa" w:w="283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found_batch1.json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 …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found_batch6.json</w:t>
            </w:r>
          </w:p>
        </w:tc>
        <w:tc>
          <w:tcPr>
            <w:tcW w:type="dxa" w:w="680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второй проход исследования: находки по пустым ячейкам с ссылкой, цитатой и уверенностью</w:t>
            </w:r>
          </w:p>
        </w:tc>
      </w:tr>
      <w:tr>
        <w:trPr>
          <w:cantSplit/>
        </w:trPr>
        <w:tc>
          <w:tcPr>
            <w:tcW w:type="dxa" w:w="283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verify_result.json</w:t>
            </w:r>
          </w:p>
        </w:tc>
        <w:tc>
          <w:tcPr>
            <w:tcW w:type="dxa" w:w="680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вердикт проверки каждой находки по странице источника</w:t>
            </w:r>
          </w:p>
        </w:tc>
      </w:tr>
    </w:tbl>
    <w:p>
      <w:pPr>
        <w:spacing w:after="60"/>
      </w:pP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Повторный запуск на тех же файлах даёт побайтно тот же результат. Версии исходных данных
записаны в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ORGANIZER_DATA_VERSION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lib/data/organizer/version.generated.ts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):
датасеты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2026-09-22#4be0fac8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каталог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2026-09-22#da43c64c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примеры решений
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2026-09-22#6e738822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исследование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svod 2026-09-23 + found_batch1-6@2026-09-23T21:13:10Z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.
Они входят в версию данных каждого расчёта.</w:t>
      </w:r>
    </w:p>
    <w:p>
      <w:pPr>
        <w:pStyle w:val="Heading2"/>
        <w:keepNext/>
        <w:outlineLvl w:val="1"/>
      </w:pPr>
      <w:bookmarkStart w:name="toc31" w:id="1"/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Организатор: датасеты, каталог, примеры; исследование svod + found_batch</w:t>
      </w:r>
      <w:bookmarkEnd w:id="1"/>
    </w:p>
    <w:p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Что взято у организатора.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Файлы организатора от 2026-09-22 в репозиторий не входят, из
них перенесены только нужные поля со ссылкой на место: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датасеты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Датасеты_хакатон.xlsx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(листы «Склад», «Аэропорт», «Медучреждение», md5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4be0fac8…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):
базовые значения, диапазоны и примечания, ссылка «лист › стр. N»;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каталог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catalog_export_v4.csv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(md5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da43c64c…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223 записи, 187 уникальных id): название,
компания, статус, тип, сценарий, отрасль, описание, кейсы, цена, ссылка «№ записи»;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«Примеры решений» (docx, md5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6e738822…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): ТТХ восьми моделей, в том числе
производительность H1500 (80–100 паллет/ч), DMR Carrier P (40–60) и Pallet Shuttle (80–120 на
канал), ссылка «Примеры решений › раздел › модель».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Цены каталога не считаются подтверждёнными. Цена становится подтверждённой, только если сайт
или документ производителя даёт то же значение с точностью до 10 %. Цены 5 000 000, 3 500 000
и 2 500 000 ₽ встречаются в каталоге подозрительно часто. Если у такой цены нет подтверждения,
продукт получает флаг «price-placeholder».</w:t>
      </w:r>
    </w:p>
    <w:p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Что добавлено исследованием.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61 строка каталога (57 продуктов после слияния дублей по id)
исследована по открытым источникам в два прохода: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свод «Роботы_свод.xlsx» от 2026-09-23: значения с источником на всю строку,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granularity: row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второй проход found_batch1–6: 306 находок, у каждой ссылка, цитата и уверенность,
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granularity: field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. Каждая находка сверена со страницей (verify_result):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182 подтверждены;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118 подтверждены частично: уверенность понижена, взята уточнённая формулировка;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3 недоступны: уверенность понижена;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3 — метаданные: дата проверки.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Исследование заморожено 2026-09-23T21:13:10Z.</w:t>
      </w:r>
    </w:p>
    <w:p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Правила.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При конфликте основным становится значение организатора, затем PDF производителя, сайт
производителя, дилер, агрегатор, пресса. Остальные значения показываются как альтернативы
(«⚠ расхождение»).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Значение из открытого источника подтверждено, если источник — производитель (сайт или
документ) и уверенность не низкая. Для значения из строки свода нужна ещё отметка строки
«Подтверждено».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Производительность идёт в расчёт парка, только если она дана на один робот, одну станцию
или один канал. «До X» — это предел, а не типичное значение. Цифры «на парк» и из кейсов
(например, 350 паллет/ч на 67 роботов AK-2000-2) показываются в «Кейсах».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Модель, которой нет у производителя (Ronavi RCM), неопубликованный вариант (Tagarka 35 т) и
образцы НИОКР из подбора исключаются, причина показывается.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Ручные решения — отнесение к процессам, исключения, выбор основного значения — собраны в
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lib/data/organizer/decisions.ts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с комментариями.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Обновление: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ORGANIZER_DATA_DIR=&lt;папка выгрузок&gt; npm run gen:organizer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затем сев
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npm run db:seed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).</w:t>
      </w:r>
    </w:p>
    <w:p>
      <w:pPr>
        <w:pStyle w:val="Heading2"/>
        <w:keepNext/>
        <w:outlineLvl w:val="1"/>
      </w:pPr>
      <w:bookmarkStart w:name="toc32" w:id="1"/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Нормативы модели tz-1.0.0</w:t>
      </w:r>
      <w:bookmarkEnd w:id="1"/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Нормативы — все числа расчёта, которые не являются параметрами объекта (ТЗ §3.5.1: без
недокументированных коэффициентов). Таблица сгенерирована из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NORM_DEFS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lib/tz/norms.ts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):
значение по умолчанию, допустимый диапазон для правки администратором, происхождение,
источник и обоснование — дословно из кода. Правила, которые проверяет тест
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lib/tz/norms.test.ts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: у значений организатора и ТЗ есть место в источнике, у открытых
источников — https-ссылка, у оценок, расчётов и нашего выбора — обоснование, у расчётных —
формула. Действующие значения (с правками администратора) показывает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/methodology/tz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и
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GET /api/v1/norms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Диапазон «0–…» — естественная нижняя граница без верхней. Это границы для правки, а не
интервалы чувствительности. Изменение любого значения по умолчанию — «МЕНЯЕТ ЧИСЛА» с
повышением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TZ_MODEL_VERSION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Всего нормативов: 48; Организатор — 5, Расчёт — 2, Оценка — 26, Открытый источник — 5, Наш выбор — 7, ТЗ — 3.</w:t>
      </w:r>
    </w:p>
    <w:p>
      <w:pPr>
        <w:pStyle w:val="Heading3"/>
        <w:keepNext/>
        <w:outlineLvl w:val="2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Режим и загрузка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80"/>
        <w:gridCol w:w="3364"/>
        <w:gridCol w:w="1009"/>
        <w:gridCol w:w="1009"/>
        <w:gridCol w:w="654"/>
        <w:gridCol w:w="1522"/>
      </w:tblGrid>
      <w:tr>
        <w:trPr>
          <w:cantSplit/>
          <w:tblHeader/>
        </w:trPr>
        <w:tc>
          <w:tcPr>
            <w:tcW w:type="dxa" w:w="208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Ключ</w:t>
            </w:r>
          </w:p>
        </w:tc>
        <w:tc>
          <w:tcPr>
            <w:tcW w:type="dxa" w:w="336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Норматив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Значение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Диапазон</w:t>
            </w:r>
          </w:p>
        </w:tc>
        <w:tc>
          <w:tcPr>
            <w:tcW w:type="dxa" w:w="65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Ед.</w:t>
            </w:r>
          </w:p>
        </w:tc>
        <w:tc>
          <w:tcPr>
            <w:tcW w:type="dxa" w:w="152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Происхождение</w:t>
            </w:r>
          </w:p>
        </w:tc>
      </w:tr>
      <w:tr>
        <w:trPr>
          <w:cantSplit/>
          <w:tblHeader/>
        </w:trPr>
        <w:tc>
          <w:tcPr>
            <w:tcW w:type="dxa" w:w="9638"/>
            <w:gridSpan w:val="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↳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Источник / основание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utilization</w:t>
            </w:r>
          </w:p>
        </w:tc>
        <w:tc>
          <w:tcPr>
            <w:tcW w:type="dxa" w:w="3364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Коэффициент загрузки робота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0,775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0,7–0,85</w:t>
            </w:r>
          </w:p>
        </w:tc>
        <w:tc>
          <w:tcPr>
            <w:tcW w:type="dxa" w:w="654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доля</w:t>
            </w:r>
          </w:p>
        </w:tc>
        <w:tc>
          <w:tcPr>
            <w:tcW w:type="dxa" w:w="1522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Организатор</w:t>
            </w:r>
          </w:p>
        </w:tc>
      </w:tr>
      <w:tr>
        <w:trPr>
          <w:cantSplit/>
        </w:trPr>
        <w:tc>
          <w:tcPr>
            <w:tcW w:type="dxa" w:w="9638"/>
            <w:gridSpan w:val="6"/>
            <w:tcBorders>
              <w:top w:val="single" w:color="E3E7EE" w:sz="2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30"/>
              <w:left w:type="dxa" w:w="80"/>
              <w:bottom w:type="dxa" w:w="7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74151"/>
                <w:sz w:val="16"/>
                <w:szCs w:val="16"/>
              </w:rPr>
              <w:t xml:space="preserve">Датасеты_хакатон.xlsx › легенда «Коэффициент загрузки AMR» 70–85 %. Организатор задаёт типовой KPI загрузки AMR 70–85 % и оговаривает, что он уже учитывает зарядку, простои и ожидание. Середина диапазона 0,775 — наш выбор внутри интервала организатора; границы 0,70 и 0,85 используются в анализе чувствительности.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availability</w:t>
            </w:r>
          </w:p>
        </w:tc>
        <w:tc>
          <w:tcPr>
            <w:tcW w:type="dxa" w:w="3364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Коэффициент доступности робота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1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0,9–1</w:t>
            </w:r>
          </w:p>
        </w:tc>
        <w:tc>
          <w:tcPr>
            <w:tcW w:type="dxa" w:w="654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доля</w:t>
            </w:r>
          </w:p>
        </w:tc>
        <w:tc>
          <w:tcPr>
            <w:tcW w:type="dxa" w:w="1522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Расчёт</w:t>
            </w:r>
          </w:p>
        </w:tc>
      </w:tr>
      <w:tr>
        <w:trPr>
          <w:cantSplit/>
        </w:trPr>
        <w:tc>
          <w:tcPr>
            <w:tcW w:type="dxa" w:w="9638"/>
            <w:gridSpan w:val="6"/>
            <w:tcBorders>
              <w:top w:val="single" w:color="E3E7EE" w:sz="2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30"/>
              <w:left w:type="dxa" w:w="80"/>
              <w:bottom w:type="dxa" w:w="7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74151"/>
                <w:sz w:val="16"/>
                <w:szCs w:val="16"/>
              </w:rPr>
              <w:t xml:space="preserve">формула: 1 (простои и зарядка уже внутри коэффициента загрузки организатора). Загрузка организатора уже учитывает зарядку и простои — без двойного учёта. Поэтому доступность по умолчанию равна 1; снижать её имеет смысл только при известных простоях сверх тех, что заложены в загрузку (например, плановое ТО в рабочие смены).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reservePct</w:t>
            </w:r>
          </w:p>
        </w:tc>
        <w:tc>
          <w:tcPr>
            <w:tcW w:type="dxa" w:w="3364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Резерв парка сверх пиковой потребности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0,175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0,15–0,2</w:t>
            </w:r>
          </w:p>
        </w:tc>
        <w:tc>
          <w:tcPr>
            <w:tcW w:type="dxa" w:w="654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доля</w:t>
            </w:r>
          </w:p>
        </w:tc>
        <w:tc>
          <w:tcPr>
            <w:tcW w:type="dxa" w:w="1522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Организатор</w:t>
            </w:r>
          </w:p>
        </w:tc>
      </w:tr>
      <w:tr>
        <w:trPr>
          <w:cantSplit/>
        </w:trPr>
        <w:tc>
          <w:tcPr>
            <w:tcW w:type="dxa" w:w="9638"/>
            <w:gridSpan w:val="6"/>
            <w:tcBorders>
              <w:top w:val="single" w:color="E3E7EE" w:sz="2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30"/>
              <w:left w:type="dxa" w:w="80"/>
              <w:bottom w:type="dxa" w:w="7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74151"/>
                <w:sz w:val="16"/>
                <w:szCs w:val="16"/>
              </w:rPr>
              <w:t xml:space="preserve">Датасеты_хакатон.xlsx › легенда «Пиковая нагрузка» резерв 15–20 %. Организатор требует рассчитывать роботов на пиковую нагрузку с резервом 15–20 %. Середина 17,5 % — наш выбор внутри интервала организатора.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loadedSpeedFactor</w:t>
            </w:r>
          </w:p>
        </w:tc>
        <w:tc>
          <w:tcPr>
            <w:tcW w:type="dxa" w:w="3364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Доля скорости при движении с грузом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0,8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0,6–1</w:t>
            </w:r>
          </w:p>
        </w:tc>
        <w:tc>
          <w:tcPr>
            <w:tcW w:type="dxa" w:w="654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доля</w:t>
            </w:r>
          </w:p>
        </w:tc>
        <w:tc>
          <w:tcPr>
            <w:tcW w:type="dxa" w:w="1522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Оценка</w:t>
            </w:r>
          </w:p>
        </w:tc>
      </w:tr>
      <w:tr>
        <w:trPr>
          <w:cantSplit/>
        </w:trPr>
        <w:tc>
          <w:tcPr>
            <w:tcW w:type="dxa" w:w="9638"/>
            <w:gridSpan w:val="6"/>
            <w:tcBorders>
              <w:top w:val="single" w:color="E3E7EE" w:sz="2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30"/>
              <w:left w:type="dxa" w:w="80"/>
              <w:bottom w:type="dxa" w:w="7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74151"/>
                <w:sz w:val="16"/>
                <w:szCs w:val="16"/>
              </w:rPr>
              <w:t xml:space="preserve">Паспортная скорость обычно указывается без уточнения загрузки, а с паллетой робот движется медленнее по требованиям безопасности. Опубликованной доли нет, 0,8 — оценка; при 1,0 цикл считается по паспортной скорости в обе стороны.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handlingSecJacking</w:t>
            </w:r>
          </w:p>
        </w:tc>
        <w:tc>
          <w:tcPr>
            <w:tcW w:type="dxa" w:w="3364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Время захвата или постановки груза: подъёмный AMR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20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0–…</w:t>
            </w:r>
          </w:p>
        </w:tc>
        <w:tc>
          <w:tcPr>
            <w:tcW w:type="dxa" w:w="654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с</w:t>
            </w:r>
          </w:p>
        </w:tc>
        <w:tc>
          <w:tcPr>
            <w:tcW w:type="dxa" w:w="1522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Оценка</w:t>
            </w:r>
          </w:p>
        </w:tc>
      </w:tr>
      <w:tr>
        <w:trPr>
          <w:cantSplit/>
        </w:trPr>
        <w:tc>
          <w:tcPr>
            <w:tcW w:type="dxa" w:w="9638"/>
            <w:gridSpan w:val="6"/>
            <w:tcBorders>
              <w:top w:val="single" w:color="E3E7EE" w:sz="2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30"/>
              <w:left w:type="dxa" w:w="80"/>
              <w:bottom w:type="dxa" w:w="7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74151"/>
                <w:sz w:val="16"/>
                <w:szCs w:val="16"/>
              </w:rPr>
              <w:t xml:space="preserve">Подъёмный робот подъезжает под паллету и поднимает её платформой; производители время операции не публикуют. 20 секунд на захват и столько же на постановку — оценка порядка величины, входит в расчёт цикла дважды.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handlingSecFork</w:t>
            </w:r>
          </w:p>
        </w:tc>
        <w:tc>
          <w:tcPr>
            <w:tcW w:type="dxa" w:w="3364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Время захвата или постановки груза: вилочный робот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45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0–…</w:t>
            </w:r>
          </w:p>
        </w:tc>
        <w:tc>
          <w:tcPr>
            <w:tcW w:type="dxa" w:w="654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с</w:t>
            </w:r>
          </w:p>
        </w:tc>
        <w:tc>
          <w:tcPr>
            <w:tcW w:type="dxa" w:w="1522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Оценка</w:t>
            </w:r>
          </w:p>
        </w:tc>
      </w:tr>
      <w:tr>
        <w:trPr>
          <w:cantSplit/>
        </w:trPr>
        <w:tc>
          <w:tcPr>
            <w:tcW w:type="dxa" w:w="9638"/>
            <w:gridSpan w:val="6"/>
            <w:tcBorders>
              <w:top w:val="single" w:color="E3E7EE" w:sz="2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30"/>
              <w:left w:type="dxa" w:w="80"/>
              <w:bottom w:type="dxa" w:w="7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74151"/>
                <w:sz w:val="16"/>
                <w:szCs w:val="16"/>
              </w:rPr>
              <w:t xml:space="preserve">Вилочному роботу нужно выровняться по паллете, ввести вилы и поднять груз, поэтому операция дольше, чем у подъёмного AMR. Опубликованных значений нет, 45 секунд — оценка.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handlingSecTug</w:t>
            </w:r>
          </w:p>
        </w:tc>
        <w:tc>
          <w:tcPr>
            <w:tcW w:type="dxa" w:w="3364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Время сцепки или расцепки: тягач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30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0–…</w:t>
            </w:r>
          </w:p>
        </w:tc>
        <w:tc>
          <w:tcPr>
            <w:tcW w:type="dxa" w:w="654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с</w:t>
            </w:r>
          </w:p>
        </w:tc>
        <w:tc>
          <w:tcPr>
            <w:tcW w:type="dxa" w:w="1522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Оценка</w:t>
            </w:r>
          </w:p>
        </w:tc>
      </w:tr>
      <w:tr>
        <w:trPr>
          <w:cantSplit/>
        </w:trPr>
        <w:tc>
          <w:tcPr>
            <w:tcW w:type="dxa" w:w="9638"/>
            <w:gridSpan w:val="6"/>
            <w:tcBorders>
              <w:top w:val="single" w:color="E3E7EE" w:sz="2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30"/>
              <w:left w:type="dxa" w:w="80"/>
              <w:bottom w:type="dxa" w:w="7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74151"/>
                <w:sz w:val="16"/>
                <w:szCs w:val="16"/>
              </w:rPr>
              <w:t xml:space="preserve">Тягач цепляет и отцепляет тележки или прицепы; время операции производители не публикуют. 30 секунд — оценка порядка величины между подъёмным и вилочным роботом.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chargerSafetyFactor</w:t>
            </w:r>
          </w:p>
        </w:tc>
        <w:tc>
          <w:tcPr>
            <w:tcW w:type="dxa" w:w="3364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Запас по числу зарядных станций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1,5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1–3</w:t>
            </w:r>
          </w:p>
        </w:tc>
        <w:tc>
          <w:tcPr>
            <w:tcW w:type="dxa" w:w="654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коэф.</w:t>
            </w:r>
          </w:p>
        </w:tc>
        <w:tc>
          <w:tcPr>
            <w:tcW w:type="dxa" w:w="1522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Оценка</w:t>
            </w:r>
          </w:p>
        </w:tc>
      </w:tr>
      <w:tr>
        <w:trPr>
          <w:cantSplit/>
        </w:trPr>
        <w:tc>
          <w:tcPr>
            <w:tcW w:type="dxa" w:w="9638"/>
            <w:gridSpan w:val="6"/>
            <w:tcBorders>
              <w:top w:val="single" w:color="E3E7EE" w:sz="2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30"/>
              <w:left w:type="dxa" w:w="80"/>
              <w:bottom w:type="dxa" w:w="7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74151"/>
                <w:sz w:val="16"/>
                <w:szCs w:val="16"/>
              </w:rPr>
              <w:t xml:space="preserve">Роботы уходят на зарядку не строго по очереди: несколько машин могут разрядиться одновременно. Средняя доля времени на зарядке умножается на 1,5, чтобы очередь к станциям не становилась узким местом; значение проверяется имитацией (узкое место charging).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robotsPerChargerDefault</w:t>
            </w:r>
          </w:p>
        </w:tc>
        <w:tc>
          <w:tcPr>
            <w:tcW w:type="dxa" w:w="3364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Роботов на одну зарядную станцию (если нет данных о зарядке)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5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1–20</w:t>
            </w:r>
          </w:p>
        </w:tc>
        <w:tc>
          <w:tcPr>
            <w:tcW w:type="dxa" w:w="654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шт.</w:t>
            </w:r>
          </w:p>
        </w:tc>
        <w:tc>
          <w:tcPr>
            <w:tcW w:type="dxa" w:w="1522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Оценка</w:t>
            </w:r>
          </w:p>
        </w:tc>
      </w:tr>
      <w:tr>
        <w:trPr>
          <w:cantSplit/>
        </w:trPr>
        <w:tc>
          <w:tcPr>
            <w:tcW w:type="dxa" w:w="9638"/>
            <w:gridSpan w:val="6"/>
            <w:tcBorders>
              <w:top w:val="single" w:color="E3E7EE" w:sz="2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30"/>
              <w:left w:type="dxa" w:w="80"/>
              <w:bottom w:type="dxa" w:w="7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74151"/>
                <w:sz w:val="16"/>
                <w:szCs w:val="16"/>
              </w:rPr>
              <w:t xml:space="preserve">Применяется только когда у продукта не опубликованы автономность или время зарядки и долю времени на зарядке посчитать нельзя. Одна станция на пять роботов — оценка; расчёт с данными производителя всегда предпочтительнее.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chargerPowerKw</w:t>
            </w:r>
          </w:p>
        </w:tc>
        <w:tc>
          <w:tcPr>
            <w:tcW w:type="dxa" w:w="3364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Мощность одной зарядной станции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3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0–…</w:t>
            </w:r>
          </w:p>
        </w:tc>
        <w:tc>
          <w:tcPr>
            <w:tcW w:type="dxa" w:w="654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кВт</w:t>
            </w:r>
          </w:p>
        </w:tc>
        <w:tc>
          <w:tcPr>
            <w:tcW w:type="dxa" w:w="1522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Оценка</w:t>
            </w:r>
          </w:p>
        </w:tc>
      </w:tr>
      <w:tr>
        <w:trPr>
          <w:cantSplit/>
        </w:trPr>
        <w:tc>
          <w:tcPr>
            <w:tcW w:type="dxa" w:w="9638"/>
            <w:gridSpan w:val="6"/>
            <w:tcBorders>
              <w:top w:val="single" w:color="E3E7EE" w:sz="2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30"/>
              <w:left w:type="dxa" w:w="80"/>
              <w:bottom w:type="dxa" w:w="7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74151"/>
                <w:sz w:val="16"/>
                <w:szCs w:val="16"/>
              </w:rPr>
              <w:t xml:space="preserve">Нужна только для проверки лимита электроснабжения объекта (риск POWER: станции × мощность &gt; доступной мощности). Паспортная мощность станций в найденных данных не публикуется, 3 кВт — оценка порядка величины.</w:t>
            </w:r>
          </w:p>
        </w:tc>
      </w:tr>
    </w:tbl>
    <w:p>
      <w:pPr>
        <w:spacing w:after="60"/>
      </w:pPr>
    </w:p>
    <w:p>
      <w:pPr>
        <w:pStyle w:val="Heading3"/>
        <w:keepNext/>
        <w:outlineLvl w:val="2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Труд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52"/>
        <w:gridCol w:w="3190"/>
        <w:gridCol w:w="1009"/>
        <w:gridCol w:w="1210"/>
        <w:gridCol w:w="654"/>
        <w:gridCol w:w="1523"/>
      </w:tblGrid>
      <w:tr>
        <w:trPr>
          <w:cantSplit/>
          <w:tblHeader/>
        </w:trPr>
        <w:tc>
          <w:tcPr>
            <w:tcW w:type="dxa" w:w="205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Ключ</w:t>
            </w:r>
          </w:p>
        </w:tc>
        <w:tc>
          <w:tcPr>
            <w:tcW w:type="dxa" w:w="319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Норматив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Значение</w:t>
            </w:r>
          </w:p>
        </w:tc>
        <w:tc>
          <w:tcPr>
            <w:tcW w:type="dxa" w:w="121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Диапазон</w:t>
            </w:r>
          </w:p>
        </w:tc>
        <w:tc>
          <w:tcPr>
            <w:tcW w:type="dxa" w:w="65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Ед.</w:t>
            </w:r>
          </w:p>
        </w:tc>
        <w:tc>
          <w:tcPr>
            <w:tcW w:type="dxa" w:w="152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Происхождение</w:t>
            </w:r>
          </w:p>
        </w:tc>
      </w:tr>
      <w:tr>
        <w:trPr>
          <w:cantSplit/>
          <w:tblHeader/>
        </w:trPr>
        <w:tc>
          <w:tcPr>
            <w:tcW w:type="dxa" w:w="9638"/>
            <w:gridSpan w:val="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↳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Источник / основание</w:t>
            </w:r>
          </w:p>
        </w:tc>
      </w:tr>
      <w:tr>
        <w:trPr>
          <w:cantSplit/>
        </w:trPr>
        <w:tc>
          <w:tcPr>
            <w:tcW w:type="dxa" w:w="2052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payrollMultiplier</w:t>
            </w:r>
          </w:p>
        </w:tc>
        <w:tc>
          <w:tcPr>
            <w:tcW w:type="dxa" w:w="3190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Коэффициент начислений на ФОТ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1,302</w:t>
            </w:r>
          </w:p>
        </w:tc>
        <w:tc>
          <w:tcPr>
            <w:tcW w:type="dxa" w:w="1210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1,302–1,302</w:t>
            </w:r>
          </w:p>
        </w:tc>
        <w:tc>
          <w:tcPr>
            <w:tcW w:type="dxa" w:w="654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коэф.</w:t>
            </w:r>
          </w:p>
        </w:tc>
        <w:tc>
          <w:tcPr>
            <w:tcW w:type="dxa" w:w="1523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Организатор</w:t>
            </w:r>
          </w:p>
        </w:tc>
      </w:tr>
      <w:tr>
        <w:trPr>
          <w:cantSplit/>
        </w:trPr>
        <w:tc>
          <w:tcPr>
            <w:tcW w:type="dxa" w:w="9638"/>
            <w:gridSpan w:val="6"/>
            <w:tcBorders>
              <w:top w:val="single" w:color="E3E7EE" w:sz="2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30"/>
              <w:left w:type="dxa" w:w="80"/>
              <w:bottom w:type="dxa" w:w="7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74151"/>
                <w:sz w:val="16"/>
                <w:szCs w:val="16"/>
              </w:rPr>
              <w:t xml:space="preserve">Датасеты_хакатон.xlsx › легенда «ФОТ» 30,2 %. Коэффициент начислений 30,2 % (страховые взносы, стандартная ставка 2024–2025) задан организатором и зафиксирован во всех трёх датасетах (min = max), поэтому не редактируется.</w:t>
            </w:r>
          </w:p>
        </w:tc>
      </w:tr>
      <w:tr>
        <w:trPr>
          <w:cantSplit/>
        </w:trPr>
        <w:tc>
          <w:tcPr>
            <w:tcW w:type="dxa" w:w="2052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laborShareAutomatable</w:t>
            </w:r>
          </w:p>
        </w:tc>
        <w:tc>
          <w:tcPr>
            <w:tcW w:type="dxa" w:w="3190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Доля труда процесса, которую берут роботы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0,5</w:t>
            </w:r>
          </w:p>
        </w:tc>
        <w:tc>
          <w:tcPr>
            <w:tcW w:type="dxa" w:w="1210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0,3–0,7</w:t>
            </w:r>
          </w:p>
        </w:tc>
        <w:tc>
          <w:tcPr>
            <w:tcW w:type="dxa" w:w="654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доля</w:t>
            </w:r>
          </w:p>
        </w:tc>
        <w:tc>
          <w:tcPr>
            <w:tcW w:type="dxa" w:w="1523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Оценка</w:t>
            </w:r>
          </w:p>
        </w:tc>
      </w:tr>
      <w:tr>
        <w:trPr>
          <w:cantSplit/>
        </w:trPr>
        <w:tc>
          <w:tcPr>
            <w:tcW w:type="dxa" w:w="9638"/>
            <w:gridSpan w:val="6"/>
            <w:tcBorders>
              <w:top w:val="single" w:color="E3E7EE" w:sz="2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30"/>
              <w:left w:type="dxa" w:w="80"/>
              <w:bottom w:type="dxa" w:w="7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74151"/>
                <w:sz w:val="16"/>
                <w:szCs w:val="16"/>
              </w:rPr>
              <w:t xml:space="preserve">Роботы берут горизонтальную транспортировку; размещение на верхние ярусы при потолке 10 м остаётся за погрузчиками. Какую долю работы водителей погрузчиков составляет горизонтальная перевозка, в датасете нет, поэтому 0,5 — оценка, а диапазон 0,3–0,7 входит в анализ чувствительности.</w:t>
            </w:r>
          </w:p>
        </w:tc>
      </w:tr>
      <w:tr>
        <w:trPr>
          <w:cantSplit/>
        </w:trPr>
        <w:tc>
          <w:tcPr>
            <w:tcW w:type="dxa" w:w="2052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robotsPerOperatorPost</w:t>
            </w:r>
          </w:p>
        </w:tc>
        <w:tc>
          <w:tcPr>
            <w:tcW w:type="dxa" w:w="3190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Роботов на один пост диспетчера парка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20</w:t>
            </w:r>
          </w:p>
        </w:tc>
        <w:tc>
          <w:tcPr>
            <w:tcW w:type="dxa" w:w="1210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10–40</w:t>
            </w:r>
          </w:p>
        </w:tc>
        <w:tc>
          <w:tcPr>
            <w:tcW w:type="dxa" w:w="654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шт.</w:t>
            </w:r>
          </w:p>
        </w:tc>
        <w:tc>
          <w:tcPr>
            <w:tcW w:type="dxa" w:w="1523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Оценка</w:t>
            </w:r>
          </w:p>
        </w:tc>
      </w:tr>
      <w:tr>
        <w:trPr>
          <w:cantSplit/>
        </w:trPr>
        <w:tc>
          <w:tcPr>
            <w:tcW w:type="dxa" w:w="9638"/>
            <w:gridSpan w:val="6"/>
            <w:tcBorders>
              <w:top w:val="single" w:color="E3E7EE" w:sz="2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30"/>
              <w:left w:type="dxa" w:w="80"/>
              <w:bottom w:type="dxa" w:w="7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74151"/>
                <w:sz w:val="16"/>
                <w:szCs w:val="16"/>
              </w:rPr>
              <w:t xml:space="preserve">Один диспетчер парка в смену следит за роботами, разбирает остановки и вызывает сервис. Сколько роботов он удерживает, производители не публикуют; 20 — оценка. Персонал эксплуатации считается физически (посты × часы работы), а не процентом от экономии.</w:t>
            </w:r>
          </w:p>
        </w:tc>
      </w:tr>
      <w:tr>
        <w:trPr>
          <w:cantSplit/>
        </w:trPr>
        <w:tc>
          <w:tcPr>
            <w:tcW w:type="dxa" w:w="2052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annualHoursPerFte</w:t>
            </w:r>
          </w:p>
        </w:tc>
        <w:tc>
          <w:tcPr>
            <w:tcW w:type="dxa" w:w="3190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Годовой фонд рабочего времени одной ставки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1 973</w:t>
            </w:r>
          </w:p>
        </w:tc>
        <w:tc>
          <w:tcPr>
            <w:tcW w:type="dxa" w:w="1210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1 800–2 100</w:t>
            </w:r>
          </w:p>
        </w:tc>
        <w:tc>
          <w:tcPr>
            <w:tcW w:type="dxa" w:w="654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ч</w:t>
            </w:r>
          </w:p>
        </w:tc>
        <w:tc>
          <w:tcPr>
            <w:tcW w:type="dxa" w:w="1523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Оценка</w:t>
            </w:r>
          </w:p>
        </w:tc>
      </w:tr>
      <w:tr>
        <w:trPr>
          <w:cantSplit/>
        </w:trPr>
        <w:tc>
          <w:tcPr>
            <w:tcW w:type="dxa" w:w="9638"/>
            <w:gridSpan w:val="6"/>
            <w:tcBorders>
              <w:top w:val="single" w:color="E3E7EE" w:sz="2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30"/>
              <w:left w:type="dxa" w:w="80"/>
              <w:bottom w:type="dxa" w:w="7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74151"/>
                <w:sz w:val="16"/>
                <w:szCs w:val="16"/>
              </w:rPr>
              <w:t xml:space="preserve">Норма часов производственного календаря при 40-часовой неделе — уточнить по календарю года. Нужна, чтобы перевести круглосуточные посты диспетчеров в число ставок: посты × часы работы объекта в год ÷ фонд одной ставки.</w:t>
            </w:r>
          </w:p>
        </w:tc>
      </w:tr>
    </w:tbl>
    <w:p>
      <w:pPr>
        <w:spacing w:after="60"/>
      </w:pPr>
    </w:p>
    <w:p>
      <w:pPr>
        <w:pStyle w:val="Heading3"/>
        <w:keepNext/>
        <w:outlineLvl w:val="2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CAPEX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93"/>
        <w:gridCol w:w="2932"/>
        <w:gridCol w:w="1017"/>
        <w:gridCol w:w="1389"/>
        <w:gridCol w:w="561"/>
        <w:gridCol w:w="1646"/>
      </w:tblGrid>
      <w:tr>
        <w:trPr>
          <w:cantSplit/>
          <w:tblHeader/>
        </w:trPr>
        <w:tc>
          <w:tcPr>
            <w:tcW w:type="dxa" w:w="209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Ключ</w:t>
            </w:r>
          </w:p>
        </w:tc>
        <w:tc>
          <w:tcPr>
            <w:tcW w:type="dxa" w:w="293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Норматив</w:t>
            </w:r>
          </w:p>
        </w:tc>
        <w:tc>
          <w:tcPr>
            <w:tcW w:type="dxa" w:w="101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Значение</w:t>
            </w:r>
          </w:p>
        </w:tc>
        <w:tc>
          <w:tcPr>
            <w:tcW w:type="dxa" w:w="138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Диапазон</w:t>
            </w:r>
          </w:p>
        </w:tc>
        <w:tc>
          <w:tcPr>
            <w:tcW w:type="dxa" w:w="56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Ед.</w:t>
            </w:r>
          </w:p>
        </w:tc>
        <w:tc>
          <w:tcPr>
            <w:tcW w:type="dxa" w:w="164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Происхождение</w:t>
            </w:r>
          </w:p>
        </w:tc>
      </w:tr>
      <w:tr>
        <w:trPr>
          <w:cantSplit/>
          <w:tblHeader/>
        </w:trPr>
        <w:tc>
          <w:tcPr>
            <w:tcW w:type="dxa" w:w="9638"/>
            <w:gridSpan w:val="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↳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Источник / основание</w:t>
            </w:r>
          </w:p>
        </w:tc>
      </w:tr>
      <w:tr>
        <w:trPr>
          <w:cantSplit/>
        </w:trPr>
        <w:tc>
          <w:tcPr>
            <w:tcW w:type="dxa" w:w="2093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capexReservePct</w:t>
            </w:r>
          </w:p>
        </w:tc>
        <w:tc>
          <w:tcPr>
            <w:tcW w:type="dxa" w:w="2932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Резерв CAPEX</w:t>
            </w:r>
          </w:p>
        </w:tc>
        <w:tc>
          <w:tcPr>
            <w:tcW w:type="dxa" w:w="1017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0,1</w:t>
            </w:r>
          </w:p>
        </w:tc>
        <w:tc>
          <w:tcPr>
            <w:tcW w:type="dxa" w:w="1389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0,05–0,2</w:t>
            </w:r>
          </w:p>
        </w:tc>
        <w:tc>
          <w:tcPr>
            <w:tcW w:type="dxa" w:w="561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доля</w:t>
            </w:r>
          </w:p>
        </w:tc>
        <w:tc>
          <w:tcPr>
            <w:tcW w:type="dxa" w:w="1646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Организатор</w:t>
            </w:r>
          </w:p>
        </w:tc>
      </w:tr>
      <w:tr>
        <w:trPr>
          <w:cantSplit/>
        </w:trPr>
        <w:tc>
          <w:tcPr>
            <w:tcW w:type="dxa" w:w="9638"/>
            <w:gridSpan w:val="6"/>
            <w:tcBorders>
              <w:top w:val="single" w:color="E3E7EE" w:sz="2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30"/>
              <w:left w:type="dxa" w:w="80"/>
              <w:bottom w:type="dxa" w:w="7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74151"/>
                <w:sz w:val="16"/>
                <w:szCs w:val="16"/>
              </w:rPr>
              <w:t xml:space="preserve">Датасеты_хакатон.xlsx › легенда «CAPEX» резерв 10 %. Организатор включает в CAPEX резерв 10 %. Мы читаем его как 10 % от суммы остальных статей и показываем это в расчёте. Диапазон 5–20 % — наш, он ограничивает правку администратором.</w:t>
            </w:r>
          </w:p>
        </w:tc>
      </w:tr>
      <w:tr>
        <w:trPr>
          <w:cantSplit/>
        </w:trPr>
        <w:tc>
          <w:tcPr>
            <w:tcW w:type="dxa" w:w="2093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softwareRubPerSite</w:t>
            </w:r>
          </w:p>
        </w:tc>
        <w:tc>
          <w:tcPr>
            <w:tcW w:type="dxa" w:w="2932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ПО управления парком (разово на объект)</w:t>
            </w:r>
          </w:p>
        </w:tc>
        <w:tc>
          <w:tcPr>
            <w:tcW w:type="dxa" w:w="1017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1 000 000</w:t>
            </w:r>
          </w:p>
        </w:tc>
        <w:tc>
          <w:tcPr>
            <w:tcW w:type="dxa" w:w="1389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0–5 000 000</w:t>
            </w:r>
          </w:p>
        </w:tc>
        <w:tc>
          <w:tcPr>
            <w:tcW w:type="dxa" w:w="561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₽</w:t>
            </w:r>
          </w:p>
        </w:tc>
        <w:tc>
          <w:tcPr>
            <w:tcW w:type="dxa" w:w="1646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Открытый источник</w:t>
            </w:r>
          </w:p>
        </w:tc>
      </w:tr>
      <w:tr>
        <w:trPr>
          <w:cantSplit/>
        </w:trPr>
        <w:tc>
          <w:tcPr>
            <w:tcW w:type="dxa" w:w="9638"/>
            <w:gridSpan w:val="6"/>
            <w:tcBorders>
              <w:top w:val="single" w:color="E3E7EE" w:sz="2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30"/>
              <w:left w:type="dxa" w:w="80"/>
              <w:bottom w:type="dxa" w:w="7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74151"/>
                <w:sz w:val="16"/>
                <w:szCs w:val="16"/>
              </w:rPr>
              <w:t xml:space="preserve">Ronavi Robotics, «Информация о ПО», тарифная политика; </w:t>
            </w:r>
            <w:hyperlink w:history="1" r:id="rIdtv517a9os5xmecuwaolfk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1A42A8"/>
                  <w:sz w:val="16"/>
                  <w:szCs w:val="16"/>
                  <w:u w:val="single"/>
                </w:rPr>
                <w:t xml:space="preserve">https://ronavi-robotics.ru/software-information</w:t>
              </w:r>
            </w:hyperlink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74151"/>
                <w:sz w:val="16"/>
                <w:szCs w:val="16"/>
              </w:rPr>
              <w:t xml:space="preserve">. Ronavi публикует тариф на ПО управления группой роботов (RMS): «Стоимость одной установки ПО — 1 млн рублей». Применяется, когда у продукта нет своей цены ПО; для других производителей это аналог (пометка «аналог: Ronavi»).</w:t>
            </w:r>
          </w:p>
        </w:tc>
      </w:tr>
      <w:tr>
        <w:trPr>
          <w:cantSplit/>
        </w:trPr>
        <w:tc>
          <w:tcPr>
            <w:tcW w:type="dxa" w:w="2093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integrationRubPerSite</w:t>
            </w:r>
          </w:p>
        </w:tc>
        <w:tc>
          <w:tcPr>
            <w:tcW w:type="dxa" w:w="2932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Интеграция с WMS/ERP (разово на объект)</w:t>
            </w:r>
          </w:p>
        </w:tc>
        <w:tc>
          <w:tcPr>
            <w:tcW w:type="dxa" w:w="1017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1 250 000</w:t>
            </w:r>
          </w:p>
        </w:tc>
        <w:tc>
          <w:tcPr>
            <w:tcW w:type="dxa" w:w="1389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500 000–2 000 000</w:t>
            </w:r>
          </w:p>
        </w:tc>
        <w:tc>
          <w:tcPr>
            <w:tcW w:type="dxa" w:w="561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₽</w:t>
            </w:r>
          </w:p>
        </w:tc>
        <w:tc>
          <w:tcPr>
            <w:tcW w:type="dxa" w:w="1646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Открытый источник</w:t>
            </w:r>
          </w:p>
        </w:tc>
      </w:tr>
      <w:tr>
        <w:trPr>
          <w:cantSplit/>
        </w:trPr>
        <w:tc>
          <w:tcPr>
            <w:tcW w:type="dxa" w:w="9638"/>
            <w:gridSpan w:val="6"/>
            <w:tcBorders>
              <w:top w:val="single" w:color="E3E7EE" w:sz="2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30"/>
              <w:left w:type="dxa" w:w="80"/>
              <w:bottom w:type="dxa" w:w="7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74151"/>
                <w:sz w:val="16"/>
                <w:szCs w:val="16"/>
              </w:rPr>
              <w:t xml:space="preserve">Ronavi Robotics, статья «Как считать стоимость владения (TCO)»; </w:t>
            </w:r>
            <w:hyperlink w:history="1" r:id="rIdnmofu-54iiwudng957ang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1A42A8"/>
                  <w:sz w:val="16"/>
                  <w:szCs w:val="16"/>
                  <w:u w:val="single"/>
                </w:rPr>
                <w:t xml:space="preserve">https://ronavi-robotics.ru/media/tpost/l8s0fty3m1-kak-schitat-stoimost-vladeniya-tco-logis</w:t>
              </w:r>
            </w:hyperlink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74151"/>
                <w:sz w:val="16"/>
                <w:szCs w:val="16"/>
              </w:rPr>
              <w:t xml:space="preserve">. Ronavi: «Стоимость внедрения RMS и интеграции обычно составляет от 500 тыс. до 2 млн рублей в зависимости от масштаба проекта». Середина 1,25 млн ₽ — наш выбор внутри опубликованного диапазона; для других производителей это аналог.</w:t>
            </w:r>
          </w:p>
        </w:tc>
      </w:tr>
      <w:tr>
        <w:trPr>
          <w:cantSplit/>
        </w:trPr>
        <w:tc>
          <w:tcPr>
            <w:tcW w:type="dxa" w:w="2093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commissioningRubPerUnit</w:t>
            </w:r>
          </w:p>
        </w:tc>
        <w:tc>
          <w:tcPr>
            <w:tcW w:type="dxa" w:w="2932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Пусконаладка на один робот</w:t>
            </w:r>
          </w:p>
        </w:tc>
        <w:tc>
          <w:tcPr>
            <w:tcW w:type="dxa" w:w="1017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100 000</w:t>
            </w:r>
          </w:p>
        </w:tc>
        <w:tc>
          <w:tcPr>
            <w:tcW w:type="dxa" w:w="1389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0–1 000 000</w:t>
            </w:r>
          </w:p>
        </w:tc>
        <w:tc>
          <w:tcPr>
            <w:tcW w:type="dxa" w:w="561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₽</w:t>
            </w:r>
          </w:p>
        </w:tc>
        <w:tc>
          <w:tcPr>
            <w:tcW w:type="dxa" w:w="1646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Открытый источник</w:t>
            </w:r>
          </w:p>
        </w:tc>
      </w:tr>
      <w:tr>
        <w:trPr>
          <w:cantSplit/>
        </w:trPr>
        <w:tc>
          <w:tcPr>
            <w:tcW w:type="dxa" w:w="9638"/>
            <w:gridSpan w:val="6"/>
            <w:tcBorders>
              <w:top w:val="single" w:color="E3E7EE" w:sz="2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30"/>
              <w:left w:type="dxa" w:w="80"/>
              <w:bottom w:type="dxa" w:w="7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74151"/>
                <w:sz w:val="16"/>
                <w:szCs w:val="16"/>
              </w:rPr>
              <w:t xml:space="preserve">Вейбот Роботикс (Клинботикс), страница «Покупка и аренда»; </w:t>
            </w:r>
            <w:hyperlink w:history="1" r:id="rIdagkgbxl33samzkghspgne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1A42A8"/>
                  <w:sz w:val="16"/>
                  <w:szCs w:val="16"/>
                  <w:u w:val="single"/>
                </w:rPr>
                <w:t xml:space="preserve">https://waybotrobotics.com/buy-rent</w:t>
              </w:r>
            </w:hyperlink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74151"/>
                <w:sz w:val="16"/>
                <w:szCs w:val="16"/>
              </w:rPr>
              <w:t xml:space="preserve">. Вейбот Роботикс публикует «Пусконаладка от 100 000 ₽ для Cleanbotics 400 PRO и от 150 000 ₽ для Cleanbotics 600». Берём нижнюю опубликованную цену на единицу; для складских AMR это аналог, цена конкретного интегратора может быть выше.</w:t>
            </w:r>
          </w:p>
        </w:tc>
      </w:tr>
      <w:tr>
        <w:trPr>
          <w:cantSplit/>
        </w:trPr>
        <w:tc>
          <w:tcPr>
            <w:tcW w:type="dxa" w:w="2093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trainingRubPerSite</w:t>
            </w:r>
          </w:p>
        </w:tc>
        <w:tc>
          <w:tcPr>
            <w:tcW w:type="dxa" w:w="2932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Обучение персонала (разово на объект)</w:t>
            </w:r>
          </w:p>
        </w:tc>
        <w:tc>
          <w:tcPr>
            <w:tcW w:type="dxa" w:w="1017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150 000</w:t>
            </w:r>
          </w:p>
        </w:tc>
        <w:tc>
          <w:tcPr>
            <w:tcW w:type="dxa" w:w="1389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0–…</w:t>
            </w:r>
          </w:p>
        </w:tc>
        <w:tc>
          <w:tcPr>
            <w:tcW w:type="dxa" w:w="561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₽</w:t>
            </w:r>
          </w:p>
        </w:tc>
        <w:tc>
          <w:tcPr>
            <w:tcW w:type="dxa" w:w="1646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Оценка</w:t>
            </w:r>
          </w:p>
        </w:tc>
      </w:tr>
      <w:tr>
        <w:trPr>
          <w:cantSplit/>
        </w:trPr>
        <w:tc>
          <w:tcPr>
            <w:tcW w:type="dxa" w:w="9638"/>
            <w:gridSpan w:val="6"/>
            <w:tcBorders>
              <w:top w:val="single" w:color="E3E7EE" w:sz="2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30"/>
              <w:left w:type="dxa" w:w="80"/>
              <w:bottom w:type="dxa" w:w="7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74151"/>
                <w:sz w:val="16"/>
                <w:szCs w:val="16"/>
              </w:rPr>
              <w:t xml:space="preserve">Отдельную цену обучения производители не публикуют: Вейбот включает инструктаж в пусконаладку, R2Б — в аренду. 150 000 ₽ — оценка порядка величины для обучения диспетчеров и операторов на объекте.</w:t>
            </w:r>
          </w:p>
        </w:tc>
      </w:tr>
      <w:tr>
        <w:trPr>
          <w:cantSplit/>
        </w:trPr>
        <w:tc>
          <w:tcPr>
            <w:tcW w:type="dxa" w:w="2093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chargerRub</w:t>
            </w:r>
          </w:p>
        </w:tc>
        <w:tc>
          <w:tcPr>
            <w:tcW w:type="dxa" w:w="2932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Зарядная станция (за штуку)</w:t>
            </w:r>
          </w:p>
        </w:tc>
        <w:tc>
          <w:tcPr>
            <w:tcW w:type="dxa" w:w="1017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300 000</w:t>
            </w:r>
          </w:p>
        </w:tc>
        <w:tc>
          <w:tcPr>
            <w:tcW w:type="dxa" w:w="1389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200 000–400 000</w:t>
            </w:r>
          </w:p>
        </w:tc>
        <w:tc>
          <w:tcPr>
            <w:tcW w:type="dxa" w:w="561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₽</w:t>
            </w:r>
          </w:p>
        </w:tc>
        <w:tc>
          <w:tcPr>
            <w:tcW w:type="dxa" w:w="1646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Открытый источник</w:t>
            </w:r>
          </w:p>
        </w:tc>
      </w:tr>
      <w:tr>
        <w:trPr>
          <w:cantSplit/>
        </w:trPr>
        <w:tc>
          <w:tcPr>
            <w:tcW w:type="dxa" w:w="9638"/>
            <w:gridSpan w:val="6"/>
            <w:tcBorders>
              <w:top w:val="single" w:color="E3E7EE" w:sz="2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30"/>
              <w:left w:type="dxa" w:w="80"/>
              <w:bottom w:type="dxa" w:w="7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74151"/>
                <w:sz w:val="16"/>
                <w:szCs w:val="16"/>
              </w:rPr>
              <w:t xml:space="preserve">Ronavi Robotics, статья «Как считать стоимость владения (TCO)» (ссылка в sourceUrl); дилер Stellmart, карточка Ronavi H1500 — </w:t>
            </w:r>
            <w:hyperlink w:history="1" r:id="rId0lzekhftemd8irtn0wnah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1A42A8"/>
                  <w:sz w:val="16"/>
                  <w:szCs w:val="16"/>
                  <w:u w:val="single"/>
                </w:rPr>
                <w:t xml:space="preserve">https://stellmart.ru/logisticheskie-roboty/ronavi-h1500/</w:t>
              </w:r>
            </w:hyperlink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74151"/>
                <w:sz w:val="16"/>
                <w:szCs w:val="16"/>
              </w:rPr>
              <w:t xml:space="preserve">; </w:t>
            </w:r>
            <w:hyperlink w:history="1" r:id="rId-gmnyf0mau9jthdrdfdwp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1A42A8"/>
                  <w:sz w:val="16"/>
                  <w:szCs w:val="16"/>
                  <w:u w:val="single"/>
                </w:rPr>
                <w:t xml:space="preserve">https://ronavi-robotics.ru/media/tpost/l8s0fty3m1-kak-schitat-stoimost-vladeniya-tco-logis</w:t>
              </w:r>
            </w:hyperlink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74151"/>
                <w:sz w:val="16"/>
                <w:szCs w:val="16"/>
              </w:rPr>
              <w:t xml:space="preserve">. Ronavi в статье о стоимости владения: «зарядные станции (200−400 тыс. рублей каждая)». Середина 300 000 ₽ — наш выбор внутри опубликованного диапазона; дилер Stellmart продаёт станцию Ronavi Charger «от 360 000 руб.» (</w:t>
            </w:r>
            <w:hyperlink w:history="1" r:id="rId2ia2ceglej5pux_heusvm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1A42A8"/>
                  <w:sz w:val="16"/>
                  <w:szCs w:val="16"/>
                  <w:u w:val="single"/>
                </w:rPr>
                <w:t xml:space="preserve">https://stellmart.ru/logisticheskie-roboty/ronavi-h1500/</w:t>
              </w:r>
            </w:hyperlink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74151"/>
                <w:sz w:val="16"/>
                <w:szCs w:val="16"/>
              </w:rPr>
              <w:t xml:space="preserve">). Та же статья называет цену H1500 «около 2-3 млн рублей при покупке с учетом зарядных станций и прочей инфраструктуры», а у дилера робот («от 2 700 000 руб.», как в каталоге организатора) и станция продаются отдельно. Поэтому станции — отдельная строка CAPEX; входят ли они в цену робота, проверяется по коммерческому предложению.</w:t>
            </w:r>
          </w:p>
        </w:tc>
      </w:tr>
      <w:tr>
        <w:trPr>
          <w:cantSplit/>
        </w:trPr>
        <w:tc>
          <w:tcPr>
            <w:tcW w:type="dxa" w:w="2093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siteInfraRubPerM2</w:t>
            </w:r>
          </w:p>
        </w:tc>
        <w:tc>
          <w:tcPr>
            <w:tcW w:type="dxa" w:w="2932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Инфраструктура площадки на 1 м² активной зоны</w:t>
            </w:r>
          </w:p>
        </w:tc>
        <w:tc>
          <w:tcPr>
            <w:tcW w:type="dxa" w:w="1017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150</w:t>
            </w:r>
          </w:p>
        </w:tc>
        <w:tc>
          <w:tcPr>
            <w:tcW w:type="dxa" w:w="1389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0–…</w:t>
            </w:r>
          </w:p>
        </w:tc>
        <w:tc>
          <w:tcPr>
            <w:tcW w:type="dxa" w:w="561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₽/м²</w:t>
            </w:r>
          </w:p>
        </w:tc>
        <w:tc>
          <w:tcPr>
            <w:tcW w:type="dxa" w:w="1646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Оценка</w:t>
            </w:r>
          </w:p>
        </w:tc>
      </w:tr>
      <w:tr>
        <w:trPr>
          <w:cantSplit/>
        </w:trPr>
        <w:tc>
          <w:tcPr>
            <w:tcW w:type="dxa" w:w="9638"/>
            <w:gridSpan w:val="6"/>
            <w:tcBorders>
              <w:top w:val="single" w:color="E3E7EE" w:sz="2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30"/>
              <w:left w:type="dxa" w:w="80"/>
              <w:bottom w:type="dxa" w:w="7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74151"/>
                <w:sz w:val="16"/>
                <w:szCs w:val="16"/>
              </w:rPr>
              <w:t xml:space="preserve">Разметка пола, точки доступа Wi-Fi и навигационные метки на активной зоне. Удельной цены в открытых источниках нет, 150 ₽/м² — оценка; перестройка стеллажей и лифты сюда не входят и отмечаются отдельными рисками.</w:t>
            </w:r>
          </w:p>
        </w:tc>
      </w:tr>
    </w:tbl>
    <w:p>
      <w:pPr>
        <w:spacing w:after="60"/>
      </w:pPr>
    </w:p>
    <w:p>
      <w:pPr>
        <w:pStyle w:val="Heading3"/>
        <w:keepNext/>
        <w:outlineLvl w:val="2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OPEX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41"/>
        <w:gridCol w:w="2647"/>
        <w:gridCol w:w="1009"/>
        <w:gridCol w:w="1210"/>
        <w:gridCol w:w="1015"/>
        <w:gridCol w:w="1616"/>
      </w:tblGrid>
      <w:tr>
        <w:trPr>
          <w:cantSplit/>
          <w:tblHeader/>
        </w:trPr>
        <w:tc>
          <w:tcPr>
            <w:tcW w:type="dxa" w:w="214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Ключ</w:t>
            </w:r>
          </w:p>
        </w:tc>
        <w:tc>
          <w:tcPr>
            <w:tcW w:type="dxa" w:w="264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Норматив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Значение</w:t>
            </w:r>
          </w:p>
        </w:tc>
        <w:tc>
          <w:tcPr>
            <w:tcW w:type="dxa" w:w="121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Диапазон</w:t>
            </w:r>
          </w:p>
        </w:tc>
        <w:tc>
          <w:tcPr>
            <w:tcW w:type="dxa" w:w="101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Ед.</w:t>
            </w:r>
          </w:p>
        </w:tc>
        <w:tc>
          <w:tcPr>
            <w:tcW w:type="dxa" w:w="161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Происхождение</w:t>
            </w:r>
          </w:p>
        </w:tc>
      </w:tr>
      <w:tr>
        <w:trPr>
          <w:cantSplit/>
          <w:tblHeader/>
        </w:trPr>
        <w:tc>
          <w:tcPr>
            <w:tcW w:type="dxa" w:w="9638"/>
            <w:gridSpan w:val="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↳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Источник / основание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servicePctOfPriceYear</w:t>
            </w:r>
          </w:p>
        </w:tc>
        <w:tc>
          <w:tcPr>
            <w:tcW w:type="dxa" w:w="2647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Сервисное обслуживание в год, доля цены робота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0,12</w:t>
            </w:r>
          </w:p>
        </w:tc>
        <w:tc>
          <w:tcPr>
            <w:tcW w:type="dxa" w:w="1210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0,1–0,24</w:t>
            </w:r>
          </w:p>
        </w:tc>
        <w:tc>
          <w:tcPr>
            <w:tcW w:type="dxa" w:w="1015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доля в год</w:t>
            </w:r>
          </w:p>
        </w:tc>
        <w:tc>
          <w:tcPr>
            <w:tcW w:type="dxa" w:w="1616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Открытый источник</w:t>
            </w:r>
          </w:p>
        </w:tc>
      </w:tr>
      <w:tr>
        <w:trPr>
          <w:cantSplit/>
        </w:trPr>
        <w:tc>
          <w:tcPr>
            <w:tcW w:type="dxa" w:w="9638"/>
            <w:gridSpan w:val="6"/>
            <w:tcBorders>
              <w:top w:val="single" w:color="E3E7EE" w:sz="2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30"/>
              <w:left w:type="dxa" w:w="80"/>
              <w:bottom w:type="dxa" w:w="7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74151"/>
                <w:sz w:val="16"/>
                <w:szCs w:val="16"/>
              </w:rPr>
              <w:t xml:space="preserve">Ronavi Robotics, статья «Как считать стоимость владения (TCO)» (ссылка в sourceUrl); R2Б, статья в блоге об окупаемости MARK 2 SE — </w:t>
            </w:r>
            <w:hyperlink w:history="1" r:id="rIdvwblrf-vhcfzrihyakhbo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1A42A8"/>
                  <w:sz w:val="16"/>
                  <w:szCs w:val="16"/>
                  <w:u w:val="single"/>
                </w:rPr>
                <w:t xml:space="preserve">https://r2b.company/blog/promyshlennyy-robot-uborschik-zachem-on-nuzhen-i-kak-rasschitat-okupaemost</w:t>
              </w:r>
            </w:hyperlink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74151"/>
                <w:sz w:val="16"/>
                <w:szCs w:val="16"/>
              </w:rPr>
              <w:t xml:space="preserve">; Вейбот Роботикс, «Гарантия и сервис» — </w:t>
            </w:r>
            <w:hyperlink w:history="1" r:id="rIdfqvxlq4fujoorzfjx3scg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1A42A8"/>
                  <w:sz w:val="16"/>
                  <w:szCs w:val="16"/>
                  <w:u w:val="single"/>
                </w:rPr>
                <w:t xml:space="preserve">https://waybotrobotics.com/guarantee</w:t>
              </w:r>
            </w:hyperlink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74151"/>
                <w:sz w:val="16"/>
                <w:szCs w:val="16"/>
              </w:rPr>
              <w:t xml:space="preserve">; цены роботов — каталог организатора; </w:t>
            </w:r>
            <w:hyperlink w:history="1" r:id="rIdbp2uqv56eurtpbjfpvqll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1A42A8"/>
                  <w:sz w:val="16"/>
                  <w:szCs w:val="16"/>
                  <w:u w:val="single"/>
                </w:rPr>
                <w:t xml:space="preserve">https://ronavi-robotics.ru/media/tpost/l8s0fty3m1-kak-schitat-stoimost-vladeniya-tco-logis</w:t>
              </w:r>
            </w:hyperlink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74151"/>
                <w:sz w:val="16"/>
                <w:szCs w:val="16"/>
              </w:rPr>
              <w:t xml:space="preserve">. Три заявления производителей: Ronavi — «от 10 % стоимости проекта в год»; R2Б — обслуживание MARK 2 SE около 20 000 ₽/мес (≈240 000 ₽/год, ≈12,6 % цены 1,9 млн ₽); Вейбот — 30 000 ₽/мес (360 000 ₽/год, 15,6–24 % цены 2,31 и 1,5 млн ₽); цены роботов — из каталога организатора. Берём 12 % между Ronavi и R2Б; тариф Вейбот «под ключ» с еженедельным ТО задаёт верхнюю границу. Применяется, когда у продукта нет своей цены сервиса.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repairPctOfPriceYear</w:t>
            </w:r>
          </w:p>
        </w:tc>
        <w:tc>
          <w:tcPr>
            <w:tcW w:type="dxa" w:w="2647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Ремонт вне сервисного договора в год, доля цены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0,02</w:t>
            </w:r>
          </w:p>
        </w:tc>
        <w:tc>
          <w:tcPr>
            <w:tcW w:type="dxa" w:w="1210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0–0,05</w:t>
            </w:r>
          </w:p>
        </w:tc>
        <w:tc>
          <w:tcPr>
            <w:tcW w:type="dxa" w:w="1015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доля в год</w:t>
            </w:r>
          </w:p>
        </w:tc>
        <w:tc>
          <w:tcPr>
            <w:tcW w:type="dxa" w:w="1616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Оценка</w:t>
            </w:r>
          </w:p>
        </w:tc>
      </w:tr>
      <w:tr>
        <w:trPr>
          <w:cantSplit/>
        </w:trPr>
        <w:tc>
          <w:tcPr>
            <w:tcW w:type="dxa" w:w="9638"/>
            <w:gridSpan w:val="6"/>
            <w:tcBorders>
              <w:top w:val="single" w:color="E3E7EE" w:sz="2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30"/>
              <w:left w:type="dxa" w:w="80"/>
              <w:bottom w:type="dxa" w:w="7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74151"/>
                <w:sz w:val="16"/>
                <w:szCs w:val="16"/>
              </w:rPr>
              <w:t xml:space="preserve">Повреждения и износ, которые не покрывает сервисный договор (колёса, бамперы, датчики после столкновений). Опубликованных данных нет, 2 % цены в год — оценка; при договоре «под ключ» можно поставить 0.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consumablesPctOfPriceYear</w:t>
            </w:r>
          </w:p>
        </w:tc>
        <w:tc>
          <w:tcPr>
            <w:tcW w:type="dxa" w:w="2647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Расходные материалы в год, доля цены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0,01</w:t>
            </w:r>
          </w:p>
        </w:tc>
        <w:tc>
          <w:tcPr>
            <w:tcW w:type="dxa" w:w="1210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0–0,03</w:t>
            </w:r>
          </w:p>
        </w:tc>
        <w:tc>
          <w:tcPr>
            <w:tcW w:type="dxa" w:w="1015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доля в год</w:t>
            </w:r>
          </w:p>
        </w:tc>
        <w:tc>
          <w:tcPr>
            <w:tcW w:type="dxa" w:w="1616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Оценка</w:t>
            </w:r>
          </w:p>
        </w:tc>
      </w:tr>
      <w:tr>
        <w:trPr>
          <w:cantSplit/>
        </w:trPr>
        <w:tc>
          <w:tcPr>
            <w:tcW w:type="dxa" w:w="9638"/>
            <w:gridSpan w:val="6"/>
            <w:tcBorders>
              <w:top w:val="single" w:color="E3E7EE" w:sz="2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30"/>
              <w:left w:type="dxa" w:w="80"/>
              <w:bottom w:type="dxa" w:w="7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74151"/>
                <w:sz w:val="16"/>
                <w:szCs w:val="16"/>
              </w:rPr>
              <w:t xml:space="preserve">Организатор включает расходники в OPEX, но величины не даёт. 1 % цены робота в год — оценка для складского AMR без щёток и фильтров; у уборочных роботов доля выше.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batteryReplacementYears</w:t>
            </w:r>
          </w:p>
        </w:tc>
        <w:tc>
          <w:tcPr>
            <w:tcW w:type="dxa" w:w="2647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Замена АКБ, раз в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4</w:t>
            </w:r>
          </w:p>
        </w:tc>
        <w:tc>
          <w:tcPr>
            <w:tcW w:type="dxa" w:w="1210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3–5</w:t>
            </w:r>
          </w:p>
        </w:tc>
        <w:tc>
          <w:tcPr>
            <w:tcW w:type="dxa" w:w="1015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лет</w:t>
            </w:r>
          </w:p>
        </w:tc>
        <w:tc>
          <w:tcPr>
            <w:tcW w:type="dxa" w:w="1616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Организатор</w:t>
            </w:r>
          </w:p>
        </w:tc>
      </w:tr>
      <w:tr>
        <w:trPr>
          <w:cantSplit/>
        </w:trPr>
        <w:tc>
          <w:tcPr>
            <w:tcW w:type="dxa" w:w="9638"/>
            <w:gridSpan w:val="6"/>
            <w:tcBorders>
              <w:top w:val="single" w:color="E3E7EE" w:sz="2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30"/>
              <w:left w:type="dxa" w:w="80"/>
              <w:bottom w:type="dxa" w:w="7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74151"/>
                <w:sz w:val="16"/>
                <w:szCs w:val="16"/>
              </w:rPr>
              <w:t xml:space="preserve">Датасеты_хакатон.xlsx › легенда «OPEX» замена АКБ ~раз в 3–5 лет. Организатор указывает в составе OPEX замену АКБ примерно раз в 3–5 лет. Середина 4 года — наш выбор внутри интервала; если производитель публикует свой срок, берётся он.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batteryCostPctOfPrice</w:t>
            </w:r>
          </w:p>
        </w:tc>
        <w:tc>
          <w:tcPr>
            <w:tcW w:type="dxa" w:w="2647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Стоимость комплекта АКБ, доля цены робота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0,1</w:t>
            </w:r>
          </w:p>
        </w:tc>
        <w:tc>
          <w:tcPr>
            <w:tcW w:type="dxa" w:w="1210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0,05–0,2</w:t>
            </w:r>
          </w:p>
        </w:tc>
        <w:tc>
          <w:tcPr>
            <w:tcW w:type="dxa" w:w="1015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доля</w:t>
            </w:r>
          </w:p>
        </w:tc>
        <w:tc>
          <w:tcPr>
            <w:tcW w:type="dxa" w:w="1616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Оценка</w:t>
            </w:r>
          </w:p>
        </w:tc>
      </w:tr>
      <w:tr>
        <w:trPr>
          <w:cantSplit/>
        </w:trPr>
        <w:tc>
          <w:tcPr>
            <w:tcW w:type="dxa" w:w="9638"/>
            <w:gridSpan w:val="6"/>
            <w:tcBorders>
              <w:top w:val="single" w:color="E3E7EE" w:sz="2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30"/>
              <w:left w:type="dxa" w:w="80"/>
              <w:bottom w:type="dxa" w:w="7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74151"/>
                <w:sz w:val="16"/>
                <w:szCs w:val="16"/>
              </w:rPr>
              <w:t xml:space="preserve">Цена АКБ не публикуется ни одним из найденных производителей. 10 % цены робота — оценка для расчёта замены АКБ; при известной цене комплекта у продукта берётся она.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robotAvgPowerKw</w:t>
            </w:r>
          </w:p>
        </w:tc>
        <w:tc>
          <w:tcPr>
            <w:tcW w:type="dxa" w:w="2647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Средняя потребляемая мощность робота в работе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0,4</w:t>
            </w:r>
          </w:p>
        </w:tc>
        <w:tc>
          <w:tcPr>
            <w:tcW w:type="dxa" w:w="1210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0–…</w:t>
            </w:r>
          </w:p>
        </w:tc>
        <w:tc>
          <w:tcPr>
            <w:tcW w:type="dxa" w:w="1015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кВт</w:t>
            </w:r>
          </w:p>
        </w:tc>
        <w:tc>
          <w:tcPr>
            <w:tcW w:type="dxa" w:w="1616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Оценка</w:t>
            </w:r>
          </w:p>
        </w:tc>
      </w:tr>
      <w:tr>
        <w:trPr>
          <w:cantSplit/>
        </w:trPr>
        <w:tc>
          <w:tcPr>
            <w:tcW w:type="dxa" w:w="9638"/>
            <w:gridSpan w:val="6"/>
            <w:tcBorders>
              <w:top w:val="single" w:color="E3E7EE" w:sz="2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30"/>
              <w:left w:type="dxa" w:w="80"/>
              <w:bottom w:type="dxa" w:w="7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74151"/>
                <w:sz w:val="16"/>
                <w:szCs w:val="16"/>
              </w:rPr>
              <w:t xml:space="preserve">Среднюю потребляемую мощность паллетных AMR производители в найденных открытых данных не публикуют. 0,4 кВт — оценка средней мощности с учётом движения с паллетой; уточняется по паспорту робота или замеру на объекте.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electricityRubPerKwh</w:t>
            </w:r>
          </w:p>
        </w:tc>
        <w:tc>
          <w:tcPr>
            <w:tcW w:type="dxa" w:w="2647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Тариф на электроэнергию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9</w:t>
            </w:r>
          </w:p>
        </w:tc>
        <w:tc>
          <w:tcPr>
            <w:tcW w:type="dxa" w:w="1210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0–…</w:t>
            </w:r>
          </w:p>
        </w:tc>
        <w:tc>
          <w:tcPr>
            <w:tcW w:type="dxa" w:w="1015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₽/кВт·ч</w:t>
            </w:r>
          </w:p>
        </w:tc>
        <w:tc>
          <w:tcPr>
            <w:tcW w:type="dxa" w:w="1616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Оценка</w:t>
            </w:r>
          </w:p>
        </w:tc>
      </w:tr>
      <w:tr>
        <w:trPr>
          <w:cantSplit/>
        </w:trPr>
        <w:tc>
          <w:tcPr>
            <w:tcW w:type="dxa" w:w="9638"/>
            <w:gridSpan w:val="6"/>
            <w:tcBorders>
              <w:top w:val="single" w:color="E3E7EE" w:sz="2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30"/>
              <w:left w:type="dxa" w:w="80"/>
              <w:bottom w:type="dxa" w:w="7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74151"/>
                <w:sz w:val="16"/>
                <w:szCs w:val="16"/>
              </w:rPr>
              <w:t xml:space="preserve">Тариф для юридических лиц зависит от региона, уровня напряжения и ценовой категории. 9 ₽/кВт·ч — оценка порядка величины; уточняется по договору энергоснабжения объекта.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connectivityRubPerUnitYear</w:t>
            </w:r>
          </w:p>
        </w:tc>
        <w:tc>
          <w:tcPr>
            <w:tcW w:type="dxa" w:w="2647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Связь и сеть на один робот в год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12 000</w:t>
            </w:r>
          </w:p>
        </w:tc>
        <w:tc>
          <w:tcPr>
            <w:tcW w:type="dxa" w:w="1210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0–…</w:t>
            </w:r>
          </w:p>
        </w:tc>
        <w:tc>
          <w:tcPr>
            <w:tcW w:type="dxa" w:w="1015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₽/год</w:t>
            </w:r>
          </w:p>
        </w:tc>
        <w:tc>
          <w:tcPr>
            <w:tcW w:type="dxa" w:w="1616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Оценка</w:t>
            </w:r>
          </w:p>
        </w:tc>
      </w:tr>
      <w:tr>
        <w:trPr>
          <w:cantSplit/>
        </w:trPr>
        <w:tc>
          <w:tcPr>
            <w:tcW w:type="dxa" w:w="9638"/>
            <w:gridSpan w:val="6"/>
            <w:tcBorders>
              <w:top w:val="single" w:color="E3E7EE" w:sz="2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30"/>
              <w:left w:type="dxa" w:w="80"/>
              <w:bottom w:type="dxa" w:w="7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74151"/>
                <w:sz w:val="16"/>
                <w:szCs w:val="16"/>
              </w:rPr>
              <w:t xml:space="preserve">ТЗ включает связь в OPEX, но ни организатор, ни производители цену не дают. 1 000 ₽ в месяц на робот (SIM-карта или доля обслуживания Wi-Fi, мониторинг) — оценка.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raasMonthlyPctOfPrice</w:t>
            </w:r>
          </w:p>
        </w:tc>
        <w:tc>
          <w:tcPr>
            <w:tcW w:type="dxa" w:w="2647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Оценка ставки RaaS в месяц, доля цены робота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0,052</w:t>
            </w:r>
          </w:p>
        </w:tc>
        <w:tc>
          <w:tcPr>
            <w:tcW w:type="dxa" w:w="1210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0,037–0,067</w:t>
            </w:r>
          </w:p>
        </w:tc>
        <w:tc>
          <w:tcPr>
            <w:tcW w:type="dxa" w:w="1015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доля в месяц</w:t>
            </w:r>
          </w:p>
        </w:tc>
        <w:tc>
          <w:tcPr>
            <w:tcW w:type="dxa" w:w="1616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Расчёт</w:t>
            </w:r>
          </w:p>
        </w:tc>
      </w:tr>
      <w:tr>
        <w:trPr>
          <w:cantSplit w:val="false"/>
        </w:trPr>
        <w:tc>
          <w:tcPr>
            <w:tcW w:type="dxa" w:w="9638"/>
            <w:gridSpan w:val="6"/>
            <w:tcBorders>
              <w:top w:val="single" w:color="E3E7EE" w:sz="2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30"/>
              <w:left w:type="dxa" w:w="80"/>
              <w:bottom w:type="dxa" w:w="7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74151"/>
                <w:sz w:val="16"/>
                <w:szCs w:val="16"/>
              </w:rPr>
              <w:t xml:space="preserve">Тарифы аренды: Ronavi — </w:t>
            </w:r>
            <w:hyperlink w:history="1" r:id="rIdspx2_8rybdpvxeusqv939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1A42A8"/>
                  <w:sz w:val="16"/>
                  <w:szCs w:val="16"/>
                  <w:u w:val="single"/>
                </w:rPr>
                <w:t xml:space="preserve">https://robotrends.ru/robopedia/ronavi-robotics</w:t>
              </w:r>
            </w:hyperlink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74151"/>
                <w:sz w:val="16"/>
                <w:szCs w:val="16"/>
              </w:rPr>
              <w:t xml:space="preserve"> («от 100 тысяч рублей в месяц за одного робота»); R2Б — </w:t>
            </w:r>
            <w:hyperlink w:history="1" r:id="rId7o0z5hbmyx5kpmrepssly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1A42A8"/>
                  <w:sz w:val="16"/>
                  <w:szCs w:val="16"/>
                  <w:u w:val="single"/>
                </w:rPr>
                <w:t xml:space="preserve">https://r2b.company/blog/promyshlennyy-robot-uborschik-zachem-on-nuzhen-i-kak-rasschitat-okupaemost</w:t>
              </w:r>
            </w:hyperlink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74151"/>
                <w:sz w:val="16"/>
                <w:szCs w:val="16"/>
              </w:rPr>
              <w:t xml:space="preserve">, </w:t>
            </w:r>
            <w:hyperlink w:history="1" r:id="rId4_egc8z3wmgfvjnxeezkk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1A42A8"/>
                  <w:sz w:val="16"/>
                  <w:szCs w:val="16"/>
                  <w:u w:val="single"/>
                </w:rPr>
                <w:t xml:space="preserve">https://r2b.company/rent</w:t>
              </w:r>
            </w:hyperlink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74151"/>
                <w:sz w:val="16"/>
                <w:szCs w:val="16"/>
              </w:rPr>
              <w:t xml:space="preserve">; Вейбот Роботикс (Клинботикс), «Покупка и аренда» — </w:t>
            </w:r>
            <w:hyperlink w:history="1" r:id="rId7kzqzbvujxt988tp0los4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1A42A8"/>
                  <w:sz w:val="16"/>
                  <w:szCs w:val="16"/>
                  <w:u w:val="single"/>
                </w:rPr>
                <w:t xml:space="preserve">https://waybotrobotics.com/buy-rent</w:t>
              </w:r>
            </w:hyperlink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74151"/>
                <w:sz w:val="16"/>
                <w:szCs w:val="16"/>
              </w:rPr>
              <w:t xml:space="preserve">; цены роботов — каталог организатора; формула: медиана(100 000/2 700 000; 100 000/1 900 000; 100 000/1 500 000; 120 000/2 310 000). Медиана отношения опубликованной месячной ставки аренды к цене робота из каталога организатора по четырём тарифам: Ronavi H1500 (от 100 000 ₽ при 2,7 млн ₽), R2Б MARK 2 SE (от 100 000 ₽ при 1,9 млн ₽), Клинботикс 400 PRO (100 000 ₽ при 1,5 млн ₽), Клинботикс 600 (120 000 ₽ при 2,31 млн ₽); у Клинботикс это ставка со второго месяца, первый месяц дороже (260 000 и 400 000 ₽). Подставляется только по явному действию пользователя, с пометкой «оценка» и риском RAAS_ESTIMATE.</w:t>
            </w:r>
          </w:p>
        </w:tc>
      </w:tr>
    </w:tbl>
    <w:p>
      <w:pPr>
        <w:spacing w:after="60"/>
      </w:pPr>
    </w:p>
    <w:p>
      <w:pPr>
        <w:pStyle w:val="Heading3"/>
        <w:keepNext/>
        <w:outlineLvl w:val="2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Финансы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78"/>
        <w:gridCol w:w="3196"/>
        <w:gridCol w:w="1009"/>
        <w:gridCol w:w="1009"/>
        <w:gridCol w:w="823"/>
        <w:gridCol w:w="1523"/>
      </w:tblGrid>
      <w:tr>
        <w:trPr>
          <w:cantSplit/>
          <w:tblHeader/>
        </w:trPr>
        <w:tc>
          <w:tcPr>
            <w:tcW w:type="dxa" w:w="207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Ключ</w:t>
            </w:r>
          </w:p>
        </w:tc>
        <w:tc>
          <w:tcPr>
            <w:tcW w:type="dxa" w:w="319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Норматив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Значение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Диапазон</w:t>
            </w:r>
          </w:p>
        </w:tc>
        <w:tc>
          <w:tcPr>
            <w:tcW w:type="dxa" w:w="82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Ед.</w:t>
            </w:r>
          </w:p>
        </w:tc>
        <w:tc>
          <w:tcPr>
            <w:tcW w:type="dxa" w:w="152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Происхождение</w:t>
            </w:r>
          </w:p>
        </w:tc>
      </w:tr>
      <w:tr>
        <w:trPr>
          <w:cantSplit/>
          <w:tblHeader/>
        </w:trPr>
        <w:tc>
          <w:tcPr>
            <w:tcW w:type="dxa" w:w="9638"/>
            <w:gridSpan w:val="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↳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Источник / основание</w:t>
            </w:r>
          </w:p>
        </w:tc>
      </w:tr>
      <w:tr>
        <w:trPr>
          <w:cantSplit/>
        </w:trPr>
        <w:tc>
          <w:tcPr>
            <w:tcW w:type="dxa" w:w="2078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discountRate</w:t>
            </w:r>
          </w:p>
        </w:tc>
        <w:tc>
          <w:tcPr>
            <w:tcW w:type="dxa" w:w="3196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Ставка дисконтирования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0,12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0,08–0,2</w:t>
            </w:r>
          </w:p>
        </w:tc>
        <w:tc>
          <w:tcPr>
            <w:tcW w:type="dxa" w:w="823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доля в год</w:t>
            </w:r>
          </w:p>
        </w:tc>
        <w:tc>
          <w:tcPr>
            <w:tcW w:type="dxa" w:w="1523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Наш выбор</w:t>
            </w:r>
          </w:p>
        </w:tc>
      </w:tr>
      <w:tr>
        <w:trPr>
          <w:cantSplit/>
        </w:trPr>
        <w:tc>
          <w:tcPr>
            <w:tcW w:type="dxa" w:w="9638"/>
            <w:gridSpan w:val="6"/>
            <w:tcBorders>
              <w:top w:val="single" w:color="E3E7EE" w:sz="2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30"/>
              <w:left w:type="dxa" w:w="80"/>
              <w:bottom w:type="dxa" w:w="7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74151"/>
                <w:sz w:val="16"/>
                <w:szCs w:val="16"/>
              </w:rPr>
              <w:t xml:space="preserve">Ставка дисконтирования 12 % — наш выбор, а не цитата. Отражает стоимость денег для частного покупателя оборудования в рублёвой экономике: она обязана быть выше безрисковой ставки, потому что проект автоматизации рискованнее гособлигаций. Правильное значение зависит от структуры капитала конкретного покупателя, поэтому спорить с ним нужно подстановкой своей ставки, а не нашей защитой этой.</w:t>
            </w:r>
          </w:p>
        </w:tc>
      </w:tr>
      <w:tr>
        <w:trPr>
          <w:cantSplit/>
        </w:trPr>
        <w:tc>
          <w:tcPr>
            <w:tcW w:type="dxa" w:w="2078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serviceLifeYearsDefault</w:t>
            </w:r>
          </w:p>
        </w:tc>
        <w:tc>
          <w:tcPr>
            <w:tcW w:type="dxa" w:w="3196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Срок службы робота (если производитель не публикует)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7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5–10</w:t>
            </w:r>
          </w:p>
        </w:tc>
        <w:tc>
          <w:tcPr>
            <w:tcW w:type="dxa" w:w="823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лет</w:t>
            </w:r>
          </w:p>
        </w:tc>
        <w:tc>
          <w:tcPr>
            <w:tcW w:type="dxa" w:w="1523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Оценка</w:t>
            </w:r>
          </w:p>
        </w:tc>
      </w:tr>
      <w:tr>
        <w:trPr>
          <w:cantSplit/>
        </w:trPr>
        <w:tc>
          <w:tcPr>
            <w:tcW w:type="dxa" w:w="9638"/>
            <w:gridSpan w:val="6"/>
            <w:tcBorders>
              <w:top w:val="single" w:color="E3E7EE" w:sz="2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30"/>
              <w:left w:type="dxa" w:w="80"/>
              <w:bottom w:type="dxa" w:w="7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74151"/>
                <w:sz w:val="16"/>
                <w:szCs w:val="16"/>
              </w:rPr>
              <w:t xml:space="preserve">Срок службы производители публикуют редко: R2Б считает выгоду MARK 2 SE при сроке службы 5 лет, в паспорте робота «Пиксель» указано 7 лет. Берём 7 лет, как в модели v1; по истечении срока внутри горизонта TCO оборудование покупается заново.</w:t>
            </w:r>
          </w:p>
        </w:tc>
      </w:tr>
      <w:tr>
        <w:trPr>
          <w:cantSplit/>
        </w:trPr>
        <w:tc>
          <w:tcPr>
            <w:tcW w:type="dxa" w:w="2078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tcoMinYears</w:t>
            </w:r>
          </w:p>
        </w:tc>
        <w:tc>
          <w:tcPr>
            <w:tcW w:type="dxa" w:w="3196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Минимальный горизонт TCO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5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5–30</w:t>
            </w:r>
          </w:p>
        </w:tc>
        <w:tc>
          <w:tcPr>
            <w:tcW w:type="dxa" w:w="823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лет</w:t>
            </w:r>
          </w:p>
        </w:tc>
        <w:tc>
          <w:tcPr>
            <w:tcW w:type="dxa" w:w="1523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ТЗ</w:t>
            </w:r>
          </w:p>
        </w:tc>
      </w:tr>
      <w:tr>
        <w:trPr>
          <w:cantSplit/>
        </w:trPr>
        <w:tc>
          <w:tcPr>
            <w:tcW w:type="dxa" w:w="9638"/>
            <w:gridSpan w:val="6"/>
            <w:tcBorders>
              <w:top w:val="single" w:color="E3E7EE" w:sz="2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30"/>
              <w:left w:type="dxa" w:w="80"/>
              <w:bottom w:type="dxa" w:w="7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74151"/>
                <w:sz w:val="16"/>
                <w:szCs w:val="16"/>
              </w:rPr>
              <w:t xml:space="preserve">ТЗ §3.5.2. ТЗ требует считать TCO на горизонте не менее пяти лет, поэтому TCO считается за max(горизонт проекта, 5 лет) даже при горизонте окупаемости 3 года. Верхняя граница 30 лет — не норматив, а защита от опечатки при правке: денежные потоки считаются по годам.</w:t>
            </w:r>
          </w:p>
        </w:tc>
      </w:tr>
    </w:tbl>
    <w:p>
      <w:pPr>
        <w:spacing w:after="60"/>
      </w:pPr>
    </w:p>
    <w:p>
      <w:pPr>
        <w:pStyle w:val="Heading3"/>
        <w:keepNext/>
        <w:outlineLvl w:val="2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Интерпретация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60"/>
        <w:gridCol w:w="3576"/>
        <w:gridCol w:w="1009"/>
        <w:gridCol w:w="1009"/>
        <w:gridCol w:w="561"/>
        <w:gridCol w:w="1523"/>
      </w:tblGrid>
      <w:tr>
        <w:trPr>
          <w:cantSplit/>
          <w:tblHeader/>
        </w:trPr>
        <w:tc>
          <w:tcPr>
            <w:tcW w:type="dxa" w:w="196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Ключ</w:t>
            </w:r>
          </w:p>
        </w:tc>
        <w:tc>
          <w:tcPr>
            <w:tcW w:type="dxa" w:w="357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Норматив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Значение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Диапазон</w:t>
            </w:r>
          </w:p>
        </w:tc>
        <w:tc>
          <w:tcPr>
            <w:tcW w:type="dxa" w:w="56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Ед.</w:t>
            </w:r>
          </w:p>
        </w:tc>
        <w:tc>
          <w:tcPr>
            <w:tcW w:type="dxa" w:w="152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Происхождение</w:t>
            </w:r>
          </w:p>
        </w:tc>
      </w:tr>
      <w:tr>
        <w:trPr>
          <w:cantSplit/>
          <w:tblHeader/>
        </w:trPr>
        <w:tc>
          <w:tcPr>
            <w:tcW w:type="dxa" w:w="9638"/>
            <w:gridSpan w:val="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↳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Источник / основание</w:t>
            </w:r>
          </w:p>
        </w:tc>
      </w:tr>
      <w:tr>
        <w:trPr>
          <w:cantSplit/>
        </w:trPr>
        <w:tc>
          <w:tcPr>
            <w:tcW w:type="dxa" w:w="1960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paybackBandFastYears</w:t>
            </w:r>
          </w:p>
        </w:tc>
        <w:tc>
          <w:tcPr>
            <w:tcW w:type="dxa" w:w="3576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Граница «быстрой» окупаемости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3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0–…</w:t>
            </w:r>
          </w:p>
        </w:tc>
        <w:tc>
          <w:tcPr>
            <w:tcW w:type="dxa" w:w="561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лет</w:t>
            </w:r>
          </w:p>
        </w:tc>
        <w:tc>
          <w:tcPr>
            <w:tcW w:type="dxa" w:w="1523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ТЗ</w:t>
            </w:r>
          </w:p>
        </w:tc>
      </w:tr>
      <w:tr>
        <w:trPr>
          <w:cantSplit/>
        </w:trPr>
        <w:tc>
          <w:tcPr>
            <w:tcW w:type="dxa" w:w="9638"/>
            <w:gridSpan w:val="6"/>
            <w:tcBorders>
              <w:top w:val="single" w:color="E3E7EE" w:sz="2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30"/>
              <w:left w:type="dxa" w:w="80"/>
              <w:bottom w:type="dxa" w:w="7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74151"/>
                <w:sz w:val="16"/>
                <w:szCs w:val="16"/>
              </w:rPr>
              <w:t xml:space="preserve">ТЗ §3.5.7. ТЗ предлагает настраиваемые интервалы окупаемости «до 3 лет, 3–5 лет и более 5 лет» и запрещает строить рекомендацию только на жёстком пороге; интервал — описание, не критерий.</w:t>
            </w:r>
          </w:p>
        </w:tc>
      </w:tr>
      <w:tr>
        <w:trPr>
          <w:cantSplit/>
        </w:trPr>
        <w:tc>
          <w:tcPr>
            <w:tcW w:type="dxa" w:w="1960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paybackBandSlowYears</w:t>
            </w:r>
          </w:p>
        </w:tc>
        <w:tc>
          <w:tcPr>
            <w:tcW w:type="dxa" w:w="3576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Граница «долгой» окупаемости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5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0–…</w:t>
            </w:r>
          </w:p>
        </w:tc>
        <w:tc>
          <w:tcPr>
            <w:tcW w:type="dxa" w:w="561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лет</w:t>
            </w:r>
          </w:p>
        </w:tc>
        <w:tc>
          <w:tcPr>
            <w:tcW w:type="dxa" w:w="1523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ТЗ</w:t>
            </w:r>
          </w:p>
        </w:tc>
      </w:tr>
      <w:tr>
        <w:trPr>
          <w:cantSplit/>
        </w:trPr>
        <w:tc>
          <w:tcPr>
            <w:tcW w:type="dxa" w:w="9638"/>
            <w:gridSpan w:val="6"/>
            <w:tcBorders>
              <w:top w:val="single" w:color="E3E7EE" w:sz="2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30"/>
              <w:left w:type="dxa" w:w="80"/>
              <w:bottom w:type="dxa" w:w="7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74151"/>
                <w:sz w:val="16"/>
                <w:szCs w:val="16"/>
              </w:rPr>
              <w:t xml:space="preserve">ТЗ §3.5.7. Верхняя граница среднего интервала из примера ТЗ «3–5 лет»; окупаемость дольше описывается как «долгая», но сценарий не отбрасывается. Если правка сделает её меньше границы «быстрой», resolveNorms поднимет её до этой границы, чтобы интервалы не перевернулись.</w:t>
            </w:r>
          </w:p>
        </w:tc>
      </w:tr>
      <w:tr>
        <w:trPr>
          <w:cantSplit/>
        </w:trPr>
        <w:tc>
          <w:tcPr>
            <w:tcW w:type="dxa" w:w="1960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sensitivityDeltaPct</w:t>
            </w:r>
          </w:p>
        </w:tc>
        <w:tc>
          <w:tcPr>
            <w:tcW w:type="dxa" w:w="3576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Шаг чувствительности, если нет диапазона организатора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0,2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0–1</w:t>
            </w:r>
          </w:p>
        </w:tc>
        <w:tc>
          <w:tcPr>
            <w:tcW w:type="dxa" w:w="561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доля</w:t>
            </w:r>
          </w:p>
        </w:tc>
        <w:tc>
          <w:tcPr>
            <w:tcW w:type="dxa" w:w="1523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Наш выбор</w:t>
            </w:r>
          </w:p>
        </w:tc>
      </w:tr>
      <w:tr>
        <w:trPr>
          <w:cantSplit/>
        </w:trPr>
        <w:tc>
          <w:tcPr>
            <w:tcW w:type="dxa" w:w="9638"/>
            <w:gridSpan w:val="6"/>
            <w:tcBorders>
              <w:top w:val="single" w:color="E3E7EE" w:sz="2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30"/>
              <w:left w:type="dxa" w:w="80"/>
              <w:bottom w:type="dxa" w:w="7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74151"/>
                <w:sz w:val="16"/>
                <w:szCs w:val="16"/>
              </w:rPr>
              <w:t xml:space="preserve">ТЗ требует чувствительность минимум к трём параметрам, но ширину не задаёт. Где у организатора есть min/max, берутся они; иначе ±20 % — наш выбор, достаточно широкий, чтобы показать смену знака, и не выходящий за правдоподобные значения.</w:t>
            </w:r>
          </w:p>
        </w:tc>
      </w:tr>
    </w:tbl>
    <w:p>
      <w:pPr>
        <w:spacing w:after="60"/>
      </w:pPr>
    </w:p>
    <w:p>
      <w:pPr>
        <w:pStyle w:val="Heading3"/>
        <w:keepNext/>
        <w:outlineLvl w:val="2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Имитация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15"/>
        <w:gridCol w:w="3521"/>
        <w:gridCol w:w="1009"/>
        <w:gridCol w:w="1009"/>
        <w:gridCol w:w="561"/>
        <w:gridCol w:w="1523"/>
      </w:tblGrid>
      <w:tr>
        <w:trPr>
          <w:cantSplit/>
          <w:tblHeader/>
        </w:trPr>
        <w:tc>
          <w:tcPr>
            <w:tcW w:type="dxa" w:w="201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Ключ</w:t>
            </w:r>
          </w:p>
        </w:tc>
        <w:tc>
          <w:tcPr>
            <w:tcW w:type="dxa" w:w="352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Норматив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Значение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Диапазон</w:t>
            </w:r>
          </w:p>
        </w:tc>
        <w:tc>
          <w:tcPr>
            <w:tcW w:type="dxa" w:w="56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Ед.</w:t>
            </w:r>
          </w:p>
        </w:tc>
        <w:tc>
          <w:tcPr>
            <w:tcW w:type="dxa" w:w="152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Происхождение</w:t>
            </w:r>
          </w:p>
        </w:tc>
      </w:tr>
      <w:tr>
        <w:trPr>
          <w:cantSplit/>
          <w:tblHeader/>
        </w:trPr>
        <w:tc>
          <w:tcPr>
            <w:tcW w:type="dxa" w:w="9638"/>
            <w:gridSpan w:val="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↳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Источник / основание</w:t>
            </w:r>
          </w:p>
        </w:tc>
      </w:tr>
      <w:tr>
        <w:trPr>
          <w:cantSplit/>
        </w:trPr>
        <w:tc>
          <w:tcPr>
            <w:tcW w:type="dxa" w:w="2015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simServedShareMin</w:t>
            </w:r>
          </w:p>
        </w:tc>
        <w:tc>
          <w:tcPr>
            <w:tcW w:type="dxa" w:w="3521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Минимальная доля обслуженных заданий для подтверждения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0,97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0–1</w:t>
            </w:r>
          </w:p>
        </w:tc>
        <w:tc>
          <w:tcPr>
            <w:tcW w:type="dxa" w:w="561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доля</w:t>
            </w:r>
          </w:p>
        </w:tc>
        <w:tc>
          <w:tcPr>
            <w:tcW w:type="dxa" w:w="1523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Оценка</w:t>
            </w:r>
          </w:p>
        </w:tc>
      </w:tr>
      <w:tr>
        <w:trPr>
          <w:cantSplit/>
        </w:trPr>
        <w:tc>
          <w:tcPr>
            <w:tcW w:type="dxa" w:w="9638"/>
            <w:gridSpan w:val="6"/>
            <w:tcBorders>
              <w:top w:val="single" w:color="E3E7EE" w:sz="2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30"/>
              <w:left w:type="dxa" w:w="80"/>
              <w:bottom w:type="dxa" w:w="7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74151"/>
                <w:sz w:val="16"/>
                <w:szCs w:val="16"/>
              </w:rPr>
              <w:t xml:space="preserve">Имитация подтверждает парк, если за пиковое окно обслужено не менее 97 % поступивших заданий. Отраслевого стандарта нет; порог — наша оценка, допускающая хвост заданий, поступивших в последние минуты окна.</w:t>
            </w:r>
          </w:p>
        </w:tc>
      </w:tr>
      <w:tr>
        <w:trPr>
          <w:cantSplit/>
        </w:trPr>
        <w:tc>
          <w:tcPr>
            <w:tcW w:type="dxa" w:w="2015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simP95WaitMaxMin</w:t>
            </w:r>
          </w:p>
        </w:tc>
        <w:tc>
          <w:tcPr>
            <w:tcW w:type="dxa" w:w="3521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Предельное ожидание задания (95-й перцентиль)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10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0–…</w:t>
            </w:r>
          </w:p>
        </w:tc>
        <w:tc>
          <w:tcPr>
            <w:tcW w:type="dxa" w:w="561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мин</w:t>
            </w:r>
          </w:p>
        </w:tc>
        <w:tc>
          <w:tcPr>
            <w:tcW w:type="dxa" w:w="1523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Оценка</w:t>
            </w:r>
          </w:p>
        </w:tc>
      </w:tr>
      <w:tr>
        <w:trPr>
          <w:cantSplit/>
        </w:trPr>
        <w:tc>
          <w:tcPr>
            <w:tcW w:type="dxa" w:w="9638"/>
            <w:gridSpan w:val="6"/>
            <w:tcBorders>
              <w:top w:val="single" w:color="E3E7EE" w:sz="2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30"/>
              <w:left w:type="dxa" w:w="80"/>
              <w:bottom w:type="dxa" w:w="7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74151"/>
                <w:sz w:val="16"/>
                <w:szCs w:val="16"/>
              </w:rPr>
              <w:t xml:space="preserve">95 % заданий должны начинать выполняться не позже чем через 10 минут после поступления. Норматива нет; 10 минут — оценка допустимой задержки паллеты у ворот в пиковый час.</w:t>
            </w:r>
          </w:p>
        </w:tc>
      </w:tr>
      <w:tr>
        <w:trPr>
          <w:cantSplit/>
        </w:trPr>
        <w:tc>
          <w:tcPr>
            <w:tcW w:type="dxa" w:w="2015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simOversizedIdleShare</w:t>
            </w:r>
          </w:p>
        </w:tc>
        <w:tc>
          <w:tcPr>
            <w:tcW w:type="dxa" w:w="3521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Доля простоя, при которой парк избыточен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0,4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0–1</w:t>
            </w:r>
          </w:p>
        </w:tc>
        <w:tc>
          <w:tcPr>
            <w:tcW w:type="dxa" w:w="561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доля</w:t>
            </w:r>
          </w:p>
        </w:tc>
        <w:tc>
          <w:tcPr>
            <w:tcW w:type="dxa" w:w="1523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Оценка</w:t>
            </w:r>
          </w:p>
        </w:tc>
      </w:tr>
      <w:tr>
        <w:trPr>
          <w:cantSplit/>
        </w:trPr>
        <w:tc>
          <w:tcPr>
            <w:tcW w:type="dxa" w:w="9638"/>
            <w:gridSpan w:val="6"/>
            <w:tcBorders>
              <w:top w:val="single" w:color="E3E7EE" w:sz="2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30"/>
              <w:left w:type="dxa" w:w="80"/>
              <w:bottom w:type="dxa" w:w="7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74151"/>
                <w:sz w:val="16"/>
                <w:szCs w:val="16"/>
              </w:rPr>
              <w:t xml:space="preserve">Если даже в пик роботы простаивают 40 % времени и больше, парк избыточен и его стоит уменьшить. Порог — наша оценка; вместе с перебором минимального парка он показывает запас.</w:t>
            </w:r>
          </w:p>
        </w:tc>
      </w:tr>
      <w:tr>
        <w:trPr>
          <w:cantSplit/>
        </w:trPr>
        <w:tc>
          <w:tcPr>
            <w:tcW w:type="dxa" w:w="2015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simWarmupMin</w:t>
            </w:r>
          </w:p>
        </w:tc>
        <w:tc>
          <w:tcPr>
            <w:tcW w:type="dxa" w:w="3521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Прогрев имитации на среднем потоке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15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0–60</w:t>
            </w:r>
          </w:p>
        </w:tc>
        <w:tc>
          <w:tcPr>
            <w:tcW w:type="dxa" w:w="561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мин</w:t>
            </w:r>
          </w:p>
        </w:tc>
        <w:tc>
          <w:tcPr>
            <w:tcW w:type="dxa" w:w="1523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Оценка</w:t>
            </w:r>
          </w:p>
        </w:tc>
      </w:tr>
      <w:tr>
        <w:trPr>
          <w:cantSplit/>
        </w:trPr>
        <w:tc>
          <w:tcPr>
            <w:tcW w:type="dxa" w:w="9638"/>
            <w:gridSpan w:val="6"/>
            <w:tcBorders>
              <w:top w:val="single" w:color="E3E7EE" w:sz="2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30"/>
              <w:left w:type="dxa" w:w="80"/>
              <w:bottom w:type="dxa" w:w="7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74151"/>
                <w:sz w:val="16"/>
                <w:szCs w:val="16"/>
              </w:rPr>
              <w:t xml:space="preserve">Первые 15 минут поток идёт со средней интенсивностью, чтобы роботы разошлись по складу и заряд распределился; эти минуты в метрики не входят. Длительность — оценка. Граница 60 минут ограничивает правку, чтобы прогон в браузере не затягивался.</w:t>
            </w:r>
          </w:p>
        </w:tc>
      </w:tr>
      <w:tr>
        <w:trPr>
          <w:cantSplit/>
        </w:trPr>
        <w:tc>
          <w:tcPr>
            <w:tcW w:type="dxa" w:w="2015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simPeakMin</w:t>
            </w:r>
          </w:p>
        </w:tc>
        <w:tc>
          <w:tcPr>
            <w:tcW w:type="dxa" w:w="3521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Длительность пикового окна имитации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120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30–480</w:t>
            </w:r>
          </w:p>
        </w:tc>
        <w:tc>
          <w:tcPr>
            <w:tcW w:type="dxa" w:w="561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мин</w:t>
            </w:r>
          </w:p>
        </w:tc>
        <w:tc>
          <w:tcPr>
            <w:tcW w:type="dxa" w:w="1523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Оценка</w:t>
            </w:r>
          </w:p>
        </w:tc>
      </w:tr>
      <w:tr>
        <w:trPr>
          <w:cantSplit/>
        </w:trPr>
        <w:tc>
          <w:tcPr>
            <w:tcW w:type="dxa" w:w="9638"/>
            <w:gridSpan w:val="6"/>
            <w:tcBorders>
              <w:top w:val="single" w:color="E3E7EE" w:sz="2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30"/>
              <w:left w:type="dxa" w:w="80"/>
              <w:bottom w:type="dxa" w:w="7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74151"/>
                <w:sz w:val="16"/>
                <w:szCs w:val="16"/>
              </w:rPr>
              <w:t xml:space="preserve">Два часа на пиковом потоке: достаточно, чтобы проявились очередь и уход роботов на зарядку при автономности в несколько часов. Длительность — оценка. Границы 30–480 минут ограничивают правку: нулевое окно сделало бы достигнутый поток неопределённым (деление на длительность окна), а окно длиннее восьмичасовой смены затягивает прогон в браузере.</w:t>
            </w:r>
          </w:p>
        </w:tc>
      </w:tr>
      <w:tr>
        <w:trPr>
          <w:cantSplit/>
        </w:trPr>
        <w:tc>
          <w:tcPr>
            <w:tcW w:type="dxa" w:w="2015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chargeStartSoc</w:t>
            </w:r>
          </w:p>
        </w:tc>
        <w:tc>
          <w:tcPr>
            <w:tcW w:type="dxa" w:w="3521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Заряд, при котором робот уходит на зарядку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0,2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0–0,95</w:t>
            </w:r>
          </w:p>
        </w:tc>
        <w:tc>
          <w:tcPr>
            <w:tcW w:type="dxa" w:w="561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доля</w:t>
            </w:r>
          </w:p>
        </w:tc>
        <w:tc>
          <w:tcPr>
            <w:tcW w:type="dxa" w:w="1523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Оценка</w:t>
            </w:r>
          </w:p>
        </w:tc>
      </w:tr>
      <w:tr>
        <w:trPr>
          <w:cantSplit/>
        </w:trPr>
        <w:tc>
          <w:tcPr>
            <w:tcW w:type="dxa" w:w="9638"/>
            <w:gridSpan w:val="6"/>
            <w:tcBorders>
              <w:top w:val="single" w:color="E3E7EE" w:sz="2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30"/>
              <w:left w:type="dxa" w:w="80"/>
              <w:bottom w:type="dxa" w:w="7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74151"/>
                <w:sz w:val="16"/>
                <w:szCs w:val="16"/>
              </w:rPr>
              <w:t xml:space="preserve">Робот уходит на зарядку при 20 % заряда. Производители порог не публикуют, и он настраивается в системе управления парком; значение — оценка типовой настройки. Порог возврата всегда выше порога ухода минимум на 5 п.п. (см. resolveNorms), поэтому верхняя граница 0,95.</w:t>
            </w:r>
          </w:p>
        </w:tc>
      </w:tr>
      <w:tr>
        <w:trPr>
          <w:cantSplit/>
        </w:trPr>
        <w:tc>
          <w:tcPr>
            <w:tcW w:type="dxa" w:w="2015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chargeStopSoc</w:t>
            </w:r>
          </w:p>
        </w:tc>
        <w:tc>
          <w:tcPr>
            <w:tcW w:type="dxa" w:w="3521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Заряд, при котором робот возвращается в работу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0,9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0,05–1</w:t>
            </w:r>
          </w:p>
        </w:tc>
        <w:tc>
          <w:tcPr>
            <w:tcW w:type="dxa" w:w="561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доля</w:t>
            </w:r>
          </w:p>
        </w:tc>
        <w:tc>
          <w:tcPr>
            <w:tcW w:type="dxa" w:w="1523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Оценка</w:t>
            </w:r>
          </w:p>
        </w:tc>
      </w:tr>
      <w:tr>
        <w:trPr>
          <w:cantSplit/>
        </w:trPr>
        <w:tc>
          <w:tcPr>
            <w:tcW w:type="dxa" w:w="9638"/>
            <w:gridSpan w:val="6"/>
            <w:tcBorders>
              <w:top w:val="single" w:color="E3E7EE" w:sz="2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30"/>
              <w:left w:type="dxa" w:w="80"/>
              <w:bottom w:type="dxa" w:w="7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74151"/>
                <w:sz w:val="16"/>
                <w:szCs w:val="16"/>
              </w:rPr>
              <w:t xml:space="preserve">Робот возвращается в работу при 90 % заряда: последние проценты заряжаются медленнее. Порог настраивается в системе управления парком; значение — оценка типовой настройки. Если правка сделает его не выше порога ухода, resolveNorms поднимет его до порога ухода + 5 п.п., иначе робот метался бы между работой и зарядкой.</w:t>
            </w:r>
          </w:p>
        </w:tc>
      </w:tr>
    </w:tbl>
    <w:p>
      <w:pPr>
        <w:spacing w:after="60"/>
      </w:pPr>
    </w:p>
    <w:p>
      <w:pPr>
        <w:pStyle w:val="Heading3"/>
        <w:keepNext/>
        <w:outlineLvl w:val="2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Подбор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45"/>
        <w:gridCol w:w="3591"/>
        <w:gridCol w:w="1009"/>
        <w:gridCol w:w="1009"/>
        <w:gridCol w:w="561"/>
        <w:gridCol w:w="1523"/>
      </w:tblGrid>
      <w:tr>
        <w:trPr>
          <w:cantSplit/>
          <w:tblHeader/>
        </w:trPr>
        <w:tc>
          <w:tcPr>
            <w:tcW w:type="dxa" w:w="194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Ключ</w:t>
            </w:r>
          </w:p>
        </w:tc>
        <w:tc>
          <w:tcPr>
            <w:tcW w:type="dxa" w:w="359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Норматив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Значение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Диапазон</w:t>
            </w:r>
          </w:p>
        </w:tc>
        <w:tc>
          <w:tcPr>
            <w:tcW w:type="dxa" w:w="56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Ед.</w:t>
            </w:r>
          </w:p>
        </w:tc>
        <w:tc>
          <w:tcPr>
            <w:tcW w:type="dxa" w:w="152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Происхождение</w:t>
            </w:r>
          </w:p>
        </w:tc>
      </w:tr>
      <w:tr>
        <w:trPr>
          <w:cantSplit/>
          <w:tblHeader/>
        </w:trPr>
        <w:tc>
          <w:tcPr>
            <w:tcW w:type="dxa" w:w="9638"/>
            <w:gridSpan w:val="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↳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Источник / основание</w:t>
            </w:r>
          </w:p>
        </w:tc>
      </w:tr>
      <w:tr>
        <w:trPr>
          <w:cantSplit/>
        </w:trPr>
        <w:tc>
          <w:tcPr>
            <w:tcW w:type="dxa" w:w="1945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scoreWeightEcon</w:t>
            </w:r>
          </w:p>
        </w:tc>
        <w:tc>
          <w:tcPr>
            <w:tcW w:type="dxa" w:w="3591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Вес фактора «Экономика» в балле подбора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0,4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0–1</w:t>
            </w:r>
          </w:p>
        </w:tc>
        <w:tc>
          <w:tcPr>
            <w:tcW w:type="dxa" w:w="561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доля</w:t>
            </w:r>
          </w:p>
        </w:tc>
        <w:tc>
          <w:tcPr>
            <w:tcW w:type="dxa" w:w="1523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Наш выбор</w:t>
            </w:r>
          </w:p>
        </w:tc>
      </w:tr>
      <w:tr>
        <w:trPr>
          <w:cantSplit/>
        </w:trPr>
        <w:tc>
          <w:tcPr>
            <w:tcW w:type="dxa" w:w="9638"/>
            <w:gridSpan w:val="6"/>
            <w:tcBorders>
              <w:top w:val="single" w:color="E3E7EE" w:sz="2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30"/>
              <w:left w:type="dxa" w:w="80"/>
              <w:bottom w:type="dxa" w:w="7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74151"/>
                <w:sz w:val="16"/>
                <w:szCs w:val="16"/>
              </w:rPr>
              <w:t xml:space="preserve">Экономика — главный вопрос заказчика, поэтому NPV покупки весит больше всего. Веса балла — наш выбор, а не факт; вклад каждого фактора показывается отдельно, чтобы с ранжированием можно было спорить по существу.</w:t>
            </w:r>
          </w:p>
        </w:tc>
      </w:tr>
      <w:tr>
        <w:trPr>
          <w:cantSplit/>
        </w:trPr>
        <w:tc>
          <w:tcPr>
            <w:tcW w:type="dxa" w:w="1945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scoreWeightData</w:t>
            </w:r>
          </w:p>
        </w:tc>
        <w:tc>
          <w:tcPr>
            <w:tcW w:type="dxa" w:w="3591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Вес фактора «Данные» в балле подбора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0,2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0–1</w:t>
            </w:r>
          </w:p>
        </w:tc>
        <w:tc>
          <w:tcPr>
            <w:tcW w:type="dxa" w:w="561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доля</w:t>
            </w:r>
          </w:p>
        </w:tc>
        <w:tc>
          <w:tcPr>
            <w:tcW w:type="dxa" w:w="1523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Наш выбор</w:t>
            </w:r>
          </w:p>
        </w:tc>
      </w:tr>
      <w:tr>
        <w:trPr>
          <w:cantSplit/>
        </w:trPr>
        <w:tc>
          <w:tcPr>
            <w:tcW w:type="dxa" w:w="9638"/>
            <w:gridSpan w:val="6"/>
            <w:tcBorders>
              <w:top w:val="single" w:color="E3E7EE" w:sz="2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30"/>
              <w:left w:type="dxa" w:w="80"/>
              <w:bottom w:type="dxa" w:w="7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74151"/>
                <w:sz w:val="16"/>
                <w:szCs w:val="16"/>
              </w:rPr>
              <w:t xml:space="preserve">Полнота и подтверждённость характеристик: продукт с неподтверждёнными числами не должен обгонять проверенный только за счёт оптимистичных данных. Вес — наш выбор.</w:t>
            </w:r>
          </w:p>
        </w:tc>
      </w:tr>
      <w:tr>
        <w:trPr>
          <w:cantSplit/>
        </w:trPr>
        <w:tc>
          <w:tcPr>
            <w:tcW w:type="dxa" w:w="1945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scoreWeightMaturity</w:t>
            </w:r>
          </w:p>
        </w:tc>
        <w:tc>
          <w:tcPr>
            <w:tcW w:type="dxa" w:w="3591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Вес фактора «Зрелость» в балле подбора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0,15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0–1</w:t>
            </w:r>
          </w:p>
        </w:tc>
        <w:tc>
          <w:tcPr>
            <w:tcW w:type="dxa" w:w="561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доля</w:t>
            </w:r>
          </w:p>
        </w:tc>
        <w:tc>
          <w:tcPr>
            <w:tcW w:type="dxa" w:w="1523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Наш выбор</w:t>
            </w:r>
          </w:p>
        </w:tc>
      </w:tr>
      <w:tr>
        <w:trPr>
          <w:cantSplit/>
        </w:trPr>
        <w:tc>
          <w:tcPr>
            <w:tcW w:type="dxa" w:w="9638"/>
            <w:gridSpan w:val="6"/>
            <w:tcBorders>
              <w:top w:val="single" w:color="E3E7EE" w:sz="2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30"/>
              <w:left w:type="dxa" w:w="80"/>
              <w:bottom w:type="dxa" w:w="7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74151"/>
                <w:sz w:val="16"/>
                <w:szCs w:val="16"/>
              </w:rPr>
              <w:t xml:space="preserve">Серийная эксплуатация надёжнее пилота: статус из каталога организатора учитывается отдельным фактором. Вес — наш выбор.</w:t>
            </w:r>
          </w:p>
        </w:tc>
      </w:tr>
      <w:tr>
        <w:trPr>
          <w:cantSplit/>
        </w:trPr>
        <w:tc>
          <w:tcPr>
            <w:tcW w:type="dxa" w:w="1945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scoreWeightMargin</w:t>
            </w:r>
          </w:p>
        </w:tc>
        <w:tc>
          <w:tcPr>
            <w:tcW w:type="dxa" w:w="3591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Вес фактора «Запас» в балле подбора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0,15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0–1</w:t>
            </w:r>
          </w:p>
        </w:tc>
        <w:tc>
          <w:tcPr>
            <w:tcW w:type="dxa" w:w="561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доля</w:t>
            </w:r>
          </w:p>
        </w:tc>
        <w:tc>
          <w:tcPr>
            <w:tcW w:type="dxa" w:w="1523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Наш выбор</w:t>
            </w:r>
          </w:p>
        </w:tc>
      </w:tr>
      <w:tr>
        <w:trPr>
          <w:cantSplit/>
        </w:trPr>
        <w:tc>
          <w:tcPr>
            <w:tcW w:type="dxa" w:w="9638"/>
            <w:gridSpan w:val="6"/>
            <w:tcBorders>
              <w:top w:val="single" w:color="E3E7EE" w:sz="2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30"/>
              <w:left w:type="dxa" w:w="80"/>
              <w:bottom w:type="dxa" w:w="7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74151"/>
                <w:sz w:val="16"/>
                <w:szCs w:val="16"/>
              </w:rPr>
              <w:t xml:space="preserve">Запас по грузоподъёмности и ширине прохода: робот на пределе возможностей хуже переносит отклонения реального объекта от паспорта. Вес — наш выбор.</w:t>
            </w:r>
          </w:p>
        </w:tc>
      </w:tr>
      <w:tr>
        <w:trPr>
          <w:cantSplit/>
        </w:trPr>
        <w:tc>
          <w:tcPr>
            <w:tcW w:type="dxa" w:w="1945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5"/>
                <w:szCs w:val="15"/>
                <w:shd w:fill="EEF1F6" w:color="auto" w:val="clear"/>
              </w:rPr>
              <w:t xml:space="preserve">scoreWeightCases</w:t>
            </w:r>
          </w:p>
        </w:tc>
        <w:tc>
          <w:tcPr>
            <w:tcW w:type="dxa" w:w="3591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Вес фактора «Кейсы» в балле подбора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0,1</w:t>
            </w:r>
          </w:p>
        </w:tc>
        <w:tc>
          <w:tcPr>
            <w:tcW w:type="dxa" w:w="1009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0–1</w:t>
            </w:r>
          </w:p>
        </w:tc>
        <w:tc>
          <w:tcPr>
            <w:tcW w:type="dxa" w:w="561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доля</w:t>
            </w:r>
          </w:p>
        </w:tc>
        <w:tc>
          <w:tcPr>
            <w:tcW w:type="dxa" w:w="1523"/>
            <w:tcBorders>
              <w:top w:val="single" w:color="C8CFDB" w:sz="4"/>
              <w:left w:val="single" w:color="C8CFDB" w:sz="4"/>
              <w:bottom w:val="single" w:color="E3E7EE" w:sz="2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Наш выбор</w:t>
            </w:r>
          </w:p>
        </w:tc>
      </w:tr>
      <w:tr>
        <w:trPr>
          <w:cantSplit/>
        </w:trPr>
        <w:tc>
          <w:tcPr>
            <w:tcW w:type="dxa" w:w="9638"/>
            <w:gridSpan w:val="6"/>
            <w:tcBorders>
              <w:top w:val="single" w:color="E3E7EE" w:sz="2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30"/>
              <w:left w:type="dxa" w:w="80"/>
              <w:bottom w:type="dxa" w:w="7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74151"/>
                <w:sz w:val="16"/>
                <w:szCs w:val="16"/>
              </w:rPr>
              <w:t xml:space="preserve">Наличие опубликованных внедрений: слабый, но полезный сигнал зрелости, поэтому вес наименьший. Вес — наш выбор; сумма весов равна 1. Если после правки сумма отличается от 1, resolveNorms делит каждый вес на сумму, и балл остаётся в пределах 0–100; если все веса обнулены, берутся веса по умолчанию.</w:t>
            </w:r>
          </w:p>
        </w:tc>
      </w:tr>
    </w:tbl>
    <w:p>
      <w:pPr>
        <w:spacing w:after="60"/>
      </w:pPr>
    </w:p>
    <w:p>
      <w:pPr>
        <w:pStyle w:val="Heading1"/>
        <w:pageBreakBefore/>
        <w:outlineLvl w:val="0"/>
      </w:pPr>
      <w:bookmarkStart w:name="ch5" w:id="1"/>
      <w:r>
        <w:t xml:space="preserve">5. API и интеграции</w:t>
      </w:r>
      <w:bookmarkEnd w:id="1"/>
    </w:p>
    <w:p>
      <w:pPr>
        <w:pBdr>
          <w:bottom w:val="single" w:color="C8CFDB" w:sz="4" w:space="6"/>
        </w:pBdr>
        <w:spacing w:after="200"/>
      </w:pPr>
      <w:r>
        <w:rPr>
          <w:i/>
          <w:iCs/>
          <w:color w:val="6B7280"/>
          <w:sz w:val="17"/>
          <w:szCs w:val="17"/>
        </w:rPr>
        <w:t xml:space="preserve">Источник: docs/INTEGRATIONS.md. Ссылки «раздел N» внутри главы указывают на её разделы. Требования: ТЗ §6.3, §3.8, §4.2.5.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Документ описывает, как платформа обменивается данными с внешними системами (ТЗ §3.8.1–§3.8.5,
§4.2.5): что уже работает через API v1, как подключить WMS, ERP и 1С, мониторинг и аналитику
ФЦ БАС, как устроена безопасность и что пока не построено.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Описание для людей: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страница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/api-docs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— все методы с доступом, параметрами и примерами
запросов и ответов.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Машиночитаемое описание: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GET /api/v1/openapi.json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(OpenAPI 3.1). Из него генерируются
клиенты, его открывают Swagger UI и Redoc.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Описание, страница и маршруты не расходятся: страница строится из того же объекта
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lib/api/openapi.ts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а тест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lib/api/openapi.test.ts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проверяет, что каждый обработчик в
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app/api/v1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описан и каждое описание имеет обработчик.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24575" cy="3448050"/>
            <wp:effectExtent t="0" r="0" b="0" l="0"/>
            <wp:docPr id="1" name="d-api.png" descr="Страница /api-docs — описание API v1, построенное из того же объекта, что и /api/v1/openapi.json" title="Страница /api-docs — описание API v1, построенное из того же объекта, что и /api/v1/openapi.j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Рисунок 5 — Страница /api-docs — описание API v1, построенное из того же объекта, что и /api/v1/openapi.json</w:t>
      </w:r>
    </w:p>
    <w:p>
      <w:pPr>
        <w:pStyle w:val="Heading2"/>
        <w:keepNext/>
        <w:outlineLvl w:val="1"/>
      </w:pPr>
      <w:bookmarkStart w:name="toc34" w:id="1"/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1. Состав API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34"/>
        <w:gridCol w:w="2949"/>
        <w:gridCol w:w="1900"/>
        <w:gridCol w:w="4055"/>
      </w:tblGrid>
      <w:tr>
        <w:trPr>
          <w:cantSplit/>
          <w:tblHeader/>
        </w:trPr>
        <w:tc>
          <w:tcPr>
            <w:tcW w:type="dxa" w:w="73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7"/>
                <w:szCs w:val="17"/>
              </w:rPr>
              <w:t xml:space="preserve">Метод</w:t>
            </w:r>
          </w:p>
        </w:tc>
        <w:tc>
          <w:tcPr>
            <w:tcW w:type="dxa" w:w="294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7"/>
                <w:szCs w:val="17"/>
              </w:rPr>
              <w:t xml:space="preserve">Путь</w:t>
            </w:r>
          </w:p>
        </w:tc>
        <w:tc>
          <w:tcPr>
            <w:tcW w:type="dxa" w:w="190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7"/>
                <w:szCs w:val="17"/>
              </w:rPr>
              <w:t xml:space="preserve">Доступ</w:t>
            </w:r>
          </w:p>
        </w:tc>
        <w:tc>
          <w:tcPr>
            <w:tcW w:type="dxa" w:w="405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7"/>
                <w:szCs w:val="17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73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GET</w:t>
            </w:r>
          </w:p>
        </w:tc>
        <w:tc>
          <w:tcPr>
            <w:tcW w:type="dxa" w:w="294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/api/v1/catalog</w:t>
            </w:r>
          </w:p>
        </w:tc>
        <w:tc>
          <w:tcPr>
            <w:tcW w:type="dxa" w:w="190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гость</w:t>
            </w:r>
          </w:p>
        </w:tc>
        <w:tc>
          <w:tcPr>
            <w:tcW w:type="dxa" w:w="405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Каталог с фильтрами, поиском, сортировкой, страницами по 50</w:t>
            </w:r>
          </w:p>
        </w:tc>
      </w:tr>
      <w:tr>
        <w:trPr>
          <w:cantSplit/>
        </w:trPr>
        <w:tc>
          <w:tcPr>
            <w:tcW w:type="dxa" w:w="73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GET</w:t>
            </w:r>
          </w:p>
        </w:tc>
        <w:tc>
          <w:tcPr>
            <w:tcW w:type="dxa" w:w="294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/api/v1/catalog/{slug}</w:t>
            </w:r>
          </w:p>
        </w:tc>
        <w:tc>
          <w:tcPr>
            <w:tcW w:type="dxa" w:w="190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гость</w:t>
            </w:r>
          </w:p>
        </w:tc>
        <w:tc>
          <w:tcPr>
            <w:tcW w:type="dxa" w:w="405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Карточка продукта: характеристики с источником, датой и подтверждением</w:t>
            </w:r>
          </w:p>
        </w:tc>
      </w:tr>
      <w:tr>
        <w:trPr>
          <w:cantSplit/>
        </w:trPr>
        <w:tc>
          <w:tcPr>
            <w:tcW w:type="dxa" w:w="73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POST</w:t>
            </w:r>
          </w:p>
        </w:tc>
        <w:tc>
          <w:tcPr>
            <w:tcW w:type="dxa" w:w="294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/api/v1/catalog/import</w:t>
            </w:r>
          </w:p>
        </w:tc>
        <w:tc>
          <w:tcPr>
            <w:tcW w:type="dxa" w:w="190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администратор</w:t>
            </w:r>
          </w:p>
        </w:tc>
        <w:tc>
          <w:tcPr>
            <w:tcW w:type="dxa" w:w="405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Импорт до 200 продуктов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?dryRun=1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 — только проверить)</w:t>
            </w:r>
          </w:p>
        </w:tc>
      </w:tr>
      <w:tr>
        <w:trPr>
          <w:cantSplit/>
        </w:trPr>
        <w:tc>
          <w:tcPr>
            <w:tcW w:type="dxa" w:w="73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GET</w:t>
            </w:r>
          </w:p>
        </w:tc>
        <w:tc>
          <w:tcPr>
            <w:tcW w:type="dxa" w:w="294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/api/v1/norms</w:t>
            </w:r>
          </w:p>
        </w:tc>
        <w:tc>
          <w:tcPr>
            <w:tcW w:type="dxa" w:w="190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гость</w:t>
            </w:r>
          </w:p>
        </w:tc>
        <w:tc>
          <w:tcPr>
            <w:tcW w:type="dxa" w:w="405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Нормативы модели с границами, происхождением и обоснованием</w:t>
            </w:r>
          </w:p>
        </w:tc>
      </w:tr>
      <w:tr>
        <w:trPr>
          <w:cantSplit/>
        </w:trPr>
        <w:tc>
          <w:tcPr>
            <w:tcW w:type="dxa" w:w="73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PUT</w:t>
            </w:r>
          </w:p>
        </w:tc>
        <w:tc>
          <w:tcPr>
            <w:tcW w:type="dxa" w:w="294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/api/v1/norms</w:t>
            </w:r>
          </w:p>
        </w:tc>
        <w:tc>
          <w:tcPr>
            <w:tcW w:type="dxa" w:w="190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администратор</w:t>
            </w:r>
          </w:p>
        </w:tc>
        <w:tc>
          <w:tcPr>
            <w:tcW w:type="dxa" w:w="405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Изменить нормативы (прижатие к границам, журнал изменений)</w:t>
            </w:r>
          </w:p>
        </w:tc>
      </w:tr>
      <w:tr>
        <w:trPr>
          <w:cantSplit/>
        </w:trPr>
        <w:tc>
          <w:tcPr>
            <w:tcW w:type="dxa" w:w="73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GET</w:t>
            </w:r>
          </w:p>
        </w:tc>
        <w:tc>
          <w:tcPr>
            <w:tcW w:type="dxa" w:w="294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/api/v1/facility-types/{slug}/params</w:t>
            </w:r>
          </w:p>
        </w:tc>
        <w:tc>
          <w:tcPr>
            <w:tcW w:type="dxa" w:w="190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гость</w:t>
            </w:r>
          </w:p>
        </w:tc>
        <w:tc>
          <w:tcPr>
            <w:tcW w:type="dxa" w:w="405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Параметры склада, аэропорта или медучреждения: ключи, единицы, диапазоны</w:t>
            </w:r>
          </w:p>
        </w:tc>
      </w:tr>
      <w:tr>
        <w:trPr>
          <w:cantSplit/>
        </w:trPr>
        <w:tc>
          <w:tcPr>
            <w:tcW w:type="dxa" w:w="73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POST</w:t>
            </w:r>
          </w:p>
        </w:tc>
        <w:tc>
          <w:tcPr>
            <w:tcW w:type="dxa" w:w="294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/api/v1/calculate</w:t>
            </w:r>
          </w:p>
        </w:tc>
        <w:tc>
          <w:tcPr>
            <w:tcW w:type="dxa" w:w="190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гость</w:t>
            </w:r>
          </w:p>
        </w:tc>
        <w:tc>
          <w:tcPr>
            <w:tcW w:type="dxa" w:w="405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Расчёт сценариев без сохранения</w:t>
            </w:r>
          </w:p>
        </w:tc>
      </w:tr>
      <w:tr>
        <w:trPr>
          <w:cantSplit/>
        </w:trPr>
        <w:tc>
          <w:tcPr>
            <w:tcW w:type="dxa" w:w="73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POST</w:t>
            </w:r>
          </w:p>
        </w:tc>
        <w:tc>
          <w:tcPr>
            <w:tcW w:type="dxa" w:w="294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/api/v1/projects</w:t>
            </w:r>
          </w:p>
        </w:tc>
        <w:tc>
          <w:tcPr>
            <w:tcW w:type="dxa" w:w="190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пользователь</w:t>
            </w:r>
          </w:p>
        </w:tc>
        <w:tc>
          <w:tcPr>
            <w:tcW w:type="dxa" w:w="405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Создать проект с расчётом</w:t>
            </w:r>
          </w:p>
        </w:tc>
      </w:tr>
      <w:tr>
        <w:trPr>
          <w:cantSplit/>
        </w:trPr>
        <w:tc>
          <w:tcPr>
            <w:tcW w:type="dxa" w:w="73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GET</w:t>
            </w:r>
          </w:p>
        </w:tc>
        <w:tc>
          <w:tcPr>
            <w:tcW w:type="dxa" w:w="294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/api/v1/projects/{id}</w:t>
            </w:r>
          </w:p>
        </w:tc>
        <w:tc>
          <w:tcPr>
            <w:tcW w:type="dxa" w:w="190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пользователь (владелец)</w:t>
            </w:r>
          </w:p>
        </w:tc>
        <w:tc>
          <w:tcPr>
            <w:tcW w:type="dxa" w:w="405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Проект с параметрами, сценариями, результатами и версиями</w:t>
            </w:r>
          </w:p>
        </w:tc>
      </w:tr>
      <w:tr>
        <w:trPr>
          <w:cantSplit/>
        </w:trPr>
        <w:tc>
          <w:tcPr>
            <w:tcW w:type="dxa" w:w="73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GET</w:t>
            </w:r>
          </w:p>
        </w:tc>
        <w:tc>
          <w:tcPr>
            <w:tcW w:type="dxa" w:w="294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/api/v1/openapi.json</w:t>
            </w:r>
          </w:p>
        </w:tc>
        <w:tc>
          <w:tcPr>
            <w:tcW w:type="dxa" w:w="190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гость</w:t>
            </w:r>
          </w:p>
        </w:tc>
        <w:tc>
          <w:tcPr>
            <w:tcW w:type="dxa" w:w="405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Описание API в OpenAPI 3.1</w:t>
            </w:r>
          </w:p>
        </w:tc>
      </w:tr>
      <w:tr>
        <w:trPr>
          <w:cantSplit/>
        </w:trPr>
        <w:tc>
          <w:tcPr>
            <w:tcW w:type="dxa" w:w="73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GET</w:t>
            </w:r>
          </w:p>
        </w:tc>
        <w:tc>
          <w:tcPr>
            <w:tcW w:type="dxa" w:w="294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/api/health</w:t>
            </w:r>
          </w:p>
        </w:tc>
        <w:tc>
          <w:tcPr>
            <w:tcW w:type="dxa" w:w="190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гость</w:t>
            </w:r>
          </w:p>
        </w:tc>
        <w:tc>
          <w:tcPr>
            <w:tcW w:type="dxa" w:w="405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Состояние сервиса и базы для мониторинга</w:t>
            </w:r>
          </w:p>
        </w:tc>
      </w:tr>
      <w:tr>
        <w:trPr>
          <w:cantSplit/>
        </w:trPr>
        <w:tc>
          <w:tcPr>
            <w:tcW w:type="dxa" w:w="73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GET</w:t>
            </w:r>
          </w:p>
        </w:tc>
        <w:tc>
          <w:tcPr>
            <w:tcW w:type="dxa" w:w="294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/api/templates/{facility}?format=csv|xlsx</w:t>
            </w:r>
          </w:p>
        </w:tc>
        <w:tc>
          <w:tcPr>
            <w:tcW w:type="dxa" w:w="190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гость</w:t>
            </w:r>
          </w:p>
        </w:tc>
        <w:tc>
          <w:tcPr>
            <w:tcW w:type="dxa" w:w="405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Шаблон файла параметров объекта</w:t>
            </w:r>
          </w:p>
        </w:tc>
      </w:tr>
    </w:tbl>
    <w:p>
      <w:pPr>
        <w:spacing w:after="60"/>
      </w:pP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Все ответы — JSON, денежные величины — в рублях. Ошибка всегда имеет вид
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{ "error": "…", "details": … }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: в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error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по-русски сказано, что не так и как исправить, в
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details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— ошибки по полям или позициям. Коды ответов: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400 — тело не JSON;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401 — нужен вход или токен;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403 — нужна роль администратора;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404 — не найдено;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413 — тело слишком большое;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415 — нет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Content-Type: application/json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422 — данные не прошли проверку, ничего не записано;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429 — превышен лимит, заголовок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Retry-After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говорит, через сколько секунд повторить;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503 — база недоступна.</w:t>
      </w:r>
    </w:p>
    <w:p>
      <w:pPr>
        <w:pStyle w:val="Heading2"/>
        <w:keepNext/>
        <w:outlineLvl w:val="1"/>
      </w:pPr>
      <w:bookmarkStart w:name="toc35" w:id="1"/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2. WMS, ERP и 1С → объект и объёмы</w:t>
      </w:r>
      <w:bookmarkEnd w:id="1"/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Внешняя система передаёт параметры объекта в поле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params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. Ключи и единицы перечислены в
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GET /api/v1/facility-types/warehouse/params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там же для каждого параметра указаны базовое
значение и диапазон организатора, пример и источник. Есть два пути: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sz w:val="18"/>
          <w:szCs w:val="18"/>
          <w:shd w:fill="EEF1F6" w:color="auto" w:val="clear"/>
        </w:rPr>
        <w:t xml:space="preserve">POST /api/v1/calculate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— расчёт без сохранения, вход не нужен. Подходит для
периодической сверки: например, WMS раз в сутки отправляет фактические объёмы и получает
окупаемость и вывод.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sz w:val="18"/>
          <w:szCs w:val="18"/>
          <w:shd w:fill="EEF1F6" w:color="auto" w:val="clear"/>
        </w:rPr>
        <w:t xml:space="preserve">POST /api/v1/projects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— проект пользователя. Он сохраняется с версиями модели и данных и
открывается на сайте по адресу из поля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url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. Параметры проходят ту же проверку, что форма
«Новый проект» и загрузка файла: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неизвестный ключ, неверный тип, единица или вариант — 422 со списком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ParamIssue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значение вне диапазона организатора принимается и возвращается в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warnings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параметры, которых нет во входе, получают базовые значения организатора.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Сопоставление полей для склада: основные ключи и откуда их взять. Полный список (52 параметра:
42 из датасета организатора и дополнения модели) отдаёт API. Столбец «В расчёте» показывает,
влияет ли ключ на экономику, парк и имитацию процесса «Перемещение паллет» — единственного
процесса склада, который в этой версии считается полностью. Остальные ключи нужны подбору по
другим процессам и схеме объекта; их экономика — прототип (раздел 8).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57"/>
        <w:gridCol w:w="2385"/>
        <w:gridCol w:w="2255"/>
        <w:gridCol w:w="1347"/>
        <w:gridCol w:w="2294"/>
      </w:tblGrid>
      <w:tr>
        <w:trPr>
          <w:cantSplit/>
          <w:tblHeader/>
        </w:trPr>
        <w:tc>
          <w:tcPr>
            <w:tcW w:type="dxa" w:w="135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7"/>
                <w:szCs w:val="17"/>
              </w:rPr>
              <w:t xml:space="preserve">Источник</w:t>
            </w:r>
          </w:p>
        </w:tc>
        <w:tc>
          <w:tcPr>
            <w:tcW w:type="dxa" w:w="238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7"/>
                <w:szCs w:val="17"/>
              </w:rPr>
              <w:t xml:space="preserve">Что взять</w:t>
            </w:r>
          </w:p>
        </w:tc>
        <w:tc>
          <w:tcPr>
            <w:tcW w:type="dxa" w:w="225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7"/>
                <w:szCs w:val="17"/>
              </w:rPr>
              <w:t xml:space="preserve">Ключ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  <w:shd w:fill="EEF1F6" w:color="auto" w:val="clear"/>
              </w:rPr>
              <w:t xml:space="preserve">params</w:t>
            </w:r>
          </w:p>
        </w:tc>
        <w:tc>
          <w:tcPr>
            <w:tcW w:type="dxa" w:w="134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7"/>
                <w:szCs w:val="17"/>
              </w:rPr>
              <w:t xml:space="preserve">Единица</w:t>
            </w:r>
          </w:p>
        </w:tc>
        <w:tc>
          <w:tcPr>
            <w:tcW w:type="dxa" w:w="229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7"/>
                <w:szCs w:val="17"/>
              </w:rPr>
              <w:t xml:space="preserve">В расчёте</w:t>
            </w:r>
          </w:p>
        </w:tc>
      </w:tr>
      <w:tr>
        <w:trPr>
          <w:cantSplit/>
        </w:trPr>
        <w:tc>
          <w:tcPr>
            <w:tcW w:type="dxa" w:w="135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WMS</w:t>
            </w:r>
          </w:p>
        </w:tc>
        <w:tc>
          <w:tcPr>
            <w:tcW w:type="dxa" w:w="238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Приёмка: паллет за сутки (среднее по рабочим дням)</w:t>
            </w:r>
          </w:p>
        </w:tc>
        <w:tc>
          <w:tcPr>
            <w:tcW w:type="dxa" w:w="225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inboundPalletsPerDay</w:t>
            </w:r>
          </w:p>
        </w:tc>
        <w:tc>
          <w:tcPr>
            <w:tcW w:type="dxa" w:w="134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поддон/сут</w:t>
            </w:r>
          </w:p>
        </w:tc>
        <w:tc>
          <w:tcPr>
            <w:tcW w:type="dxa" w:w="229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да — спрос</w:t>
            </w:r>
          </w:p>
        </w:tc>
      </w:tr>
      <w:tr>
        <w:trPr>
          <w:cantSplit/>
        </w:trPr>
        <w:tc>
          <w:tcPr>
            <w:tcW w:type="dxa" w:w="135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WMS</w:t>
            </w:r>
          </w:p>
        </w:tc>
        <w:tc>
          <w:tcPr>
            <w:tcW w:type="dxa" w:w="238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Отгрузка: паллет за сутки</w:t>
            </w:r>
          </w:p>
        </w:tc>
        <w:tc>
          <w:tcPr>
            <w:tcW w:type="dxa" w:w="225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outboundPalletsPerDay</w:t>
            </w:r>
          </w:p>
        </w:tc>
        <w:tc>
          <w:tcPr>
            <w:tcW w:type="dxa" w:w="134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поддон/сут</w:t>
            </w:r>
          </w:p>
        </w:tc>
        <w:tc>
          <w:tcPr>
            <w:tcW w:type="dxa" w:w="229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да — спрос</w:t>
            </w:r>
          </w:p>
        </w:tc>
      </w:tr>
      <w:tr>
        <w:trPr>
          <w:cantSplit/>
        </w:trPr>
        <w:tc>
          <w:tcPr>
            <w:tcW w:type="dxa" w:w="135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WMS</w:t>
            </w:r>
          </w:p>
        </w:tc>
        <w:tc>
          <w:tcPr>
            <w:tcW w:type="dxa" w:w="238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Внутренние перемещения: подпитка, перестановки</w:t>
            </w:r>
          </w:p>
        </w:tc>
        <w:tc>
          <w:tcPr>
            <w:tcW w:type="dxa" w:w="225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internalPalletMovesPerDay</w:t>
            </w:r>
          </w:p>
        </w:tc>
        <w:tc>
          <w:tcPr>
            <w:tcW w:type="dxa" w:w="134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паллет/сут</w:t>
            </w:r>
          </w:p>
        </w:tc>
        <w:tc>
          <w:tcPr>
            <w:tcW w:type="dxa" w:w="229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да — спрос</w:t>
            </w:r>
          </w:p>
        </w:tc>
      </w:tr>
      <w:tr>
        <w:trPr>
          <w:cantSplit/>
        </w:trPr>
        <w:tc>
          <w:tcPr>
            <w:tcW w:type="dxa" w:w="135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WMS</w:t>
            </w:r>
          </w:p>
        </w:tc>
        <w:tc>
          <w:tcPr>
            <w:tcW w:type="dxa" w:w="238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Пиковый коэффициент: пиковый час ÷ средний час</w:t>
            </w:r>
          </w:p>
        </w:tc>
        <w:tc>
          <w:tcPr>
            <w:tcW w:type="dxa" w:w="225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peakFactor</w:t>
            </w:r>
          </w:p>
        </w:tc>
        <w:tc>
          <w:tcPr>
            <w:tcW w:type="dxa" w:w="134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—</w:t>
            </w:r>
          </w:p>
        </w:tc>
        <w:tc>
          <w:tcPr>
            <w:tcW w:type="dxa" w:w="229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да — пиковый поток и парк</w:t>
            </w:r>
          </w:p>
        </w:tc>
      </w:tr>
      <w:tr>
        <w:trPr>
          <w:cantSplit/>
        </w:trPr>
        <w:tc>
          <w:tcPr>
            <w:tcW w:type="dxa" w:w="135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WMS</w:t>
            </w:r>
          </w:p>
        </w:tc>
        <w:tc>
          <w:tcPr>
            <w:tcW w:type="dxa" w:w="238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Доля негабаритных грузов (их возят только люди)</w:t>
            </w:r>
          </w:p>
        </w:tc>
        <w:tc>
          <w:tcPr>
            <w:tcW w:type="dxa" w:w="225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nonStandardCargoPct</w:t>
            </w:r>
          </w:p>
        </w:tc>
        <w:tc>
          <w:tcPr>
            <w:tcW w:type="dxa" w:w="134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%</w:t>
            </w:r>
          </w:p>
        </w:tc>
        <w:tc>
          <w:tcPr>
            <w:tcW w:type="dxa" w:w="229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да — спрос и высвобождаемый персонал</w:t>
            </w:r>
          </w:p>
        </w:tc>
      </w:tr>
      <w:tr>
        <w:trPr>
          <w:cantSplit/>
        </w:trPr>
        <w:tc>
          <w:tcPr>
            <w:tcW w:type="dxa" w:w="135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WMS</w:t>
            </w:r>
          </w:p>
        </w:tc>
        <w:tc>
          <w:tcPr>
            <w:tcW w:type="dxa" w:w="238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Средняя масса паллеты</w:t>
            </w:r>
          </w:p>
        </w:tc>
        <w:tc>
          <w:tcPr>
            <w:tcW w:type="dxa" w:w="225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avgPalletMassKg</w:t>
            </w:r>
          </w:p>
        </w:tc>
        <w:tc>
          <w:tcPr>
            <w:tcW w:type="dxa" w:w="134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кг</w:t>
            </w:r>
          </w:p>
        </w:tc>
        <w:tc>
          <w:tcPr>
            <w:tcW w:type="dxa" w:w="229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да — подбор по грузоподъёмности, имитация</w:t>
            </w:r>
          </w:p>
        </w:tc>
      </w:tr>
      <w:tr>
        <w:trPr>
          <w:cantSplit/>
        </w:trPr>
        <w:tc>
          <w:tcPr>
            <w:tcW w:type="dxa" w:w="135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WMS</w:t>
            </w:r>
          </w:p>
        </w:tc>
        <w:tc>
          <w:tcPr>
            <w:tcW w:type="dxa" w:w="238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Отбор: строк и штук за сутки</w:t>
            </w:r>
          </w:p>
        </w:tc>
        <w:tc>
          <w:tcPr>
            <w:tcW w:type="dxa" w:w="225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pickLinesPerDay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pickUnitsPerDay</w:t>
            </w:r>
          </w:p>
        </w:tc>
        <w:tc>
          <w:tcPr>
            <w:tcW w:type="dxa" w:w="134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строк/сут, шт./сут</w:t>
            </w:r>
          </w:p>
        </w:tc>
        <w:tc>
          <w:tcPr>
            <w:tcW w:type="dxa" w:w="229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нет — отбор и сортировка</w:t>
            </w:r>
          </w:p>
        </w:tc>
      </w:tr>
      <w:tr>
        <w:trPr>
          <w:cantSplit/>
        </w:trPr>
        <w:tc>
          <w:tcPr>
            <w:tcW w:type="dxa" w:w="135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WMS</w:t>
            </w:r>
          </w:p>
        </w:tc>
        <w:tc>
          <w:tcPr>
            <w:tcW w:type="dxa" w:w="238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Активные SKU, паллетоместа</w:t>
            </w:r>
          </w:p>
        </w:tc>
        <w:tc>
          <w:tcPr>
            <w:tcW w:type="dxa" w:w="225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activeSkuCount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palletPositions</w:t>
            </w:r>
          </w:p>
        </w:tc>
        <w:tc>
          <w:tcPr>
            <w:tcW w:type="dxa" w:w="134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SKU, паллетомест</w:t>
            </w:r>
          </w:p>
        </w:tc>
        <w:tc>
          <w:tcPr>
            <w:tcW w:type="dxa" w:w="229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135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ERP/1С (кадры, ЗУП)</w:t>
            </w:r>
          </w:p>
        </w:tc>
        <w:tc>
          <w:tcPr>
            <w:tcW w:type="dxa" w:w="238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Операторы погрузчиков: численность</w:t>
            </w:r>
          </w:p>
        </w:tc>
        <w:tc>
          <w:tcPr>
            <w:tcW w:type="dxa" w:w="225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forkliftOperatorsCount</w:t>
            </w:r>
          </w:p>
        </w:tc>
        <w:tc>
          <w:tcPr>
            <w:tcW w:type="dxa" w:w="134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чел.</w:t>
            </w:r>
          </w:p>
        </w:tc>
        <w:tc>
          <w:tcPr>
            <w:tcW w:type="dxa" w:w="229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да — ФОТ «как есть» и высвобождение</w:t>
            </w:r>
          </w:p>
        </w:tc>
      </w:tr>
      <w:tr>
        <w:trPr>
          <w:cantSplit/>
        </w:trPr>
        <w:tc>
          <w:tcPr>
            <w:tcW w:type="dxa" w:w="135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ERP/1С (кадры, ЗУП)</w:t>
            </w:r>
          </w:p>
        </w:tc>
        <w:tc>
          <w:tcPr>
            <w:tcW w:type="dxa" w:w="238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Средняя начисленная зарплата оператора погрузчика (gross)</w:t>
            </w:r>
          </w:p>
        </w:tc>
        <w:tc>
          <w:tcPr>
            <w:tcW w:type="dxa" w:w="225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forkliftSalaryRubMonth</w:t>
            </w:r>
          </w:p>
        </w:tc>
        <w:tc>
          <w:tcPr>
            <w:tcW w:type="dxa" w:w="134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руб./мес.</w:t>
            </w:r>
          </w:p>
        </w:tc>
        <w:tc>
          <w:tcPr>
            <w:tcW w:type="dxa" w:w="229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да — ФОТ</w:t>
            </w:r>
          </w:p>
        </w:tc>
      </w:tr>
      <w:tr>
        <w:trPr>
          <w:cantSplit/>
        </w:trPr>
        <w:tc>
          <w:tcPr>
            <w:tcW w:type="dxa" w:w="135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ERP/1С (кадры, ЗУП)</w:t>
            </w:r>
          </w:p>
        </w:tc>
        <w:tc>
          <w:tcPr>
            <w:tcW w:type="dxa" w:w="238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Отборщики: численность и зарплата</w:t>
            </w:r>
          </w:p>
        </w:tc>
        <w:tc>
          <w:tcPr>
            <w:tcW w:type="dxa" w:w="225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pickersCount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pickerSalaryRubMonth</w:t>
            </w:r>
          </w:p>
        </w:tc>
        <w:tc>
          <w:tcPr>
            <w:tcW w:type="dxa" w:w="134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чел., руб./мес.</w:t>
            </w:r>
          </w:p>
        </w:tc>
        <w:tc>
          <w:tcPr>
            <w:tcW w:type="dxa" w:w="229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нет — отбор</w:t>
            </w:r>
          </w:p>
        </w:tc>
      </w:tr>
      <w:tr>
        <w:trPr>
          <w:cantSplit/>
        </w:trPr>
        <w:tc>
          <w:tcPr>
            <w:tcW w:type="dxa" w:w="135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ERP/1С (график)</w:t>
            </w:r>
          </w:p>
        </w:tc>
        <w:tc>
          <w:tcPr>
            <w:tcW w:type="dxa" w:w="238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Смен в сутки, длительность смены, рабочих дней в году</w:t>
            </w:r>
          </w:p>
        </w:tc>
        <w:tc>
          <w:tcPr>
            <w:tcW w:type="dxa" w:w="225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shiftsPerDay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shiftDurationH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workDaysPerYear</w:t>
            </w:r>
          </w:p>
        </w:tc>
        <w:tc>
          <w:tcPr>
            <w:tcW w:type="dxa" w:w="134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смен, ч, дн.</w:t>
            </w:r>
          </w:p>
        </w:tc>
        <w:tc>
          <w:tcPr>
            <w:tcW w:type="dxa" w:w="229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да — часы работы и спрос в час</w:t>
            </w:r>
          </w:p>
        </w:tc>
      </w:tr>
      <w:tr>
        <w:trPr>
          <w:cantSplit/>
        </w:trPr>
        <w:tc>
          <w:tcPr>
            <w:tcW w:type="dxa" w:w="135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ИТ-ландшафт</w:t>
            </w:r>
          </w:p>
        </w:tc>
        <w:tc>
          <w:tcPr>
            <w:tcW w:type="dxa" w:w="238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Есть ли WMS (в датасете организатора: «Наличие WMS обязательно для роботизации»)</w:t>
            </w:r>
          </w:p>
        </w:tc>
        <w:tc>
          <w:tcPr>
            <w:tcW w:type="dxa" w:w="225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hasWms</w:t>
            </w:r>
          </w:p>
        </w:tc>
        <w:tc>
          <w:tcPr>
            <w:tcW w:type="dxa" w:w="134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«Да» или «Нет»</w:t>
            </w:r>
          </w:p>
        </w:tc>
        <w:tc>
          <w:tcPr>
            <w:tcW w:type="dxa" w:w="229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да — риск «нет WMS»</w:t>
            </w:r>
          </w:p>
        </w:tc>
      </w:tr>
      <w:tr>
        <w:trPr>
          <w:cantSplit/>
        </w:trPr>
        <w:tc>
          <w:tcPr>
            <w:tcW w:type="dxa" w:w="135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Паспорт здания, CAD</w:t>
            </w:r>
          </w:p>
        </w:tc>
        <w:tc>
          <w:tcPr>
            <w:tcW w:type="dxa" w:w="238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Площадь активной зоны, ширина главных проездов и рабочих проходов</w:t>
            </w:r>
          </w:p>
        </w:tc>
        <w:tc>
          <w:tcPr>
            <w:tcW w:type="dxa" w:w="225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activeAreaM2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mainAisleWidthM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rackAisleWidthM</w:t>
            </w:r>
          </w:p>
        </w:tc>
        <w:tc>
          <w:tcPr>
            <w:tcW w:type="dxa" w:w="134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м², м</w:t>
            </w:r>
          </w:p>
        </w:tc>
        <w:tc>
          <w:tcPr>
            <w:tcW w:type="dxa" w:w="229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да — планировка, плечи цикла, проходимость, инфраструктура</w:t>
            </w:r>
          </w:p>
        </w:tc>
      </w:tr>
      <w:tr>
        <w:trPr>
          <w:cantSplit/>
        </w:trPr>
        <w:tc>
          <w:tcPr>
            <w:tcW w:type="dxa" w:w="135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Паспорт здания, CAD</w:t>
            </w:r>
          </w:p>
        </w:tc>
        <w:tc>
          <w:tcPr>
            <w:tcW w:type="dxa" w:w="238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Ворота приёмки и отгрузки (в датасете организатора их нет — базовое значение модели является оценкой)</w:t>
            </w:r>
          </w:p>
        </w:tc>
        <w:tc>
          <w:tcPr>
            <w:tcW w:type="dxa" w:w="225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receivingDocksCount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shippingDocksCount</w:t>
            </w:r>
          </w:p>
        </w:tc>
        <w:tc>
          <w:tcPr>
            <w:tcW w:type="dxa" w:w="134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шт.</w:t>
            </w:r>
          </w:p>
        </w:tc>
        <w:tc>
          <w:tcPr>
            <w:tcW w:type="dxa" w:w="229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да — планировка и плечи цикла</w:t>
            </w:r>
          </w:p>
        </w:tc>
      </w:tr>
      <w:tr>
        <w:trPr>
          <w:cantSplit/>
        </w:trPr>
        <w:tc>
          <w:tcPr>
            <w:tcW w:type="dxa" w:w="135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Бюджет</w:t>
            </w:r>
          </w:p>
        </w:tc>
        <w:tc>
          <w:tcPr>
            <w:tcW w:type="dxa" w:w="238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Бюджет CAPEX, горизонт расчёта</w:t>
            </w:r>
          </w:p>
        </w:tc>
        <w:tc>
          <w:tcPr>
            <w:tcW w:type="dxa" w:w="225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capexBudgetMRub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horizonYears</w:t>
            </w:r>
          </w:p>
        </w:tc>
        <w:tc>
          <w:tcPr>
            <w:tcW w:type="dxa" w:w="134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млн руб., лет</w:t>
            </w:r>
          </w:p>
        </w:tc>
        <w:tc>
          <w:tcPr>
            <w:tcW w:type="dxa" w:w="229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да — риск превышения бюджета, горизонт NPV и ROI</w:t>
            </w:r>
          </w:p>
        </w:tc>
      </w:tr>
    </w:tbl>
    <w:p>
      <w:pPr>
        <w:spacing w:after="60"/>
      </w:pP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Пример: расчёт без сохранения с фактической зарплатой из 1С (значение — верхняя граница диапазона
организатора, 170 000 руб./мес.):</w:t>
      </w:r>
    </w:p>
    <w:p>
      <w:pPr>
        <w:keepLines/>
        <w:shd w:fill="F2F4F7" w:color="auto" w:val="clear"/>
        <w:spacing w:after="0" w:before="60" w:line="250"/>
        <w:ind w:left="60" w:right="60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curl -s -X POST https://&lt;адрес-стенда&gt;/api/v1/calculate \</w:t>
      </w:r>
    </w:p>
    <w:p>
      <w:pPr>
        <w:keepLines/>
        <w:shd w:fill="F2F4F7" w:color="auto" w:val="clear"/>
        <w:spacing w:after="0" w:before="0" w:line="250"/>
        <w:ind w:left="60" w:right="60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-H 'content-type: application/json' \</w:t>
      </w:r>
    </w:p>
    <w:p>
      <w:pPr>
        <w:keepLines/>
        <w:shd w:fill="F2F4F7" w:color="auto" w:val="clear"/>
        <w:spacing w:after="140" w:before="0" w:line="250"/>
        <w:ind w:left="60" w:right="60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-d '{"facility":"warehouse","params":{"forkliftSalaryRubMonth":170000}}'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В ответе: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summary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— по строке на сценарий: CAPEX, OPEX, эффект, окупаемость, ROI, NPV, TCO, состав
оборудования, вердикт имитации, отказ с причиной;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conclusion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— рекомендуемый сценарий, риски и оговорка о предварительной оценке;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results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— полный расчёт с формулами и подстановками, тот же, что хранится в проекте;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versions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— версии модели, имитации и данных.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Проект на тех же параметрах даёт те же числа: API вызывает ту же функцию расчёта
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lib/projects/recalc.resultsFromInputs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), что и кнопка «Новый проект».</w:t>
      </w:r>
    </w:p>
    <w:p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Как интеграция входит под пользователем.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Проекты принадлежат пользователям, поэтому
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POST /api/v1/projects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требует cookie сессии. Серверная интеграция получает её стандартным
потоком Auth.js для входа по паролю: сервисная учётная запись,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GET /api/auth/csrf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затем
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POST /api/auth/callback/credentials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с полями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csrfToken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email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password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и cookie
сохраняется в хранилище cookie клиента. Личные API-ключи пользователей не построены (раздел 7).</w:t>
      </w:r>
    </w:p>
    <w:p>
      <w:pPr>
        <w:pStyle w:val="Heading2"/>
        <w:keepNext/>
        <w:outlineLvl w:val="1"/>
      </w:pPr>
      <w:bookmarkStart w:name="toc36" w:id="1"/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3. Обновление каталога</w:t>
      </w:r>
      <w:bookmarkEnd w:id="1"/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Данные организатора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обновляет синхронизация: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npm run db:seed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или кнопка «Обновить
каталог» в админке. Она обновляет по запросу, а не по расписанию.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Внешние источники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— например, реестр решений ФЦ БАС или карточки производителей —
загружаются методом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POST /api/v1/catalog/import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. Доступ: администратор по сессии или токен
(раздел 6).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Правила импорта: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Тело — список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ProductSeed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(до 200 продуктов, до 4 МБ). Это та же форма, в которой записаны
данные организатора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lib/data/organizer/catalog.generated.json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). Каждая карточка присылается
целиком.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Проверка всё-или-ничего: при ошибке в любой позиции ничего не пишется, ответ 422 с ошибками по
позициям. Неизвестные поля — ошибка.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У каждой характеристики должен быть провенанс (ТЗ §3.3.4):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organizer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— нужен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sourceRef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research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— нужны ссылка http(s)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sourceUrl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цитата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asInSource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и дата;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estimate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derived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choice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— нужно обоснование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basis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derived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— нужна формула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formula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оценка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estimate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 не бывает подтверждённой.</w:t>
      </w:r>
    </w:p>
    <w:p>
      <w:pPr>
        <w:spacing w:after="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Тип источника должен соответствовать происхождению. Дата проверки пишется в формате
ГГГГ-ММ-ДД.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Продукт записывается с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origin: ADMIN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как продукт, заведённый администратором: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синхронизация данных организатора его не трогает и не архивирует;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в каталоге он не выдаётся за данные организатора;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удалить его можно в админке.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Slug продукта из данных организатора не принимается. Такой продукт обновляет синхронизация, и
правка через API откатилась бы при следующем обновлении. Дополнять его нужно в админке, где
правка помечается и сохраняется.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Характеристику, исправленную администратором в админке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origin: admin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), импорт не
перезаписывает. В отчёте такие характеристики указаны в поле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adminCharacteristicsKept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Повторный импорт той же карточки ничего не меняет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unchanged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). Характеристики, которых больше
нет во входе, удаляются. Вынесенные колонки (цена, производительность, полнота,
«требует проверки») пересчитываются по тем же правилам, что при синхронизации.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Карточки уровня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identification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видны только в каталоге. Карточки уровня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enriched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и
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examples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участвуют в подборе и расчёте.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Рекомендуемый порядок работы: сначала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?dryRun=1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(проверка без записи), затем тот же запрос без
него.</w:t>
      </w:r>
    </w:p>
    <w:p>
      <w:pPr>
        <w:keepLines/>
        <w:shd w:fill="F2F4F7" w:color="auto" w:val="clear"/>
        <w:spacing w:after="0" w:before="60" w:line="250"/>
        <w:ind w:left="60" w:right="60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curl -s -X POST 'https://&lt;адрес-стенда&gt;/api/v1/catalog/import?dryRun=1' \</w:t>
      </w:r>
    </w:p>
    <w:p>
      <w:pPr>
        <w:keepLines/>
        <w:shd w:fill="F2F4F7" w:color="auto" w:val="clear"/>
        <w:spacing w:after="0" w:before="0" w:line="250"/>
        <w:ind w:left="60" w:right="60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-H "authorization: Bearer $ADMIN_API_TOKEN" \</w:t>
      </w:r>
    </w:p>
    <w:p>
      <w:pPr>
        <w:keepLines/>
        <w:shd w:fill="F2F4F7" w:color="auto" w:val="clear"/>
        <w:spacing w:after="0" w:before="0" w:line="250"/>
        <w:ind w:left="60" w:right="60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-H 'content-type: application/json' \</w:t>
      </w:r>
    </w:p>
    <w:p>
      <w:pPr>
        <w:keepLines/>
        <w:shd w:fill="F2F4F7" w:color="auto" w:val="clear"/>
        <w:spacing w:after="140" w:before="0" w:line="250"/>
        <w:ind w:left="60" w:right="60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--data @products.json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Готовый пример тела — в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/api-docs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раздел «Каталог». Это карточка уровня identification, её
характеристики скопированы из данных организатора вместе с источниками.</w:t>
      </w:r>
    </w:p>
    <w:p>
      <w:pPr>
        <w:pStyle w:val="Heading2"/>
        <w:keepNext/>
        <w:outlineLvl w:val="1"/>
      </w:pPr>
      <w:bookmarkStart w:name="toc37" w:id="1"/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4. Нормативы</w:t>
      </w:r>
      <w:bookmarkEnd w:id="1"/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GET /api/v1/norms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отдаёт все нормативы модели. У каждого указаны значение, значение по
умолчанию, итоговое значение в расчёте (после границ и взаимных ограничений), границы,
происхождение, обоснование и источник.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PUT /api/v1/norms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(администратор) с телом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{"values":{"utilization":0.85},"reason":"…"}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
работает так же, как страница «Нормативы» в админке: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значение вне [min, max] прижимается к границе, в ответе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clamped: true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зафиксированный организатором норматив не меняется;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строка помечается правкой администратора, и синхронизация её значение не перезаписывает;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каждое изменение пишется в журнал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ChangeLog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: сущность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norm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было, стало, значение по
умолчанию, кто и почему. Для входа по токену пользователь пустой, а причина помечена «через
API (токен администратора)».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Новые и пересчитанные проекты считаются с новыми значениями. Сохранённые проекты хранят снимок
нормативов и открываются с прежними числами. Баннер на странице проекта сообщает, что данные
изменились с момента расчёта, и предлагает кнопку «Пересчитать на актуальных данных». Через API
то же видно по полю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dataChanged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в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GET /api/v1/projects/{id}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.</w:t>
      </w:r>
    </w:p>
    <w:p>
      <w:pPr>
        <w:pStyle w:val="Heading2"/>
        <w:keepNext/>
        <w:outlineLvl w:val="1"/>
      </w:pPr>
      <w:bookmarkStart w:name="toc38" w:id="1"/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5. Мониторинг</w:t>
      </w:r>
      <w:bookmarkEnd w:id="1"/>
    </w:p>
    <w:p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GET /api/health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предназначен для Docker healthcheck, CI и внешнего мониторинга (Zabbix, Prometheus
blackbox exporter, uptime-сервисы).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200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{"ok":true,"db":true,"modelVersion":"tz-1.0.0","simModelVersion":"sim-1.0.0"}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— сервис и
база доступны.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503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{"ok":false,"db":false,…}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— база не ответила за 3 с. Причина пишется только в журнал
сервера.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Версии моделей в ответе показывают, какая сборка отвечает. Их же сохраняет каждый проект.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Ошибки обработчиков пишутся в stdout и stderr контейнера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docker compose logs app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). Наружу
они не уходят.</w:t>
      </w:r>
    </w:p>
    <w:p>
      <w:pPr>
        <w:pStyle w:val="Heading2"/>
        <w:keepNext/>
        <w:outlineLvl w:val="1"/>
      </w:pPr>
      <w:bookmarkStart w:name="toc39" w:id="1"/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6. Аналитика ФЦ БАС</w:t>
      </w:r>
      <w:bookmarkEnd w:id="1"/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Выгрузка каталога.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Обходите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GET /api/v1/catalog?page=1…pageCount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при необходимости с
фильтрами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facility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process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status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level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. Строки содержат вынесенные колонки: цену,
ставку RaaS, производительность, грузоподъёмность, полноту карточки, долю подтверждённых
характеристик и признак «требует проверки». Это готовая витрина качества данных. Провенанс
каждой характеристики (источник, дата, подтверждение, альтернативные значения) отдаёт
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GET /api/v1/catalog/{slug}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dataRelease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в ответе показывает, на каком выпуске данных
организатора собран каталог.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Расчёты.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POST /api/v1/calculate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воспроизводим: в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versions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указаны модель, имитация и хэш
данных. Одинаковые входы на одном выпуске данных дают одинаковые числа. Проект пользователя
отдаёт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GET /api/v1/projects/{id}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а полный отчёт выгружается в XLSX и CSV со страницы
проекта.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Клиенты.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По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GET /api/v1/openapi.json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генерируются клиенты на Python, TypeScript, Java,
C# и т. д.</w:t>
      </w:r>
    </w:p>
    <w:p>
      <w:pPr>
        <w:pStyle w:val="Heading2"/>
        <w:keepNext/>
        <w:outlineLvl w:val="1"/>
      </w:pPr>
      <w:bookmarkStart w:name="toc40" w:id="1"/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7. Безопасность</w:t>
      </w:r>
      <w:bookmarkEnd w:id="1"/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Роли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(ТЗ §3.1.1):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гость читает каталог, нормативы и параметры и считает без сохранения;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пользователь работает со своими проектами;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администратор импортирует каталог и меняет нормативы.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Сессия.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Cookie Auth.js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authjs.session-token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при HTTPS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__Secure-authjs.session-token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),
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HttpOnly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SameSite=Lax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. Роль администратора перечитывается из базы на каждый запрос: у
пониженного администратора права пропадают сразу, а не после истечения сессии.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Токен администратора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— для серверных интеграций без браузера: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задаётся переменной окружения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ADMIN_API_TOKEN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не короче 16 символов, например
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openssl rand -hex 32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если переменная не задана или токен короче, вход по токену выключен целиком;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сравнение идёт в постоянном времени (SHA-256 и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timingSafeEqual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если заголовок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Authorization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передан, решает только он: неверный токен даёт 401, и запрос
не проверяется по сессии;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токен даёт права администратора API, но не открывает страницы сайта.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Подделка запросов (CSRF).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Методы с телом принимают только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Content-Type: application/json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.
HTML-форма с другого сайта не может отправить такой запрос без предварительного CORS-запроса, а
CORS не включён. Cookie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SameSite=Lax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не уходят с кросс-сайтовыми POST.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Изоляция проектов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(§4.4.2). Проект читается только владельцем, чужой неотличим от
несуществующего (404).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Ограничение частоты.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POST /api/v1/calculate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: 60 запросов за 15 минут с одного IP.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POST /api/v1/projects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: 30 проектов за 15 минут на пользователя.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Счётчик хранится в Postgres и работает на нескольких экземплярах.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IP берётся из первого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X-Forwarded-For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. Обратный прокси обязан перезаписывать этот
заголовок (DEPLOY.md).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Размер тела.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Расчёт и проект — до 200 КБ, нормативы — до 20 КБ, импорт каталога — до 4 МБ.
Предел проверяется и по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Content-Length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и по фактически прочитанным байтам.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HTTPS.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На стенде API работает через тот же обратный прокси с TLS, что и сайт. Сайт отдаёт
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Strict-Transport-Security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. В docker-compose TLS не входит (ТЗ §4.4.4 закрывается на уровне
прокси стенда).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Кеширование.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Ответы API идут с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Cache-Control: no-store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Загруженные файлы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не хранятся: файл параметров разбирается в памяти и отбрасывается
(§4.4.6).</w:t>
      </w:r>
    </w:p>
    <w:p>
      <w:pPr>
        <w:pStyle w:val="Heading2"/>
        <w:keepNext/>
        <w:outlineLvl w:val="1"/>
      </w:pPr>
      <w:bookmarkStart w:name="toc41" w:id="1"/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8. Что не построено</w:t>
      </w:r>
      <w:bookmarkEnd w:id="1"/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Метки по ТЗ §5.7: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78"/>
        <w:gridCol w:w="5260"/>
      </w:tblGrid>
      <w:tr>
        <w:trPr>
          <w:cantSplit/>
          <w:tblHeader/>
        </w:trPr>
        <w:tc>
          <w:tcPr>
            <w:tcW w:type="dxa" w:w="437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Возможность</w:t>
            </w:r>
          </w:p>
        </w:tc>
        <w:tc>
          <w:tcPr>
            <w:tcW w:type="dxa" w:w="526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type="dxa" w:w="437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Готовые коннекторы к конкретным WMS, ERP и 1С (адаптеры форматов, выгрузка по расписанию)</w:t>
            </w:r>
          </w:p>
        </w:tc>
        <w:tc>
          <w:tcPr>
            <w:tcW w:type="dxa" w:w="526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Не реализовано: API готов, интеграции описаны (раздел 2)</w:t>
            </w:r>
          </w:p>
        </w:tc>
      </w:tr>
      <w:tr>
        <w:trPr>
          <w:cantSplit/>
        </w:trPr>
        <w:tc>
          <w:tcPr>
            <w:tcW w:type="dxa" w:w="437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Вебхуки и уведомления внешних систем о пересчёте</w:t>
            </w:r>
          </w:p>
        </w:tc>
        <w:tc>
          <w:tcPr>
            <w:tcW w:type="dxa" w:w="526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Не реализовано</w:t>
            </w:r>
          </w:p>
        </w:tc>
      </w:tr>
      <w:tr>
        <w:trPr>
          <w:cantSplit/>
        </w:trPr>
        <w:tc>
          <w:tcPr>
            <w:tcW w:type="dxa" w:w="437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Личные API-ключи пользователей и OAuth для внешних приложений</w:t>
            </w:r>
          </w:p>
        </w:tc>
        <w:tc>
          <w:tcPr>
            <w:tcW w:type="dxa" w:w="526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Не реализовано: пользователь входит сессией, администратор — сессией или общим токеном</w:t>
            </w:r>
          </w:p>
        </w:tc>
      </w:tr>
      <w:tr>
        <w:trPr>
          <w:cantSplit/>
        </w:trPr>
        <w:tc>
          <w:tcPr>
            <w:tcW w:type="dxa" w:w="437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Список, изменение, копирование и удаление проектов через API</w:t>
            </w:r>
          </w:p>
        </w:tc>
        <w:tc>
          <w:tcPr>
            <w:tcW w:type="dxa" w:w="526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Не реализовано: в интерфейсе сайта есть, в API — создание и чтение</w:t>
            </w:r>
          </w:p>
        </w:tc>
      </w:tr>
      <w:tr>
        <w:trPr>
          <w:cantSplit/>
        </w:trPr>
        <w:tc>
          <w:tcPr>
            <w:tcW w:type="dxa" w:w="437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CORS для вызова API из браузера с других доменов</w:t>
            </w:r>
          </w:p>
        </w:tc>
        <w:tc>
          <w:tcPr>
            <w:tcW w:type="dxa" w:w="526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Не включено намеренно: API рассчитан на серверные интеграции</w:t>
            </w:r>
          </w:p>
        </w:tc>
      </w:tr>
      <w:tr>
        <w:trPr>
          <w:cantSplit/>
        </w:trPr>
        <w:tc>
          <w:tcPr>
            <w:tcW w:type="dxa" w:w="437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Плановое автообновление каталога</w:t>
            </w:r>
          </w:p>
        </w:tc>
        <w:tc>
          <w:tcPr>
            <w:tcW w:type="dxa" w:w="526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Частично: обновление по запросу (кнопка в админке,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db:seed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, импорт через API)</w:t>
            </w:r>
          </w:p>
        </w:tc>
      </w:tr>
      <w:tr>
        <w:trPr>
          <w:cantSplit/>
        </w:trPr>
        <w:tc>
          <w:tcPr>
            <w:tcW w:type="dxa" w:w="437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Импорт каталога в формате таблицы организатора (XLSX) через API</w:t>
            </w:r>
          </w:p>
        </w:tc>
        <w:tc>
          <w:tcPr>
            <w:tcW w:type="dxa" w:w="526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Не реализовано: API принимает JSON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ProductSeed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, таблица организатора загружается генератором данных</w:t>
            </w:r>
          </w:p>
        </w:tc>
      </w:tr>
      <w:tr>
        <w:trPr>
          <w:cantSplit/>
        </w:trPr>
        <w:tc>
          <w:tcPr>
            <w:tcW w:type="dxa" w:w="437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Проверка по государственным реестрам и расчёт мер господдержки</w:t>
            </w:r>
          </w:p>
        </w:tc>
        <w:tc>
          <w:tcPr>
            <w:tcW w:type="dxa" w:w="526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Не реализовано</w:t>
            </w:r>
          </w:p>
        </w:tc>
      </w:tr>
      <w:tr>
        <w:trPr>
          <w:cantSplit/>
        </w:trPr>
        <w:tc>
          <w:tcPr>
            <w:tcW w:type="dxa" w:w="437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Экономика и имитация через API для аэропорта и медучреждения</w:t>
            </w:r>
          </w:p>
        </w:tc>
        <w:tc>
          <w:tcPr>
            <w:tcW w:type="dxa" w:w="526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Прототип: расчёт возвращает сценарии с отказом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calc_not_supported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 и объяснением, подбор и параметры работают</w:t>
            </w:r>
          </w:p>
        </w:tc>
      </w:tr>
    </w:tbl>
    <w:p>
      <w:pPr>
        <w:spacing w:after="60"/>
      </w:pP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Версия API — v1 в пути. Несовместимые изменения выйдут под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/api/v2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а v1 останется на время
перехода. Изменения, которые меняют числа расчёта, повышают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modelVersion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и это видно в каждом
ответе.</w:t>
      </w:r>
    </w:p>
    <w:p>
      <w:pPr>
        <w:pStyle w:val="Heading1"/>
        <w:pageBreakBefore/>
        <w:outlineLvl w:val="0"/>
      </w:pPr>
      <w:bookmarkStart w:name="ch6" w:id="1"/>
      <w:r>
        <w:t xml:space="preserve">6. Развёртывание и запуск</w:t>
      </w:r>
      <w:bookmarkEnd w:id="1"/>
    </w:p>
    <w:p>
      <w:pPr>
        <w:pBdr>
          <w:bottom w:val="single" w:color="C8CFDB" w:sz="4" w:space="6"/>
        </w:pBdr>
        <w:spacing w:after="200"/>
      </w:pPr>
      <w:r>
        <w:rPr>
          <w:i/>
          <w:iCs/>
          <w:color w:val="6B7280"/>
          <w:sz w:val="17"/>
          <w:szCs w:val="17"/>
        </w:rPr>
        <w:t xml:space="preserve">Источник: docs/DEPLOY-QUICKSTART.md. Ссылки «раздел N» внутри главы указывают на её разделы. Требования: ТЗ §6.2, §6.10, §8.2.2, §8.2.5.</w:t>
      </w:r>
    </w:p>
    <w:p>
      <w:pPr>
        <w:pBdr>
          <w:left w:val="single" w:color="9DB0E0" w:sz="18" w:space="10"/>
        </w:pBdr>
        <w:ind w:left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374151"/>
        </w:rPr>
        <w:t xml:space="preserve">Упорядоченный путь от клона репозитория до работающего стенда (ТЗ §4.2.3, §6.2, §8.2.2).
Основной путь —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374151"/>
        </w:rPr>
        <w:t xml:space="preserve">Docker одной командой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374151"/>
        </w:rPr>
        <w:t xml:space="preserve"> (раздел 2): он проверяется в CI на каждый push.
Без Docker —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374151"/>
        </w:rPr>
        <w:t xml:space="preserve">локальный запуск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374151"/>
        </w:rPr>
        <w:t xml:space="preserve"> (раздел 3) и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374151"/>
        </w:rPr>
        <w:t xml:space="preserve">проверка на чистом экземпляре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374151"/>
        </w:rPr>
        <w:t xml:space="preserve"> (раздел 4).
Публичный стенд —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374151"/>
        </w:rPr>
        <w:t xml:space="preserve">Vercel и новая база Neon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374151"/>
        </w:rPr>
        <w:t xml:space="preserve"> (раздел 6).</w:t>
      </w:r>
    </w:p>
    <w:p>
      <w:pPr>
        <w:pBdr>
          <w:left w:val="single" w:color="9DB0E0" w:sz="18" w:space="10"/>
        </w:pBdr>
        <w:ind w:left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374151"/>
        </w:rPr>
        <w:t xml:space="preserve">Полный справочник (безопасность,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374151"/>
          <w:sz w:val="18"/>
          <w:szCs w:val="18"/>
          <w:shd w:fill="EEF1F6" w:color="auto" w:val="clear"/>
        </w:rPr>
        <w:t xml:space="preserve">npm audit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374151"/>
        </w:rPr>
        <w:t xml:space="preserve">, выкладка поверх базы прежней модели) —
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374151"/>
        </w:rPr>
        <w:t xml:space="preserve">DEPLOY.md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374151"/>
        </w:rPr>
        <w:t xml:space="preserve"> (docs/DEPLOY.md)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374151"/>
        </w:rPr>
        <w:t xml:space="preserve">.</w:t>
      </w:r>
    </w:p>
    <w:p>
      <w:pPr>
        <w:pStyle w:val="Heading2"/>
        <w:keepNext/>
        <w:outlineLvl w:val="1"/>
      </w:pPr>
      <w:bookmarkStart w:name="toc43" w:id="1"/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1. Что нужно приложению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18"/>
        <w:gridCol w:w="5520"/>
      </w:tblGrid>
      <w:tr>
        <w:trPr>
          <w:cantSplit/>
          <w:tblHeader/>
        </w:trPr>
        <w:tc>
          <w:tcPr>
            <w:tcW w:type="dxa" w:w="411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Требование</w:t>
            </w:r>
          </w:p>
        </w:tc>
        <w:tc>
          <w:tcPr>
            <w:tcW w:type="dxa" w:w="552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Следствие</w:t>
            </w:r>
          </w:p>
        </w:tc>
      </w:tr>
      <w:tr>
        <w:trPr>
          <w:cantSplit/>
        </w:trPr>
        <w:tc>
          <w:tcPr>
            <w:tcW w:type="dxa" w:w="411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Все 43 маршрута серверные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ƒ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 в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next build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, по сборке CI на коммите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b112b35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)</w:t>
            </w:r>
          </w:p>
        </w:tc>
        <w:tc>
          <w:tcPr>
            <w:tcW w:type="dxa" w:w="552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статический хостинг невозможен: нужен Node.js-сервер</w:t>
            </w:r>
          </w:p>
        </w:tc>
      </w:tr>
      <w:tr>
        <w:trPr>
          <w:cantSplit/>
        </w:trPr>
        <w:tc>
          <w:tcPr>
            <w:tcW w:type="dxa" w:w="411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Серверные действия и вход Auth.js по паролю</w:t>
            </w:r>
          </w:p>
        </w:tc>
        <w:tc>
          <w:tcPr>
            <w:tcW w:type="dxa" w:w="552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нужна среда Node, не edge и не CDN</w:t>
            </w:r>
          </w:p>
        </w:tc>
      </w:tr>
      <w:tr>
        <w:trPr>
          <w:cantSplit/>
        </w:trPr>
        <w:tc>
          <w:tcPr>
            <w:tcW w:type="dxa" w:w="411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PostgreSQL через драйвер-адаптер Prisma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@prisma/adapter-pg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)</w:t>
            </w:r>
          </w:p>
        </w:tc>
        <w:tc>
          <w:tcPr>
            <w:tcW w:type="dxa" w:w="552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DATABASE_URL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 при работе; на serverless — строка через пул соединений</w:t>
            </w:r>
          </w:p>
        </w:tc>
      </w:tr>
      <w:tr>
        <w:trPr>
          <w:cantSplit/>
        </w:trPr>
        <w:tc>
          <w:tcPr>
            <w:tcW w:type="dxa" w:w="411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prisma migrate deploy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 и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npm run db:seed</w:t>
            </w:r>
          </w:p>
        </w:tc>
        <w:tc>
          <w:tcPr>
            <w:tcW w:type="dxa" w:w="552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без сева каталог, нормативы и демо-аккаунты пусты</w:t>
            </w:r>
          </w:p>
        </w:tc>
      </w:tr>
      <w:tr>
        <w:trPr>
          <w:cantSplit/>
        </w:trPr>
        <w:tc>
          <w:tcPr>
            <w:tcW w:type="dxa" w:w="411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Секреты</w:t>
            </w:r>
          </w:p>
        </w:tc>
        <w:tc>
          <w:tcPr>
            <w:tcW w:type="dxa" w:w="552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DATABASE_URL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AUTH_SECRET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; по желанию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DEMO_USER_PASSWORD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DEMO_ADMIN_PASSWORD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 (читает только сев),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ADMIN_API_TOKEN</w:t>
            </w:r>
          </w:p>
        </w:tc>
      </w:tr>
      <w:tr>
        <w:trPr>
          <w:cantSplit/>
        </w:trPr>
        <w:tc>
          <w:tcPr>
            <w:tcW w:type="dxa" w:w="411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Node.js</w:t>
            </w:r>
          </w:p>
        </w:tc>
        <w:tc>
          <w:tcPr>
            <w:tcW w:type="dxa" w:w="552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20.9 и новее (образ Docker —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node:20-alpine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)</w:t>
            </w:r>
          </w:p>
        </w:tc>
      </w:tr>
    </w:tbl>
    <w:p>
      <w:pPr>
        <w:spacing w:after="60"/>
      </w:pPr>
    </w:p>
    <w:p>
      <w:pPr>
        <w:pStyle w:val="Heading2"/>
        <w:keepNext/>
        <w:outlineLvl w:val="1"/>
      </w:pPr>
      <w:bookmarkStart w:name="toc44" w:id="1"/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2. Путь A — Docker одной командой</w:t>
      </w:r>
      <w:bookmarkEnd w:id="1"/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Нужны Docker с Compose v2 (команда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docker compose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есть в Docker Desktop) и доступ в
интернет на время первой сборки: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npm ci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и шрифты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next/font/google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скачиваются при сборке.</w:t>
      </w:r>
    </w:p>
    <w:p>
      <w:pPr>
        <w:keepLines/>
        <w:shd w:fill="F2F4F7" w:color="auto" w:val="clear"/>
        <w:spacing w:after="0" w:before="60" w:line="250"/>
        <w:ind w:left="60" w:right="60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git clone &lt;репозиторий&gt; &amp;&amp; cd &lt;каталог&gt;</w:t>
      </w:r>
    </w:p>
    <w:p>
      <w:pPr>
        <w:keepLines/>
        <w:shd w:fill="F2F4F7" w:color="auto" w:val="clear"/>
        <w:spacing w:after="140" w:before="0" w:line="250"/>
        <w:ind w:left="60" w:right="60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docker compose up --build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Первая сборка идёт ориентировочно 5–10 минут, следующие быстрее за счёт кеша слоёв. Когда в логе
появится строка сервера Next.js о готовности, откройте </w:t>
      </w:r>
      <w:hyperlink w:history="1" r:id="rId-eon_vo8cfmi4jscccmps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1A42A8"/>
            <w:u w:val="single"/>
          </w:rPr>
          <w:t xml:space="preserve">http://localhost:3000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Что происходит по порядку: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20"/>
        <w:gridCol w:w="6560"/>
        <w:gridCol w:w="2158"/>
      </w:tblGrid>
      <w:tr>
        <w:trPr>
          <w:cantSplit/>
          <w:tblHeader/>
        </w:trPr>
        <w:tc>
          <w:tcPr>
            <w:tcW w:type="dxa" w:w="92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Сервис</w:t>
            </w:r>
          </w:p>
        </w:tc>
        <w:tc>
          <w:tcPr>
            <w:tcW w:type="dxa" w:w="656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Что делает</w:t>
            </w:r>
          </w:p>
        </w:tc>
        <w:tc>
          <w:tcPr>
            <w:tcW w:type="dxa" w:w="215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Когда готов</w:t>
            </w:r>
          </w:p>
        </w:tc>
      </w:tr>
      <w:tr>
        <w:trPr>
          <w:cantSplit/>
        </w:trPr>
        <w:tc>
          <w:tcPr>
            <w:tcW w:type="dxa" w:w="92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db</w:t>
            </w:r>
          </w:p>
        </w:tc>
        <w:tc>
          <w:tcPr>
            <w:tcW w:type="dxa" w:w="656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Postgres 16, данные в томе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rrp_pgdata</w:t>
            </w:r>
          </w:p>
        </w:tc>
        <w:tc>
          <w:tcPr>
            <w:tcW w:type="dxa" w:w="215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pg_isready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 отвечает по TCP</w:t>
            </w:r>
          </w:p>
        </w:tc>
      </w:tr>
      <w:tr>
        <w:trPr>
          <w:cantSplit/>
        </w:trPr>
        <w:tc>
          <w:tcPr>
            <w:tcW w:type="dxa" w:w="92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migrate</w:t>
            </w:r>
          </w:p>
        </w:tc>
        <w:tc>
          <w:tcPr>
            <w:tcW w:type="dxa" w:w="656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prisma migrate deploy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, затем сев: справочники, каталог, параметры, нормативы, демо-аккаунты, демо-проект</w:t>
            </w:r>
          </w:p>
        </w:tc>
        <w:tc>
          <w:tcPr>
            <w:tcW w:type="dxa" w:w="215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завершился с кодом 0</w:t>
            </w:r>
          </w:p>
        </w:tc>
      </w:tr>
      <w:tr>
        <w:trPr>
          <w:cantSplit/>
        </w:trPr>
        <w:tc>
          <w:tcPr>
            <w:tcW w:type="dxa" w:w="92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app</w:t>
            </w:r>
          </w:p>
        </w:tc>
        <w:tc>
          <w:tcPr>
            <w:tcW w:type="dxa" w:w="656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приложение Next.js (standalone) на порту 3000</w:t>
            </w:r>
          </w:p>
        </w:tc>
        <w:tc>
          <w:tcPr>
            <w:tcW w:type="dxa" w:w="215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GET /api/health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 → 200</w:t>
            </w:r>
          </w:p>
        </w:tc>
      </w:tr>
    </w:tbl>
    <w:p>
      <w:pPr>
        <w:spacing w:after="60"/>
      </w:pP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Демо-аккаунты: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пользователь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demo@demo.local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demo-user-2026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администратор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admin@demo.local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demo-admin-2026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Сев идемпотентен, поэтому повторный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docker compose up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безопасен: данные и созданные
проекты сохраняются в томе. Демо-проект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demo-warehouse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при каждом севе создаётся заново.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Проверка без браузера:</w:t>
      </w:r>
    </w:p>
    <w:p>
      <w:pPr>
        <w:keepLines/>
        <w:shd w:fill="F2F4F7" w:color="auto" w:val="clear"/>
        <w:spacing w:after="0" w:before="60" w:line="250"/>
        <w:ind w:left="60" w:right="60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curl http://localhost:3000/api/health</w:t>
      </w:r>
    </w:p>
    <w:p>
      <w:pPr>
        <w:keepLines/>
        <w:shd w:fill="F2F4F7" w:color="auto" w:val="clear"/>
        <w:spacing w:after="140" w:before="0" w:line="250"/>
        <w:ind w:left="60" w:right="60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# {"ok":true,"db":true,"modelVersion":"tz-1.0.0","simModelVersion":"sim-1.0.0"}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Переменные, которые можно задать в shell или в файле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.env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рядом с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docker-compose.yml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07"/>
        <w:gridCol w:w="2579"/>
        <w:gridCol w:w="4152"/>
      </w:tblGrid>
      <w:tr>
        <w:trPr>
          <w:cantSplit/>
          <w:tblHeader/>
        </w:trPr>
        <w:tc>
          <w:tcPr>
            <w:tcW w:type="dxa" w:w="290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Переменная</w:t>
            </w:r>
          </w:p>
        </w:tc>
        <w:tc>
          <w:tcPr>
            <w:tcW w:type="dxa" w:w="257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По умолчанию</w:t>
            </w:r>
          </w:p>
        </w:tc>
        <w:tc>
          <w:tcPr>
            <w:tcW w:type="dxa" w:w="415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Зачем</w:t>
            </w:r>
          </w:p>
        </w:tc>
      </w:tr>
      <w:tr>
        <w:trPr>
          <w:cantSplit/>
        </w:trPr>
        <w:tc>
          <w:tcPr>
            <w:tcW w:type="dxa" w:w="290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AUTH_SECRET</w:t>
            </w:r>
          </w:p>
        </w:tc>
        <w:tc>
          <w:tcPr>
            <w:tcW w:type="dxa" w:w="257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демонстрационное значение</w:t>
            </w:r>
          </w:p>
        </w:tc>
        <w:tc>
          <w:tcPr>
            <w:tcW w:type="dxa" w:w="415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Обязательно задать своё на стенде, доступном извне: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openssl rand -base64 32</w:t>
            </w:r>
          </w:p>
        </w:tc>
      </w:tr>
      <w:tr>
        <w:trPr>
          <w:cantSplit/>
        </w:trPr>
        <w:tc>
          <w:tcPr>
            <w:tcW w:type="dxa" w:w="290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DEMO_USER_PASSWORD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DEMO_ADMIN_PASSWORD</w:t>
            </w:r>
          </w:p>
        </w:tc>
        <w:tc>
          <w:tcPr>
            <w:tcW w:type="dxa" w:w="257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demo-user-2026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demo-admin-2026</w:t>
            </w:r>
          </w:p>
        </w:tc>
        <w:tc>
          <w:tcPr>
            <w:tcW w:type="dxa" w:w="415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Пароли демо-аккаунтов, задаются при севе</w:t>
            </w:r>
          </w:p>
        </w:tc>
      </w:tr>
      <w:tr>
        <w:trPr>
          <w:cantSplit/>
        </w:trPr>
        <w:tc>
          <w:tcPr>
            <w:tcW w:type="dxa" w:w="290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ADMIN_API_TOKEN</w:t>
            </w:r>
          </w:p>
        </w:tc>
        <w:tc>
          <w:tcPr>
            <w:tcW w:type="dxa" w:w="257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не задан (вход по токену выключен)</w:t>
            </w:r>
          </w:p>
        </w:tc>
        <w:tc>
          <w:tcPr>
            <w:tcW w:type="dxa" w:w="415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Запись через API v1 заголовком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Authorization: Bearer …</w:t>
            </w:r>
          </w:p>
        </w:tc>
      </w:tr>
      <w:tr>
        <w:trPr>
          <w:cantSplit/>
        </w:trPr>
        <w:tc>
          <w:tcPr>
            <w:tcW w:type="dxa" w:w="290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APP_PORT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DB_PORT</w:t>
            </w:r>
          </w:p>
        </w:tc>
        <w:tc>
          <w:tcPr>
            <w:tcW w:type="dxa" w:w="257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3000, 5433</w:t>
            </w:r>
          </w:p>
        </w:tc>
        <w:tc>
          <w:tcPr>
            <w:tcW w:type="dxa" w:w="415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Если эти порты на хосте заняты</w:t>
            </w:r>
          </w:p>
        </w:tc>
      </w:tr>
    </w:tbl>
    <w:p>
      <w:pPr>
        <w:spacing w:after="60"/>
      </w:pP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Частые ситуации: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Порт занят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bind: address already in use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APP_PORT=3001 docker compose up --build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
затем откройте </w:t>
      </w:r>
      <w:hyperlink w:history="1" r:id="rIdx3tr2qpkvitx5nmchdk0t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1A42A8"/>
            <w:u w:val="single"/>
          </w:rPr>
          <w:t xml:space="preserve">http://localhost:3001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. Для базы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DB_PORT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Приложение не стартует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app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ждёт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migrate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: смотрите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docker compose logs migrate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.
Ошибка миграции или сева останавливает запуск намеренно, чтобы не показывать пустой каталог.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После изменения кода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выполните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docker compose up --build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: без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--build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запустятся
старые образы.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Начать с чистой базы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docker compose down -v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(удалит том с данными), затем
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docker compose up --build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Вход при общем адресе.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В Docker все запросы из браузера хоста приходят с одного адреса
шлюза, поэтому лимит попыток входа по IP — 50 за 15 минут — общий для всех вкладок и
пользователей этой машины. Для демо-аккаунтов лимит по почте поднят до 100.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AUTH_URL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в compose не передаётся намеренно: адрес берётся из запроса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trustHost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), и
вход работает и по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localhost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и по IP машины. HTTPS compose не настраивает; на
публичном стенде поставьте перед приложением обратный прокси с TLS.</w:t>
      </w:r>
    </w:p>
    <w:p>
      <w:pPr>
        <w:pStyle w:val="Heading2"/>
        <w:keepNext/>
        <w:outlineLvl w:val="1"/>
      </w:pPr>
      <w:bookmarkStart w:name="toc45" w:id="1"/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3. Путь B — локально без Docker</w:t>
      </w:r>
      <w:bookmarkEnd w:id="1"/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Нужны Node.js 20.9+ и PostgreSQL 16 (любой: локальный сервис, облачный). По умолчанию
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.env.example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смотрит на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localhost:5433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пользователь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rrp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база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robotization_roi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.</w:t>
      </w:r>
    </w:p>
    <w:p>
      <w:pPr>
        <w:keepLines/>
        <w:shd w:fill="F2F4F7" w:color="auto" w:val="clear"/>
        <w:spacing w:after="0" w:before="60" w:line="250"/>
        <w:ind w:left="60" w:right="60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npm ci</w:t>
      </w:r>
    </w:p>
    <w:p>
      <w:pPr>
        <w:keepLines/>
        <w:shd w:fill="F2F4F7" w:color="auto" w:val="clear"/>
        <w:spacing w:after="0" w:before="0" w:line="250"/>
        <w:ind w:left="60" w:right="60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cp .env.example .env          # затем впишите AUTH_SECRET: openssl rand -base64 32</w:t>
      </w:r>
    </w:p>
    <w:p>
      <w:pPr>
        <w:keepLines/>
        <w:shd w:fill="F2F4F7" w:color="auto" w:val="clear"/>
        <w:spacing w:after="0" w:before="0" w:line="250"/>
        <w:ind w:left="60" w:right="60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                             # и при другой базе — свой DATABASE_URL</w:t>
      </w:r>
    </w:p>
    <w:p>
      <w:pPr>
        <w:keepLines/>
        <w:shd w:fill="F2F4F7" w:color="auto" w:val="clear"/>
        <w:spacing w:after="0" w:before="0" w:line="250"/>
        <w:ind w:left="60" w:right="60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npx prisma migrate deploy     # 12 миграций, последняя — 20260924120000_tz_v2</w:t>
      </w:r>
    </w:p>
    <w:p>
      <w:pPr>
        <w:keepLines/>
        <w:shd w:fill="F2F4F7" w:color="auto" w:val="clear"/>
        <w:spacing w:after="0" w:before="0" w:line="250"/>
        <w:ind w:left="60" w:right="60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npm run db:seed               # справочники v1 и v2, каталог, нормативы, демо-аккаунты, демо-проект</w:t>
      </w:r>
    </w:p>
    <w:p>
      <w:pPr>
        <w:keepLines/>
        <w:shd w:fill="F2F4F7" w:color="auto" w:val="clear"/>
        <w:spacing w:after="0" w:before="0" w:line="250"/>
        <w:ind w:left="60" w:right="60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npm run build</w:t>
      </w:r>
    </w:p>
    <w:p>
      <w:pPr>
        <w:keepLines/>
        <w:shd w:fill="F2F4F7" w:color="auto" w:val="clear"/>
        <w:spacing w:after="140" w:before="0" w:line="250"/>
        <w:ind w:left="60" w:right="60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npm start                     # http://localhost:3000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npm run db:seed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печатает отчёт синхронизации, итоговые числа демо-проекта и строку «изменений
нет» или «изменено записей — N». Второй прогон в новом слое ничего не меняет, кроме
пересоздания демо-проекта.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AUTH_SECRET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обязателен для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npm start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: без него Auth.js в production отдаёт 500.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Для разработки вместо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build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и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start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npm run dev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Никогда не выполняйте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prisma migrate reset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и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prisma db push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на базе с данными: первая
удаляет все данные, вторая обходит историю миграций.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Демо-числа, которые должны совпасть с презентацией:</w:t>
      </w:r>
    </w:p>
    <w:p>
      <w:pPr>
        <w:keepLines/>
        <w:shd w:fill="F2F4F7" w:color="auto" w:val="clear"/>
        <w:spacing w:after="0" w:before="60" w:line="250"/>
        <w:ind w:left="60" w:right="60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npx tsx scripts/print-demo-numbers.ts              # таблицы в консоль</w:t>
      </w:r>
    </w:p>
    <w:p>
      <w:pPr>
        <w:keepLines/>
        <w:shd w:fill="F2F4F7" w:color="auto" w:val="clear"/>
        <w:spacing w:after="140" w:before="0" w:line="250"/>
        <w:ind w:left="60" w:right="60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npx tsx scripts/print-demo-numbers.ts --markdown   # то же, что docs/submission/demo-numbers.md</w:t>
      </w:r>
    </w:p>
    <w:p>
      <w:pPr>
        <w:pStyle w:val="Heading2"/>
        <w:keepNext/>
        <w:outlineLvl w:val="1"/>
      </w:pPr>
      <w:bookmarkStart w:name="toc46" w:id="1"/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4. Проверка на чистом экземпляре без Docker</w:t>
      </w:r>
      <w:bookmarkEnd w:id="1"/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Если Docker недоступен, тот же путь проверяется на локальном Postgres (порт 5433, как в
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.env.example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):</w:t>
      </w:r>
    </w:p>
    <w:p>
      <w:pPr>
        <w:keepLines/>
        <w:shd w:fill="F2F4F7" w:color="auto" w:val="clear"/>
        <w:spacing w:after="0" w:before="60" w:line="250"/>
        <w:ind w:left="60" w:right="60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npm run build</w:t>
      </w:r>
    </w:p>
    <w:p>
      <w:pPr>
        <w:keepLines/>
        <w:shd w:fill="F2F4F7" w:color="auto" w:val="clear"/>
        <w:spacing w:after="0" w:before="0" w:line="250"/>
        <w:ind w:left="60" w:right="60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npm run check:fresh               # полный прогон</w:t>
      </w:r>
    </w:p>
    <w:p>
      <w:pPr>
        <w:keepLines/>
        <w:shd w:fill="F2F4F7" w:color="auto" w:val="clear"/>
        <w:spacing w:after="140" w:before="0" w:line="250"/>
        <w:ind w:left="60" w:right="60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npm run check:fresh -- --dry-run  # только предпосылки, ничего не создаёт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Скрипт создаёт временную базу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rrp_fresh_&lt;время&gt;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и выполняет в ней миграции и сев. Затем
поднимает собранный сервер на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127.0.0.1:3100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проверяет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/api/health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и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/demo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
печатает отчёт и удаляет временную базу. Рабочую базу из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.env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он не меняет. Последняя строка
вывода — итог, код выхода 0 или 1. Скрипт отказывается работать с нелокальным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DATABASE_URL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
и перед удалением сверяет имя базы с шаблоном.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Для файла-доказательства запускайте из bash: в Windows PowerShell 5.1 оператор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&gt;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пишет
UTF-16. Пример: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npx tsx scripts/fresh-instance-check.ts &gt; docs/submission/fresh-instance-log.txt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В CI тот же путь в образах проходит задача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docker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.github/workflows/ci.yml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 на каждый push.</w:t>
      </w:r>
    </w:p>
    <w:p>
      <w:pPr>
        <w:pStyle w:val="Heading2"/>
        <w:keepNext/>
        <w:outlineLvl w:val="1"/>
      </w:pPr>
      <w:bookmarkStart w:name="toc47" w:id="1"/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5. Проверка дерева перед выкладкой</w:t>
      </w:r>
      <w:bookmarkEnd w:id="1"/>
    </w:p>
    <w:p>
      <w:pPr>
        <w:keepLines/>
        <w:shd w:fill="F2F4F7" w:color="auto" w:val="clear"/>
        <w:spacing w:after="0" w:before="60" w:line="250"/>
        <w:ind w:left="60" w:right="60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npx tsc --noEmit --incremental false               # 0 ошибок</w:t>
      </w:r>
    </w:p>
    <w:p>
      <w:pPr>
        <w:keepLines/>
        <w:shd w:fill="F2F4F7" w:color="auto" w:val="clear"/>
        <w:spacing w:after="0" w:before="0" w:line="250"/>
        <w:ind w:left="60" w:right="60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npx vitest run --project unit &lt; /dev/null          # чистые модули</w:t>
      </w:r>
    </w:p>
    <w:p>
      <w:pPr>
        <w:keepLines/>
        <w:shd w:fill="F2F4F7" w:color="auto" w:val="clear"/>
        <w:spacing w:after="0" w:before="0" w:line="250"/>
        <w:ind w:left="60" w:right="60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npx vitest run --project db &lt; /dev/null            # тесты на настоящей базе (после миграций и сева)</w:t>
      </w:r>
    </w:p>
    <w:p>
      <w:pPr>
        <w:keepLines/>
        <w:shd w:fill="F2F4F7" w:color="auto" w:val="clear"/>
        <w:spacing w:after="0" w:before="0" w:line="250"/>
        <w:ind w:left="60" w:right="60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npm run lint -- --max-warnings=0                   # тишина — значит, чисто</w:t>
      </w:r>
    </w:p>
    <w:p>
      <w:pPr>
        <w:keepLines/>
        <w:shd w:fill="F2F4F7" w:color="auto" w:val="clear"/>
        <w:spacing w:after="0" w:before="0" w:line="250"/>
        <w:ind w:left="60" w:right="60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npm run build                                      # 43 маршрута, все ƒ</w:t>
      </w:r>
    </w:p>
    <w:p>
      <w:pPr>
        <w:keepLines/>
        <w:shd w:fill="F2F4F7" w:color="auto" w:val="clear"/>
        <w:spacing w:after="0" w:before="0" w:line="250"/>
        <w:ind w:left="60" w:right="60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npx playwright install chromium                    # один раз</w:t>
      </w:r>
    </w:p>
    <w:p>
      <w:pPr>
        <w:keepLines/>
        <w:shd w:fill="F2F4F7" w:color="auto" w:val="clear"/>
        <w:spacing w:after="140" w:before="0" w:line="250"/>
        <w:ind w:left="60" w:right="60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npm run test:e2e                                   # собирает и запускает приложение сам</w:t>
      </w:r>
    </w:p>
    <w:p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&lt; /dev/null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у vitest обязателен: без него раннер ждёт ввода и выглядит зависшим. Перед e2e
остановите сервер на порту 3000 — иначе тесты пойдут против старой сборки.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Последний прогон CI (коммит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b112b35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запуск 36136864124): Vitest — 102 файла, 1473 теста,
все зелёные; e2e — 10 тестов, все зелёные; задача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docker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/api/health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ответил через 5 с,
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и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/demo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— 200.</w:t>
      </w:r>
    </w:p>
    <w:p>
      <w:pPr>
        <w:pStyle w:val="Heading2"/>
        <w:keepNext/>
        <w:outlineLvl w:val="1"/>
      </w:pPr>
      <w:bookmarkStart w:name="toc48" w:id="1"/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6. Vercel и новая база Neon</w:t>
      </w:r>
      <w:bookmarkEnd w:id="1"/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Публичный стенд для жюри — отдельный проект Vercel с </w:t>
      </w: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новой, пустой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базой Neon.</w:t>
      </w:r>
    </w:p>
    <w:p>
      <w:pPr>
        <w:pBdr>
          <w:left w:val="single" w:color="9DB0E0" w:sz="18" w:space="10"/>
        </w:pBdr>
        <w:ind w:left="300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374151"/>
        </w:rPr>
        <w:t xml:space="preserve">Правила.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374151"/>
        </w:rPr>
        <w:t xml:space="preserve">Не мигрировать базу прежней боевой версии.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374151"/>
        </w:rPr>
        <w:t xml:space="preserve"> На ней живут пользователи и расчёты
модели v1; выкладка поверх неё — отдельная процедура (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374151"/>
        </w:rPr>
        <w:t xml:space="preserve">DEPLOY.md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374151"/>
        </w:rPr>
        <w:t xml:space="preserve"> (docs/DEPLOY.md)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374151"/>
        </w:rPr>
        <w:t xml:space="preserve">, §3) с
дампом, окном недоступности и проверками. Для стенда по ТЗ она не нужна.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374151"/>
        </w:rPr>
        <w:t xml:space="preserve">Никогда не выполнять </w:t>
      </w: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374151"/>
          <w:sz w:val="18"/>
          <w:szCs w:val="18"/>
          <w:shd w:fill="EEF1F6" w:color="auto" w:val="clear"/>
        </w:rPr>
        <w:t xml:space="preserve">prisma migrate reset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374151"/>
        </w:rPr>
        <w:t xml:space="preserve"> и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374151"/>
          <w:sz w:val="18"/>
          <w:szCs w:val="18"/>
          <w:shd w:fill="EEF1F6" w:color="auto" w:val="clear"/>
        </w:rPr>
        <w:t xml:space="preserve">prisma db push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374151"/>
        </w:rPr>
        <w:t xml:space="preserve"> против облачной базы.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374151"/>
        </w:rPr>
        <w:t xml:space="preserve">Миграции и сев — вручную и по прямой строке подключения, не в команде сборки.</w:t>
      </w:r>
    </w:p>
    <w:p>
      <w:pPr>
        <w:pStyle w:val="Heading3"/>
        <w:keepNext/>
        <w:outlineLvl w:val="2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6.1 База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Создайте базу через Vercel, чтобы строки подключения попали в проект сами (нужен Vercel CLI
v59 и новее — используйте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npx vercel@latest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):</w:t>
      </w:r>
    </w:p>
    <w:p>
      <w:pPr>
        <w:keepLines/>
        <w:shd w:fill="F2F4F7" w:color="auto" w:val="clear"/>
        <w:spacing w:after="140" w:before="60" w:line="250"/>
        <w:ind w:left="60" w:right="60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vercel install neon --name &lt;имя-базы&gt; -e production -e preview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Первый запуск останавливается с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integration_terms_acceptance_required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и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verification_uri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:
примите условия в браузере один раз и повторите команду. Из переменных, которые появятся в
проекте, важны две: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DATABASE_URL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— </w:t>
      </w: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через пул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(хост содержит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-pooler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): на ней работает приложение;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DATABASE_URL_UNPOOLED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— </w:t>
      </w: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прямая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: по ней идут миграции и сев.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Они не взаимозаменяемы: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@prisma/adapter-pg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открывает пул на каждый экземпляр serverless,
поэтому приложению нужен пулер, а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prisma migrate deploy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берёт advisory-блокировку, которую
пулер в режиме транзакций может потерять.</w:t>
      </w:r>
    </w:p>
    <w:p>
      <w:pPr>
        <w:pStyle w:val="Heading3"/>
        <w:keepNext/>
        <w:outlineLvl w:val="2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6.2 Миграции и сев с вашей машины</w:t>
      </w:r>
    </w:p>
    <w:p>
      <w:pPr>
        <w:keepLines/>
        <w:shd w:fill="F2F4F7" w:color="auto" w:val="clear"/>
        <w:spacing w:after="0" w:before="60" w:line="250"/>
        <w:ind w:left="60" w:right="60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vercel env pull .env.deploy --environment=production --yes</w:t>
      </w:r>
    </w:p>
    <w:p>
      <w:pPr>
        <w:keepLines/>
        <w:shd w:fill="F2F4F7" w:color="auto" w:val="clear"/>
        <w:spacing w:after="0" w:before="0" w:line="250"/>
        <w:ind w:left="60" w:right="60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DATABASE_URL="&lt;DATABASE_URL_UNPOOLED&gt;" npx prisma migrate deploy</w:t>
      </w:r>
    </w:p>
    <w:p>
      <w:pPr>
        <w:keepLines/>
        <w:shd w:fill="F2F4F7" w:color="auto" w:val="clear"/>
        <w:spacing w:after="0" w:before="0" w:line="250"/>
        <w:ind w:left="60" w:right="60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DATABASE_URL="&lt;DATABASE_URL_UNPOOLED&gt;" DEMO_USER_PASSWORD="&lt;пароль&gt;" DEMO_ADMIN_PASSWORD="&lt;пароль&gt;" npm run db:seed</w:t>
      </w:r>
    </w:p>
    <w:p>
      <w:pPr>
        <w:keepLines/>
        <w:shd w:fill="F2F4F7" w:color="auto" w:val="clear"/>
        <w:spacing w:after="140" w:before="0" w:line="250"/>
        <w:ind w:left="60" w:right="60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DATABASE_URL="&lt;DATABASE_URL_UNPOOLED&gt;" npx prisma migrate status   # ожидается «up to date»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Переменные — в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.env.deploy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</w:t>
      </w: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не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в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.env.local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: Next загружает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.env.local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раньше
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.env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и облачные значения молча перенаправили бы локальные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npm run dev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и тесты (они
создают и удаляют пользователей) в облачную базу.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npm run db:seed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на новой базе засевает справочники v1 и v2, каталог (188 продуктов),
нормативы, параметры, демо-аккаунты и демо-проект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demo-warehouse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. Сев идемпотентен.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Пароли демо-аккаунтов задайте свои и передайте жюри отдельно, не в репозитории.</w:t>
      </w:r>
    </w:p>
    <w:p>
      <w:pPr>
        <w:pStyle w:val="Heading3"/>
        <w:keepNext/>
        <w:outlineLvl w:val="2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6.3 Проект Vercel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Импортируйте репозиторий на vercel.com/new или выполните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vercel link --yes --project &lt;имя&gt;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
и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vercel deploy --prod --yes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. Шаблон определится как Next.js; настройки сборки не меняйте.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Переменные окружения (Production и Preview):</w:t>
      </w:r>
    </w:p>
    <w:tbl>
      <w:tblPr>
        <w:tblW w:type="dxa" w:w="9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6"/>
        <w:gridCol w:w="7312"/>
      </w:tblGrid>
      <w:tr>
        <w:trPr>
          <w:cantSplit/>
          <w:tblHeader/>
        </w:trPr>
        <w:tc>
          <w:tcPr>
            <w:tcW w:type="dxa" w:w="192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Имя</w:t>
            </w:r>
          </w:p>
        </w:tc>
        <w:tc>
          <w:tcPr>
            <w:tcW w:type="dxa" w:w="731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192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DATABASE_URL</w:t>
            </w:r>
          </w:p>
        </w:tc>
        <w:tc>
          <w:tcPr>
            <w:tcW w:type="dxa" w:w="731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строка Neon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через пул</w:t>
            </w:r>
          </w:p>
        </w:tc>
      </w:tr>
      <w:tr>
        <w:trPr>
          <w:cantSplit/>
        </w:trPr>
        <w:tc>
          <w:tcPr>
            <w:tcW w:type="dxa" w:w="192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AUTH_SECRET</w:t>
            </w:r>
          </w:p>
        </w:tc>
        <w:tc>
          <w:tcPr>
            <w:tcW w:type="dxa" w:w="731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новое значение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openssl rand -base64 32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, не значение разработки</w:t>
            </w:r>
          </w:p>
        </w:tc>
      </w:tr>
      <w:tr>
        <w:trPr>
          <w:cantSplit/>
        </w:trPr>
        <w:tc>
          <w:tcPr>
            <w:tcW w:type="dxa" w:w="192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ADMIN_API_TOKEN</w:t>
            </w:r>
          </w:p>
        </w:tc>
        <w:tc>
          <w:tcPr>
            <w:tcW w:type="dxa" w:w="731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по желанию, не короче 16 символов</w:t>
            </w:r>
          </w:p>
        </w:tc>
      </w:tr>
    </w:tbl>
    <w:p>
      <w:pPr>
        <w:spacing w:after="60"/>
      </w:pPr>
    </w:p>
    <w:p>
      <w:pPr>
        <w:spacing w:after="60"/>
        <w:ind w:left="4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AUTH_URL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не нужен: в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auth.ts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стоит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trustHost: true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адрес даёт Vercel.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Выкладка.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Что уже учтено: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postinstall: prisma generate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выполняется при каждой установке, поэтому кеш зависимостей
Vercel не подсунет устаревший клиент Prisma.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output: "standalone"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включается только вне Vercel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process.env.VERCEL ? undefined : "standalone"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): режим standalone ломает шаг Vercel после сборки, а образу Docker он нужен.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Заголовки безопасности (CSP, HSTS, X-Frame-Options, X-Content-Type-Options,
Referrer-Policy) отдаёт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next.config.ts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поэтому они не зависят от хостинга.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exceljs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вынесен в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serverExternalPackages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.</w:t>
      </w:r>
    </w:p>
    <w:p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Не добавляйте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prisma migrate deploy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в команду сборки: она выполнялась бы на каждой
preview-выкладке и через пулер.</w:t>
      </w:r>
    </w:p>
    <w:p>
      <w:pPr>
        <w:pStyle w:val="Heading3"/>
        <w:keepNext/>
        <w:outlineLvl w:val="2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6.4 Дымовая проверка стенда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https://&lt;стенд&gt;/api/health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{"ok":true,"db":true,…}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/demo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открывается, в шаге 6 — таблица сценариев, в шаге 7 — имитация с вердиктом.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/catalog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показывает продукты, карточка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/catalog/ronavi-h1500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— характеристики с
источниками.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Вход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demo@demo.local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→ «Мои проекты» → «Склад организатора (демо)» → числа совпадают с
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submission/demo-numbers.md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(</w:t>
      </w:r>
      <w:hyperlink w:history="1" w:anchor="appA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1A42A8"/>
            <w:u w:val="single"/>
          </w:rPr>
          <w:t xml:space="preserve">прил. А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раздел «Путь жюри (ТЗ §5.4):
новый проект на демо-данных склада» → «Отчёт (PDF)» → предпросмотр печати.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Выход, вход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admin@demo.local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→ в шапке есть «Админка»,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/admin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открывается.</w:t>
      </w:r>
    </w:p>
    <w:p>
      <w:pPr>
        <w:pStyle w:val="Heading3"/>
        <w:keepNext/>
        <w:outlineLvl w:val="2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6.5 Откат и регламент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Vercel хранит все выкладки: Deployments → предыдущая → </w:t>
      </w: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Promote to Production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. База при
этом не откатывается.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Раз в сутки чистите таблицу лимитов:
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DELETE FROM "RateLimit" WHERE "windowStart" &lt; now() - interval '1 day';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
(запланированный запрос Neon или Vercel Cron).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Бесплатные тарифы Neon и Vercel Hobby выдерживают демонстрацию; Hobby запрещает
коммерческое использование — для показа платящим клиентам нужен Pro.</w:t>
      </w:r>
    </w:p>
    <w:p>
      <w:pPr>
        <w:pStyle w:val="Heading1"/>
        <w:pageBreakBefore/>
        <w:outlineLvl w:val="0"/>
      </w:pPr>
      <w:bookmarkStart w:name="ch7" w:id="1"/>
      <w:r>
        <w:t xml:space="preserve">7. Руководство пользователя</w:t>
      </w:r>
      <w:bookmarkEnd w:id="1"/>
    </w:p>
    <w:p>
      <w:pPr>
        <w:pBdr>
          <w:bottom w:val="single" w:color="C8CFDB" w:sz="4" w:space="6"/>
        </w:pBdr>
        <w:spacing w:after="200"/>
      </w:pPr>
      <w:r>
        <w:rPr>
          <w:i/>
          <w:iCs/>
          <w:color w:val="6B7280"/>
          <w:sz w:val="17"/>
          <w:szCs w:val="17"/>
        </w:rPr>
        <w:t xml:space="preserve">Источник: docs/USER-GUIDE.md; снимки экрана сняты со сборки в окне 1366×768 на засеянном демо-проекте «Склад организатора (демо)». Требования: ТЗ §6.7.</w:t>
      </w:r>
    </w:p>
    <w:p>
      <w:pPr>
        <w:pBdr>
          <w:left w:val="single" w:color="9DB0E0" w:sz="18" w:space="10"/>
        </w:pBdr>
        <w:ind w:left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374151"/>
        </w:rPr>
        <w:t xml:space="preserve">Руководство для ТЗ §6.7: как пройти путь от выбора объекта до отчёта, как загрузить
параметры из файла, что означают сообщения платформы, как сохранить, скопировать и удалить
проект. Руководство администратора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374151"/>
        </w:rPr>
        <w:t xml:space="preserve">ADMIN-GUIDE.md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374151"/>
        </w:rPr>
        <w:t xml:space="preserve"> (</w:t>
      </w:r>
      <w:hyperlink w:history="1" w:anchor="ch8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1A42A8"/>
            <w:u w:val="single"/>
          </w:rPr>
          <w:t xml:space="preserve">гл. 8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374151"/>
        </w:rPr>
        <w:t xml:space="preserve">)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374151"/>
        </w:rPr>
        <w:t xml:space="preserve">.</w:t>
      </w:r>
    </w:p>
    <w:p>
      <w:pPr>
        <w:pStyle w:val="Heading2"/>
        <w:keepNext/>
        <w:outlineLvl w:val="1"/>
      </w:pPr>
      <w:bookmarkStart w:name="toc50" w:id="1"/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1. Что умеет платформа</w:t>
      </w:r>
      <w:bookmarkEnd w:id="1"/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Платформа помогает решить, стоит ли роботизировать процесс на объекте и каким решением. Она
подбирает роботизированные решения под параметры объекта, считает CAPEX, OPEX, годовой эффект,
окупаемость, ROI, NPV и TCO для сценариев «Как есть», «Покупка» и «Услуга (RaaS)», проверяет
расчёт имитацией работы роботов на схеме склада и выгружает отчёт.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Полная модель — перемещение паллет на складе. Для аэропорта и медучреждения платформа
показывает параметры, подбор решений и схему, экономика там — прототип
(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LIMITATIONS.md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(</w:t>
      </w:r>
      <w:hyperlink w:history="1" w:anchor="ch9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1A42A8"/>
            <w:u w:val="single"/>
          </w:rPr>
          <w:t xml:space="preserve">гл. 9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Все результаты — </w:t>
      </w: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предварительная оценка, она требует верификации при обследовании
объекта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Интерфейс рассчитан на экран от 1366×768 и современный браузер (Chrome, Edge, Firefox,
Safari). Специального оборудования не нужно.</w:t>
      </w:r>
    </w:p>
    <w:p>
      <w:pPr>
        <w:pStyle w:val="Heading2"/>
        <w:keepNext/>
        <w:outlineLvl w:val="1"/>
      </w:pPr>
      <w:bookmarkStart w:name="toc51" w:id="1"/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2. Без входа: демо-расчёт и каталог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33"/>
        <w:gridCol w:w="3499"/>
        <w:gridCol w:w="4306"/>
      </w:tblGrid>
      <w:tr>
        <w:trPr>
          <w:cantSplit/>
          <w:tblHeader/>
        </w:trPr>
        <w:tc>
          <w:tcPr>
            <w:tcW w:type="dxa" w:w="183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Что</w:t>
            </w:r>
          </w:p>
        </w:tc>
        <w:tc>
          <w:tcPr>
            <w:tcW w:type="dxa" w:w="349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Где</w:t>
            </w:r>
          </w:p>
        </w:tc>
        <w:tc>
          <w:tcPr>
            <w:tcW w:type="dxa" w:w="430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Что можно</w:t>
            </w:r>
          </w:p>
        </w:tc>
      </w:tr>
      <w:tr>
        <w:trPr>
          <w:cantSplit/>
        </w:trPr>
        <w:tc>
          <w:tcPr>
            <w:tcW w:type="dxa" w:w="183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Демо-расчёт склада</w:t>
            </w:r>
          </w:p>
        </w:tc>
        <w:tc>
          <w:tcPr>
            <w:tcW w:type="dxa" w:w="349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кнопка «Открыть демо-расчёт склада» на главной или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/demo</w:t>
            </w:r>
          </w:p>
        </w:tc>
        <w:tc>
          <w:tcPr>
            <w:tcW w:type="dxa" w:w="430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весь путь из 8 шагов на данных организатора, правка параметров, сценарии, имитация, выгрузка CSV. Ничего не сохраняется</w:t>
            </w:r>
          </w:p>
        </w:tc>
      </w:tr>
      <w:tr>
        <w:trPr>
          <w:cantSplit/>
        </w:trPr>
        <w:tc>
          <w:tcPr>
            <w:tcW w:type="dxa" w:w="183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Аэропорт и медучреждение</w:t>
            </w:r>
          </w:p>
        </w:tc>
        <w:tc>
          <w:tcPr>
            <w:tcW w:type="dxa" w:w="349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/demo?facility=airport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/demo?facility=medical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 или переключатель на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/demo</w:t>
            </w:r>
          </w:p>
        </w:tc>
        <w:tc>
          <w:tcPr>
            <w:tcW w:type="dxa" w:w="430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параметры организатора, подбор решений, статичная схема</w:t>
            </w:r>
          </w:p>
        </w:tc>
      </w:tr>
      <w:tr>
        <w:trPr>
          <w:cantSplit/>
        </w:trPr>
        <w:tc>
          <w:tcPr>
            <w:tcW w:type="dxa" w:w="183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Каталог</w:t>
            </w:r>
          </w:p>
        </w:tc>
        <w:tc>
          <w:tcPr>
            <w:tcW w:type="dxa" w:w="349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«Каталог» в шапке,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/catalog</w:t>
            </w:r>
          </w:p>
        </w:tc>
        <w:tc>
          <w:tcPr>
            <w:tcW w:type="dxa" w:w="430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фильтры, поиск, сортировка, карточка продукта с источниками, сравнение до 4 решений</w:t>
            </w:r>
          </w:p>
        </w:tc>
      </w:tr>
      <w:tr>
        <w:trPr>
          <w:cantSplit/>
        </w:trPr>
        <w:tc>
          <w:tcPr>
            <w:tcW w:type="dxa" w:w="183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Методика</w:t>
            </w:r>
          </w:p>
        </w:tc>
        <w:tc>
          <w:tcPr>
            <w:tcW w:type="dxa" w:w="349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«Методика» в шапке,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/methodology/tz</w:t>
            </w:r>
          </w:p>
        </w:tc>
        <w:tc>
          <w:tcPr>
            <w:tcW w:type="dxa" w:w="430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все формулы, нормативы с источниками, процессы, имитация, версии, ограничения</w:t>
            </w:r>
          </w:p>
        </w:tc>
      </w:tr>
    </w:tbl>
    <w:p>
      <w:pPr>
        <w:spacing w:after="6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6124575" cy="3448050"/>
            <wp:effectExtent t="0" r="0" b="0" l="0"/>
            <wp:docPr id="1" name="u1-home.png" descr="Главная страница с кнопками «Открыть демо-расчёт склада» и «Создать проект»" title="Главная страница с кнопками «Открыть демо-расчёт склада» и «Создать проект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Рисунок 6 — Главная страница с кнопками «Открыть демо-расчёт склада» и «Создать проект»</w:t>
      </w:r>
    </w:p>
    <w:p>
      <w:pPr>
        <w:pStyle w:val="Heading2"/>
        <w:keepNext/>
        <w:outlineLvl w:val="1"/>
      </w:pPr>
      <w:bookmarkStart w:name="toc52" w:id="1"/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3. Вход</w:t>
      </w:r>
      <w:bookmarkEnd w:id="1"/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«Войти» в шапке. Демо-аккаунт пользователя: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demo@demo.local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demo-user-2026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(пароль
на конкретном стенде может быть изменён — уточните у организаторов показа).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«Регистрация» — свой аккаунт по адресу почты и паролю. Пароль длиннее 72 байт не
принимается: платформа не обрезает его молча. После регистрации открывается мастер прежней
модели v1; к проектам по ТЗ ведёт ссылка «Проекты» в шапке.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После входа открывается «Мои проекты».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Ограничение попыток входа: 10 за 15 минут на пару «почта + адрес» (у демо-аккаунтов — 100)
и 50 за 15 минут на один адрес. Если вся группа входит из одной сети, общий лимит — 50
входов за 15 минут на сеть.</w:t>
      </w:r>
    </w:p>
    <w:p>
      <w:pPr>
        <w:pStyle w:val="Heading2"/>
        <w:keepNext/>
        <w:outlineLvl w:val="1"/>
      </w:pPr>
      <w:bookmarkStart w:name="toc53" w:id="1"/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4. Мои проекты</w:t>
      </w:r>
      <w:bookmarkEnd w:id="1"/>
    </w:p>
    <w:p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/projects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— таблица проектов: название, тип объекта, число сценариев, дата изменения (МСК),
лучшая окупаемость. Действия: «Открыть», «Копировать», «Удалить», кнопка «Новый проект».
У демо-аккаунта уже есть проект «Склад организатора (демо)».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24575" cy="3448050"/>
            <wp:effectExtent t="0" r="0" b="0" l="0"/>
            <wp:docPr id="1" name="u2-projects.png" descr="Список «Мои проекты» демо-пользователя" title="Список «Мои проекты» демо-пользова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Рисунок 7 — Список «Мои проекты» демо-пользователя</w:t>
      </w:r>
    </w:p>
    <w:p>
      <w:pPr>
        <w:pStyle w:val="Heading2"/>
        <w:keepNext/>
        <w:outlineLvl w:val="1"/>
      </w:pPr>
      <w:bookmarkStart w:name="toc54" w:id="1"/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5. Путь по шагам</w:t>
      </w:r>
      <w:bookmarkEnd w:id="1"/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Рабочая область проекта — одна страница из восьми разделов. Над ними липкая строка «Шаги по
ТЗ» (1 Объект · 2 Параметры · 3 Подбор · 4 Сравнение · 5 Экономика · 6 Сценарии · 7 Имитация ·
8 Отчёт), кнопка «Пересчитать» и строка состояния «Расчёт выполнен за … мс · модель
tz-1.0.0 · данные …».</w:t>
      </w:r>
    </w:p>
    <w:p>
      <w:pPr>
        <w:pStyle w:val="Heading3"/>
        <w:keepNext/>
        <w:outlineLvl w:val="2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Шаг 1. Объект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«Новый проект»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/projects/new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):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Название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проекта, например «РЦ Подольск».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Объект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— адрес или описание, например «склад класса A, Подольск, ул. Складская, 1».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Тип объекта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— плитки «Склад» (подбор, экономика, сценарии и имитация парка),
«Аэропорт» и «Медучреждение» (параметры и подбор решений; экономика — прототип).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Источник параметров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«Демо-данные организатора» — базовые значения датасета организатора;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«Загрузить Excel/CSV по шаблону» — файл проверяется сразу и ещё раз на сервере (раздел 6);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«Заполнить вручную (от базовых значений)» — форма с базовыми значениями, их правите вы.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«Создать проект». Платформа сама считает модель, подбирает решения и создаёт сценарии по
умолчанию: «Как есть», «Покупка — {лучшее решение}», «Услуга (RaaS) — {лучшее решение со
ставкой}» и «Покупка — {второе решение}».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24575" cy="3448050"/>
            <wp:effectExtent t="0" r="0" b="0" l="0"/>
            <wp:docPr id="1" name="u3-new.png" descr="Форма «Новый проект»" title="Форма «Новый проект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Рисунок 8 — Форма «Новый проект»</w:t>
      </w:r>
    </w:p>
    <w:p>
      <w:pPr>
        <w:pStyle w:val="Heading3"/>
        <w:keepNext/>
        <w:outlineLvl w:val="2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Шаг 2. Параметры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Параметры сгруппированы по разделам датасета организатора; раздел сворачивается, в заголовке
видно число параметров, изменений и замечаний. Над формой — счётчик «Изменено параметров: N ·
Предупреждений: M».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У каждого поля: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подпись с единицей («Общая площадь склада, м²»);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подсказка и пример с диапазоном: «например, 20 000 · диапазон организатора:
10 000–100 000 м²»;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бейдж источника значения. Нажмите на него, чтобы увидеть лист и строку датасета
организатора, ссылку или обоснование. После правки бейдж меняется на «Задано вами», рядом
появляются базовое значение и кнопка «вернуть базовое»;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для расчётных значений — формула: «базовое значение по формуле: «Общая площадь склада» ×
0,5 (не пересчитывается при правке других полей)».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Числа вводятся с десятичной запятой, пробелы между разрядами допустимы («1 000», «2,5»),
единицу можно дописать («20 000 м²»). Габариты — через «×»: «1200×800×1600».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Значение вне диапазона принимается, но поле подсвечивается: «вне диапазона организатора» или
«вне допустимого диапазона», если границы заданы не организатором. У зафиксированного
организатором параметра (например, коэффициент начислений на ФОТ 1,302) правка допустима и
пишется в журнал.</w:t>
      </w:r>
    </w:p>
    <w:p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Правка параметров не пересчитывает модель сама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как в легенде датасета организатора:
появляется баннер «Параметры изменены — нажмите «Пересчитать»». Нажмите «Пересчитать».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24575" cy="2686050"/>
            <wp:effectExtent t="0" r="0" b="0" l="0"/>
            <wp:docPr id="1" name="u4-params.png" descr="Раздел параметров «Персонал»: бейдж источника, значение вне диапазона организатора, «вернуть базовое»" title="Раздел параметров «Персонал»: бейдж источника, значение вне диапазона организатора, «вернуть базовое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Рисунок 9 — Раздел параметров «Персонал»: бейдж источника, значение вне диапазона организатора, «вернуть базовое»</w:t>
      </w:r>
    </w:p>
    <w:p>
      <w:pPr>
        <w:pStyle w:val="Heading3"/>
        <w:keepNext/>
        <w:outlineLvl w:val="2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Шаг 3. Подбор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Для каждого процесса объекта — формула спроса и сводка «Рекомендуется: 1 · Подходит: N ·
Недостаточно данных: N · Исключено: N». В таблице у каждого решения: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статус: «Рекомендуется», «Подходит», «Недостаточно данных», «Исключён», и пометка «требует
проверки», если данных мало или источники расходятся;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балл 0–100 полосой из пяти факторов (экономика, данные, зрелость, запас, кейсы); раскрытие
«Как сложился балл» объясняет каждый вклад числами;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причины включения или исключения с числами объекта и продукта, например «DMR 600:
грузоподъёмность 600 кг &lt; масса груза 800 кг»;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ограничения («только горизонтальная транспортировка; размещение на верхние ярусы остаётся
за погрузчиками») и недостающие данные с подсказкой, как их восполнить.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Действия: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«Использовать в сценариях» — создаёт сценарий покупки, а если у продукта есть ставка
аренды, то и сценарий услуги;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«Добавить вручную…» — для исключённого решения или решения без данных. Нужна причина.
Решение попадёт в сценарии с пометкой ⚠ везде, включая отчёт и Excel, изменение пишется в
журнал, а сценарий с ним не рекомендуется.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Исключённые решения свёрнуты под «Исключённые решения (n)». Ссылка на продукт открывает его
карточку в каталоге.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24575" cy="3409950"/>
            <wp:effectExtent t="0" r="0" b="0" l="0"/>
            <wp:docPr id="1" name="u5-selection.png" descr="Подбор для перемещения паллет: статусы, балл по факторам, причины, ограничения и недостающие данные" title="Подбор для перемещения паллет: статусы, балл по факторам, причины, ограничения и недостающие данны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Рисунок 10 — Подбор для перемещения паллет: статусы, балл по факторам, причины, ограничения и недостающие данные</w:t>
      </w:r>
    </w:p>
    <w:p>
      <w:pPr>
        <w:pStyle w:val="Heading3"/>
        <w:keepNext/>
        <w:outlineLvl w:val="2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Шаг 4. Сравнение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Решения процесса — столбцами (до шести), характеристики — строками по группам:
«Технические» (грузоподъёмность, скорость, производительность по норме, по циклу на вашей
планировке и принятая, автономность, время зарядки, ширина прохода), «Эксплуатация» (роботов,
зарядных станций, статус подбора), «Экономика» (цена, CAPEX и NPV покупки, окупаемость, ставка
RaaS, полнота данных). Лучшее значение строки выделено жирным. Отсутствующее значение
показано как «нет данных», а не 0.</w:t>
      </w:r>
    </w:p>
    <w:p>
      <w:pPr>
        <w:pStyle w:val="Heading3"/>
        <w:keepNext/>
        <w:outlineLvl w:val="2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Шаг 5. Экономика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Вкладки по сценариям. В каждой: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состав оборудования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: спрос в сутки и в пик, производительность по норме и по циклу,
принятая, «Роботов: ⌈Nточн⌉ = N», зарядные станции, посты диспетчера, высвобождаемые
ставки;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CAPEX и OPEX по статьям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с формулой, подстановкой чисел и источником каждой статьи.
Статьи услуги, входящие в подписку, помечены «входит в подписку (допущение — проверить в
договоре)»;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денежный поток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по годам;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«Как посчитано»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— трассировка каждого шага: «подпись: формула = подстановка».</w:t>
      </w:r>
    </w:p>
    <w:p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Ручные корректировки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(ТЗ §3.5.4): число роботов, производительность, цена, сервис, ставка
RaaS. Под полем всегда видно «авто: …», заданное значение помечено «задано вами», есть кнопка
«вернуть расчётное» и поле «Причина изменения (необязательно)». Для услуги без ставки есть
кнопка «Подставить оценку (5,2 % цены в месяц)» — ставка помечается «оценка», а не «задано
вами».</w:t>
      </w:r>
    </w:p>
    <w:p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Нормативы сценария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: загрузка, резерв парка, доступность, ставка дисконтирования и доля
автоматизируемого труда вводятся в процентах («80» — это 80 %). Значение вне допустимого
диапазона не принимается, поле называет диапазон.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Каждая корректировка сразу видна в журнале (шаг 8) и сохраняется вместе с проектом.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24575" cy="3143250"/>
            <wp:effectExtent t="0" r="0" b="0" l="0"/>
            <wp:docPr id="1" name="u6b-capex.png" descr="Статьи CAPEX с формулами, подстановкой и источниками (сценарий «Покупка — Ronavi H1500»)" title="Статьи CAPEX с формулами, подстановкой и источниками (сценарий «Покупка — Ronavi H1500»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Рисунок 11 — Статьи CAPEX с формулами, подстановкой и источниками (сценарий «Покупка — Ronavi H1500»)</w:t>
      </w:r>
    </w:p>
    <w:p>
      <w:pPr>
        <w:pStyle w:val="Heading3"/>
        <w:keepNext/>
        <w:outlineLvl w:val="2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Шаг 6. Сценарии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Таблица сценариев — все варианты в одной таблице (ТЗ §2.2, шаг 6): состав оборудования,
CAPEX, OPEX в год, ФОТ процесса, годовой эффект, окупаемость с интерпретацией (быстрая — менее
3 лет, средняя — 3–5 лет, долгая — более 5 лет), ROI по ТЗ и чистый, NPV, дисконтированная
окупаемость, TCO, изменение TCO к «Как есть», имитация, риски, вывод. Рекомендуемый сценарий
выделен и помечен ★. ROI услуги помечен «неинформативен при малом CAPEX — сравнивайте NPV и
TCO».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Кнопки «Добавить сценарий» (покупка или услуга с решением из подбора), «Копировать сценарий»,
«Удалить сценарий». В проекте от 3 до 10 сценариев, «Как есть» один и не удаляется.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По вкладкам — </w:t>
      </w: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чувствительность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каждого сценария: таблица рычагов с диапазоном, источником
границ, NPV на концах, размахом и отметкой ⚠ смены знака, рядом диаграмма-«торнадо». Ниже —
</w:t>
      </w: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вывод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: рекомендуемый сценарий, лидер по TCO, главные риски, сильнейший рычаг, горизонт,
при котором вывод меняется, пороговая зарплата и оговорка о предварительной оценке.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24575" cy="3409950"/>
            <wp:effectExtent t="0" r="0" b="0" l="0"/>
            <wp:docPr id="1" name="u7-scenarios.png" descr="Таблица сценариев; рекомендуемый сценарий отмечен ★" title="Таблица сценариев; рекомендуемый сценарий отмечен 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Рисунок 12 — Таблица сценариев; рекомендуемый сценарий отмечен ★</w:t>
      </w:r>
    </w:p>
    <w:p>
      <w:pPr>
        <w:pStyle w:val="Heading3"/>
        <w:keepNext/>
        <w:outlineLvl w:val="2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Шаг 7. Имитация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Имитация проверяет, достигает ли парк рассчитанного потока на схеме вашего склада.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Список «Сценарий и парк»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: для каждого сценария роботизации — «парк по расчёту (N)»,
«минимальный по имитации (M)», «парк по норме организатора (K)». «Как есть» недоступен: без
роботов имитировать нечего.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Кнопки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: «▶ Старт», «❚❚ Стоп», «↺ Перезапуск» (тот же прогон с тем же зерном), скорость
×1 ×2 ×4 ×8 ×16 (×1 — минута модели за секунду), «Сразу к итогу», «Скачать PNG». Ничего не
запускается само.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Схема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: зоны приёмки, хранения, отгрузки и зарядки, стеллажи, маршруты, ворота и
станции. Робот с грузом — закрашенный квадрат, пустой — полый круг, на зарядке — жёлтая
молния. Очередь у ворот и станций видна на схеме.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Показатели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: рассчитано и достигнуто паллет/ч в пик, загрузка парка (и заложенная в
расчёте), простой, зарядка, ожидание у точек, очередь и ожидание p95, узкое место.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Вердикт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: «Расчёт подтверждён имитацией» или «Не подтверждён: {узкое место} —
минимальный парк по имитации M», отметка «парк избыточен».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«Принять парк по имитации»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ставит число роботов M в сценарий и пишет это в журнал.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«Скачать PNG»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— изображение со схемой, показателями, сценарием, зерном, датой и
оговоркой.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Для аэропорта и медучреждения вместо имитации — статичная схема с бейджем «Прототип:
экономика и имитация реализованы для склада».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24575" cy="3409950"/>
            <wp:effectExtent t="0" r="0" b="0" l="0"/>
            <wp:docPr id="1" name="u8-sim.png" descr="Имитация с вердиктом «Расчёт подтверждён имитацией» (сценарий «Покупка — AMR 1500», парк по расчёту)" title="Имитация с вердиктом «Расчёт подтверждён имитацией» (сценарий «Покупка — AMR 1500», парк по расчёту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Рисунок 13 — Имитация с вердиктом «Расчёт подтверждён имитацией» (сценарий «Покупка — AMR 1500», парк по расчёту)</w:t>
      </w:r>
    </w:p>
    <w:p>
      <w:pPr>
        <w:pStyle w:val="Heading3"/>
        <w:keepNext/>
        <w:outlineLvl w:val="2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Шаг 8. Сохранение и отчёт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«Сохранить проект»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— сервер заново считает модель и имитацию на тех же данных, что вы
видите, и сохраняет параметры, сценарии, результаты с версиями модели и данных и журнал.
Сообщение: «Проект сохранён ЧЧ:ММ». Если не удалось — «Не удалось сохранить: … Попробуйте
ещё раз».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«Отчёт (PDF)»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открывает отчёт для печати: параметры объекта, подобранные решения,
состав оборудования, экономика сценариев, статьи CAPEX и OPEX, денежный поток,
чувствительность, имитация со схемой, вывод и риски, формулы, нормативы, ограничения,
источники данных, журнал, дата расчёта и оговорка. Кнопка «Печать / Сохранить PDF» →
«Сохранить как PDF» в диалоге печати браузера.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«Excel»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— книга из 13 листов с живыми формулами (итоги CAPEX и OPEX, эффект,
окупаемость, ROI, NPV, TCO пересчитываются в Excel). </w:t>
      </w: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«CSV»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— таблица сценариев и
денежный поток для русского Excel (разделитель «;», десятичная запятая).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Отчёт, Excel и CSV строятся по </w:t>
      </w: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сохранённому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расчёту: при несохранённых правках эти
кнопки недоступны, пока вы не сохраните проект.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«Копировать проект»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— копия «{название} (копия)» со всеми параметрами и сценариями, без
журнала.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«Удалить проект»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— после подтверждения «Удалить проект «…» со всеми сценариями и
журналом? Действие необратимо.» проект удаляется вместе со сценариями и журналом.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Журнал корректировок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— кто, когда (МСК), сценарий, поле, авто-значение, было, стало,
единица, причина.</w:t>
      </w:r>
    </w:p>
    <w:p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Демо-проект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«Склад организатора (демо)» общий для всех, кто входит под демо-аккаунтом,
поэтому его нельзя сохранить, пересчитать на сервере или удалить — нажмите «Копировать
проект» и работайте с копией.</w:t>
      </w:r>
    </w:p>
    <w:p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Загруженные файлы не хранятся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: файл разбирается в памяти и отбрасывается, в проекте
остаются только значения параметров. При удалении проекта удалять больше нечего.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24575" cy="3448050"/>
            <wp:effectExtent t="0" r="0" b="0" l="0"/>
            <wp:docPr id="1" name="u9-report.png" descr="Отчёт проекта перед печатью в PDF" title="Отчёт проекта перед печатью в 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Рисунок 14 — Отчёт проекта перед печатью в PDF</w:t>
      </w:r>
    </w:p>
    <w:p>
      <w:pPr>
        <w:pStyle w:val="Heading2"/>
        <w:keepNext/>
        <w:outlineLvl w:val="1"/>
      </w:pPr>
      <w:bookmarkStart w:name="toc55" w:id="1"/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6. Загрузка параметров из Excel или CSV</w:t>
      </w:r>
      <w:bookmarkEnd w:id="1"/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Скачайте шаблон: «Скачать шаблон Excel» или «Скачать шаблон CSV» рядом с полем выбора файла
(или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/api/templates/warehouse?format=xlsx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; для аэропорта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airport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для
медучреждения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medical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Заполните столбец «Значение». Остальные столбцы подсказывают: «Ключ», «Раздел»,
«Параметр», «Единица», «Мин», «Макс», «Обязательный», «Пример», «Источник/примечание». В
шаблоне столбец «Значение» уже заполнен демо-значениями организатора. В Excel у
перечислений есть выпадающий список, у чисел — мягкая проверка диапазона, на втором листе
«Как заполнить» — правила.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Выберите файл и нажмите «Проверить файл».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Прочитайте отчёт: «Найдено N параметров, ошибок E, предупреждений W» и таблица «Параметр |
Значение | Статус | Что сделать» со статусами «ок», «по умолчанию», «предупреждение»,
«ошибка». Если в файле есть проблемы, по умолчанию показаны только они.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«Применить значения». При ошибках кнопка недоступна: «Исправьте N ошибок в файле и
проверьте его снова». В журнал попадают только значения, которые отличаются от текущих, с
причиной «значение из файла «…»».</w:t>
      </w:r>
    </w:p>
    <w:p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Правила файла: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Форматы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.xlsx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и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.csv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. Файл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.xls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нужно пересохранить как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.xlsx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Размер — не больше 950 КБ.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Можно загрузить и исходный лист организатора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Датасеты_хакатон.xlsx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листы «Склад»,
«Аэропорт», «Медучреждение»): строки сопоставляются по названию параметра.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CSV: разделитель «;» или «,», кодировка UTF-8, UTF-16 или Windows-1251 (так сохраняет CSV
русский Excel; знаки «²», «×», «−», «₽», которые Excel заменяет на «?», распознаются).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Числа — с десятичной запятой; проценты — целыми («7» или «7%»).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Единица в файле должна совпадать с единицей параметра; синонимы понимаются («руб./мес.» =
«₽/мес», «м2» = «м²»).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Параметр, которого нет в файле, получает значение по умолчанию (статус «по умолчанию»).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Лимит проверок — 30 за 15 минут с одного адреса.</w:t>
      </w:r>
    </w:p>
    <w:p>
      <w:pPr>
        <w:pStyle w:val="Heading2"/>
        <w:keepNext/>
        <w:outlineLvl w:val="1"/>
      </w:pPr>
      <w:bookmarkStart w:name="toc56" w:id="1"/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7. Сообщения и как исправить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2"/>
        <w:gridCol w:w="2350"/>
        <w:gridCol w:w="3086"/>
      </w:tblGrid>
      <w:tr>
        <w:trPr>
          <w:cantSplit/>
          <w:tblHeader/>
        </w:trPr>
        <w:tc>
          <w:tcPr>
            <w:tcW w:type="dxa" w:w="420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Сообщение (пример)</w:t>
            </w:r>
          </w:p>
        </w:tc>
        <w:tc>
          <w:tcPr>
            <w:tcW w:type="dxa" w:w="235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Что случилось</w:t>
            </w:r>
          </w:p>
        </w:tc>
        <w:tc>
          <w:tcPr>
            <w:tcW w:type="dxa" w:w="308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Что сделать</w:t>
            </w:r>
          </w:p>
        </w:tc>
      </w:tr>
      <w:tr>
        <w:trPr>
          <w:cantSplit/>
        </w:trPr>
        <w:tc>
          <w:tcPr>
            <w:tcW w:type="dxa" w:w="420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«Не заполнено обязательное поле «Общая площадь склада». Введите значение в м², например, 20 000»</w:t>
            </w:r>
          </w:p>
        </w:tc>
        <w:tc>
          <w:tcPr>
            <w:tcW w:type="dxa" w:w="235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обязательное поле пустое</w:t>
            </w:r>
          </w:p>
        </w:tc>
        <w:tc>
          <w:tcPr>
            <w:tcW w:type="dxa" w:w="308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введите число</w:t>
            </w:r>
          </w:p>
        </w:tc>
      </w:tr>
      <w:tr>
        <w:trPr>
          <w:cantSplit/>
        </w:trPr>
        <w:tc>
          <w:tcPr>
            <w:tcW w:type="dxa" w:w="420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«Общая площадь склада: «20 000,5,1» — не число. Введите число, дробную часть через запятую»</w:t>
            </w:r>
          </w:p>
        </w:tc>
        <w:tc>
          <w:tcPr>
            <w:tcW w:type="dxa" w:w="235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число записано с ошибкой</w:t>
            </w:r>
          </w:p>
        </w:tc>
        <w:tc>
          <w:tcPr>
            <w:tcW w:type="dxa" w:w="308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одна запятая для дроби, пробелы между разрядами допустимы</w:t>
            </w:r>
          </w:p>
        </w:tc>
      </w:tr>
      <w:tr>
        <w:trPr>
          <w:cantSplit/>
        </w:trPr>
        <w:tc>
          <w:tcPr>
            <w:tcW w:type="dxa" w:w="420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«…: 5 000 вне диапазона организатора 10 000–100 000 м² — проверьте значение»</w:t>
            </w:r>
          </w:p>
        </w:tc>
        <w:tc>
          <w:tcPr>
            <w:tcW w:type="dxa" w:w="235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значение вне диапазона</w:t>
            </w:r>
          </w:p>
        </w:tc>
        <w:tc>
          <w:tcPr>
            <w:tcW w:type="dxa" w:w="308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это предупреждение: расчёт идёт, но проверьте ввод</w:t>
            </w:r>
          </w:p>
        </w:tc>
      </w:tr>
      <w:tr>
        <w:trPr>
          <w:cantSplit/>
        </w:trPr>
        <w:tc>
          <w:tcPr>
            <w:tcW w:type="dxa" w:w="420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«…: нужно целое число. Введите число без дробной части»</w:t>
            </w:r>
          </w:p>
        </w:tc>
        <w:tc>
          <w:tcPr>
            <w:tcW w:type="dxa" w:w="235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дробное в поле количества</w:t>
            </w:r>
          </w:p>
        </w:tc>
        <w:tc>
          <w:tcPr>
            <w:tcW w:type="dxa" w:w="308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введите целое</w:t>
            </w:r>
          </w:p>
        </w:tc>
      </w:tr>
      <w:tr>
        <w:trPr>
          <w:cantSplit/>
        </w:trPr>
        <w:tc>
          <w:tcPr>
            <w:tcW w:type="dxa" w:w="420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«…: нет такого варианта. Выберите один из: …»</w:t>
            </w:r>
          </w:p>
        </w:tc>
        <w:tc>
          <w:tcPr>
            <w:tcW w:type="dxa" w:w="235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значение перечисления не из списка</w:t>
            </w:r>
          </w:p>
        </w:tc>
        <w:tc>
          <w:tcPr>
            <w:tcW w:type="dxa" w:w="308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выберите вариант из списка</w:t>
            </w:r>
          </w:p>
        </w:tc>
      </w:tr>
      <w:tr>
        <w:trPr>
          <w:cantSplit/>
        </w:trPr>
        <w:tc>
          <w:tcPr>
            <w:tcW w:type="dxa" w:w="420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«…: единица «тыс. руб./мес.» не совпадает с «руб./мес.» — пересчитайте значение в руб./мес.»</w:t>
            </w:r>
          </w:p>
        </w:tc>
        <w:tc>
          <w:tcPr>
            <w:tcW w:type="dxa" w:w="235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другая единица в файле</w:t>
            </w:r>
          </w:p>
        </w:tc>
        <w:tc>
          <w:tcPr>
            <w:tcW w:type="dxa" w:w="308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пересчитайте значение в единицу параметра</w:t>
            </w:r>
          </w:p>
        </w:tc>
      </w:tr>
      <w:tr>
        <w:trPr>
          <w:cantSplit/>
        </w:trPr>
        <w:tc>
          <w:tcPr>
            <w:tcW w:type="dxa" w:w="420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«…: значение зафиксировано организатором (1,302); изменение будет записано в журнал»</w:t>
            </w:r>
          </w:p>
        </w:tc>
        <w:tc>
          <w:tcPr>
            <w:tcW w:type="dxa" w:w="235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правка фиксированного параметра</w:t>
            </w:r>
          </w:p>
        </w:tc>
        <w:tc>
          <w:tcPr>
            <w:tcW w:type="dxa" w:w="308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это предупреждение; правка допустима</w:t>
            </w:r>
          </w:p>
        </w:tc>
      </w:tr>
      <w:tr>
        <w:trPr>
          <w:cantSplit/>
        </w:trPr>
        <w:tc>
          <w:tcPr>
            <w:tcW w:type="dxa" w:w="420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«Выберите файл .xlsx или .csv по шаблону»</w:t>
            </w:r>
          </w:p>
        </w:tc>
        <w:tc>
          <w:tcPr>
            <w:tcW w:type="dxa" w:w="235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файл не выбран или пустой</w:t>
            </w:r>
          </w:p>
        </w:tc>
        <w:tc>
          <w:tcPr>
            <w:tcW w:type="dxa" w:w="308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выберите файл</w:t>
            </w:r>
          </w:p>
        </w:tc>
      </w:tr>
      <w:tr>
        <w:trPr>
          <w:cantSplit/>
        </w:trPr>
        <w:tc>
          <w:tcPr>
            <w:tcW w:type="dxa" w:w="420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«Файл больше 950 КБ — удалите лишние листы и повторите»</w:t>
            </w:r>
          </w:p>
        </w:tc>
        <w:tc>
          <w:tcPr>
            <w:tcW w:type="dxa" w:w="235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файл слишком большой</w:t>
            </w:r>
          </w:p>
        </w:tc>
        <w:tc>
          <w:tcPr>
            <w:tcW w:type="dxa" w:w="308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оставьте один лист с параметрами</w:t>
            </w:r>
          </w:p>
        </w:tc>
      </w:tr>
      <w:tr>
        <w:trPr>
          <w:cantSplit/>
        </w:trPr>
        <w:tc>
          <w:tcPr>
            <w:tcW w:type="dxa" w:w="420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«Тип объекта изменён после проверки — проверьте файл заново»</w:t>
            </w:r>
          </w:p>
        </w:tc>
        <w:tc>
          <w:tcPr>
            <w:tcW w:type="dxa" w:w="235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тип объекта сменили после проверки</w:t>
            </w:r>
          </w:p>
        </w:tc>
        <w:tc>
          <w:tcPr>
            <w:tcW w:type="dxa" w:w="308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нажмите «Проверить файл» ещё раз</w:t>
            </w:r>
          </w:p>
        </w:tc>
      </w:tr>
      <w:tr>
        <w:trPr>
          <w:cantSplit/>
        </w:trPr>
        <w:tc>
          <w:tcPr>
            <w:tcW w:type="dxa" w:w="420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«Не удалось связаться с сервером — обновите страницу и повторите»</w:t>
            </w:r>
          </w:p>
        </w:tc>
        <w:tc>
          <w:tcPr>
            <w:tcW w:type="dxa" w:w="235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сеть или новая версия приложения</w:t>
            </w:r>
          </w:p>
        </w:tc>
        <w:tc>
          <w:tcPr>
            <w:tcW w:type="dxa" w:w="308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обновите страницу</w:t>
            </w:r>
          </w:p>
        </w:tc>
      </w:tr>
      <w:tr>
        <w:trPr>
          <w:cantSplit/>
        </w:trPr>
        <w:tc>
          <w:tcPr>
            <w:tcW w:type="dxa" w:w="420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Отказ расчёта: «Нет производительности для «…»: укажите её вручную в поле «Производительность, паллет/ч» или выберите другой продукт», «Нет цены «…»: укажите цену за единицу, ₽», «Нет ставки RaaS для «…»: укажите ставку, ₽/мес за робота, или нажмите «Подставить оценку (5,2 % цены в месяц)»»</w:t>
            </w:r>
          </w:p>
        </w:tc>
        <w:tc>
          <w:tcPr>
            <w:tcW w:type="dxa" w:w="235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у решения нет данных для расчёта</w:t>
            </w:r>
          </w:p>
        </w:tc>
        <w:tc>
          <w:tcPr>
            <w:tcW w:type="dxa" w:w="308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заполните поле, которое называет сообщение, или нажмите «Подставить оценку» для ставки RaaS</w:t>
            </w:r>
          </w:p>
        </w:tc>
      </w:tr>
      <w:tr>
        <w:trPr>
          <w:cantSplit/>
        </w:trPr>
        <w:tc>
          <w:tcPr>
            <w:tcW w:type="dxa" w:w="420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«Демо-проект нельзя удалить — скопируйте его»</w:t>
            </w:r>
          </w:p>
        </w:tc>
        <w:tc>
          <w:tcPr>
            <w:tcW w:type="dxa" w:w="235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попытка изменить общий демо-проект</w:t>
            </w:r>
          </w:p>
        </w:tc>
        <w:tc>
          <w:tcPr>
            <w:tcW w:type="dxa" w:w="308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«Копировать проект»</w:t>
            </w:r>
          </w:p>
        </w:tc>
      </w:tr>
      <w:tr>
        <w:trPr>
          <w:cantSplit/>
        </w:trPr>
        <w:tc>
          <w:tcPr>
            <w:tcW w:type="dxa" w:w="420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Баннер «Показан расчёт от … (модель …, данные …). С тех пор изменились …»</w:t>
            </w:r>
          </w:p>
        </w:tc>
        <w:tc>
          <w:tcPr>
            <w:tcW w:type="dxa" w:w="235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после расчёта изменились каталог, нормативы или модель</w:t>
            </w:r>
          </w:p>
        </w:tc>
        <w:tc>
          <w:tcPr>
            <w:tcW w:type="dxa" w:w="308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«Пересчитать на актуальных данных» или оставить сохранённый расчёт</w:t>
            </w:r>
          </w:p>
        </w:tc>
      </w:tr>
    </w:tbl>
    <w:p>
      <w:pPr>
        <w:spacing w:after="60"/>
      </w:pP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Числа вместо отказа платформа не показывает: если посчитать нельзя, она говорит, чего не
хватает.</w:t>
      </w:r>
    </w:p>
    <w:p>
      <w:pPr>
        <w:pStyle w:val="Heading2"/>
        <w:keepNext/>
        <w:outlineLvl w:val="1"/>
      </w:pPr>
      <w:bookmarkStart w:name="toc57" w:id="1"/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8. Повторное открытие проекта</w:t>
      </w:r>
      <w:bookmarkEnd w:id="1"/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Сохранённый проект открывается с тем же расчётом, что был сохранён: параметры, сценарии,
снимки продуктов и нормативов, результаты имитации (ТЗ §3.1.5). Строка состояния показывает
версию модели и данных. Если после расчёта администратор изменил каталог, нормативы или
параметры по умолчанию, над шагами появится баннер с кнопкой «Пересчитать на актуальных
данных». Без нажатия расчёт остаётся прежним.</w:t>
      </w:r>
    </w:p>
    <w:p>
      <w:pPr>
        <w:pStyle w:val="Heading1"/>
        <w:pageBreakBefore/>
        <w:outlineLvl w:val="0"/>
      </w:pPr>
      <w:bookmarkStart w:name="ch8" w:id="1"/>
      <w:r>
        <w:t xml:space="preserve">8. Руководство администратора</w:t>
      </w:r>
      <w:bookmarkEnd w:id="1"/>
    </w:p>
    <w:p>
      <w:pPr>
        <w:pBdr>
          <w:bottom w:val="single" w:color="C8CFDB" w:sz="4" w:space="6"/>
        </w:pBdr>
        <w:spacing w:after="200"/>
      </w:pPr>
      <w:r>
        <w:rPr>
          <w:i/>
          <w:iCs/>
          <w:color w:val="6B7280"/>
          <w:sz w:val="17"/>
          <w:szCs w:val="17"/>
        </w:rPr>
        <w:t xml:space="preserve">Источник: docs/ADMIN-GUIDE.md; снимки экрана сняты со сборки под демо-администратором. Ссылки «раздел N» внутри главы указывают на её разделы. Требования: ТЗ §6.7, §6.6.</w:t>
      </w:r>
    </w:p>
    <w:p>
      <w:pPr>
        <w:pBdr>
          <w:left w:val="single" w:color="9DB0E0" w:sz="18" w:space="10"/>
        </w:pBdr>
        <w:ind w:left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374151"/>
        </w:rPr>
        <w:t xml:space="preserve">Руководство для ТЗ §6.7 и §6.6: как вести каталог и характеристики с источниками, нормативы
и параметры по умолчанию, как обновлять данные организатора и читать журнал. Правки
администратора меняют числа расчёта новых и пересчитанных проектов, поэтому каждая из них
пишется в журнал (ТЗ §3.3.5, §3.5.4). Руководство пользователя —
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374151"/>
        </w:rPr>
        <w:t xml:space="preserve">USER-GUIDE.md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374151"/>
        </w:rPr>
        <w:t xml:space="preserve"> (</w:t>
      </w:r>
      <w:hyperlink w:history="1" w:anchor="ch7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1A42A8"/>
            <w:u w:val="single"/>
          </w:rPr>
          <w:t xml:space="preserve">гл. 7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374151"/>
        </w:rPr>
        <w:t xml:space="preserve">)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374151"/>
        </w:rPr>
        <w:t xml:space="preserve">.</w:t>
      </w:r>
    </w:p>
    <w:p>
      <w:pPr>
        <w:pStyle w:val="Heading2"/>
        <w:keepNext/>
        <w:outlineLvl w:val="1"/>
      </w:pPr>
      <w:bookmarkStart w:name="toc59" w:id="1"/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1. Доступ</w:t>
      </w:r>
      <w:bookmarkEnd w:id="1"/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Демо-аккаунт администратора: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admin@demo.local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demo-admin-2026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. Пароль задаётся при
севе переменной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DEMO_ADMIN_PASSWORD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; на стенде, доступном извне, задайте свой и передайте
жюри отдельно (раздел 9).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Ссылка «Админка» появляется в шапке, только если роль ADMIN записана и в сессии, и в базе.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Каждая страница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/admin/*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и каждое действие администратора заново проверяют роль по базе.
Гость уходит на страницу входа, пользователь без роли ADMIN получает 404 — даже с
устаревшим токеном, в котором записан ADMIN.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Интерфейса назначения ролей нет. Роль ADMIN получает демо-аккаунт при севе. Назначить её
другому пользователю может только владелец базы запросом
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UPDATE "User" SET role = 'ADMIN' WHERE email = '&lt;почта&gt;';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Разделы админки: «Обзор», «Каталог», «Нормативы», «Параметры объектов», «Данные и журнал».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24575" cy="3448050"/>
            <wp:effectExtent t="0" r="0" b="0" l="0"/>
            <wp:docPr id="1" name="a1-admin.png" descr="Обзор админки" title="Обзор админ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Рисунок 15 — Обзор админки</w:t>
      </w:r>
    </w:p>
    <w:p>
      <w:pPr>
        <w:pStyle w:val="Heading2"/>
        <w:keepNext/>
        <w:outlineLvl w:val="1"/>
      </w:pPr>
      <w:bookmarkStart w:name="toc60" w:id="1"/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2. Обзор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/admin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</w:t>
      </w:r>
      <w:bookmarkEnd w:id="1"/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Состав каталога по глубине описания («Обогащённый», «Примеры решений», «Идентификация»);
сколько продуктов требуют проверки, лежат в архиве, заведены администратором или правлены
им; сколько нормативов и параметров правлено; последний выпуск данных организатора; последние
10 действий в журнале.</w:t>
      </w:r>
    </w:p>
    <w:p>
      <w:pPr>
        <w:pStyle w:val="Heading2"/>
        <w:keepNext/>
        <w:outlineLvl w:val="1"/>
      </w:pPr>
      <w:bookmarkStart w:name="toc61" w:id="1"/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3. Каталог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/admin/catalog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</w:t>
      </w:r>
      <w:bookmarkEnd w:id="1"/>
    </w:p>
    <w:p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Список.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Поиск по названию, производителю, описанию и slug (регистр и «ё» не важны).
Отборы: действующие, требуют проверки, с правками администратора, заведены администратором,
в архиве, все. Чипы строки: «администратор», «правка», «архив», «исключён», «требует
проверки». По 100 строк на страницу.</w:t>
      </w:r>
    </w:p>
    <w:p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Создать продукт.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Форма: название, производитель, страна, тип решения, статус
(эксплуатация, пилот, НИОКР), описание, процессы. Продукт получает происхождение «Администратор»
и slug вида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admin-&lt;название латиницей&gt;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который не пересечётся с продуктами организатора.
После создания открывается карточка: заполните характеристики, без производительности и цены
продукт не посчитается в сценарии.</w:t>
      </w:r>
    </w:p>
    <w:p>
      <w:pPr>
        <w:pStyle w:val="Heading3"/>
        <w:keepNext/>
        <w:outlineLvl w:val="2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3.1 Карточка продукта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/admin/catalog/[slug]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</w:t>
      </w:r>
    </w:p>
    <w:p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Идентификация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: название, производитель, страна, тип решения, статус, «Исключить из
подбора» с обязательной причиной, «В архиве». Изменённое поле записывается и в
соответствующую характеристику (название → «Наименование (модель)», страна → «Страна
происхождения» и т. д.), поэтому заголовок карточки и характеристики не расходятся.</w:t>
      </w:r>
    </w:p>
    <w:p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Характеристики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— все ключи ТЗ §3.3.4 по шести группам: идентификация, технические
характеристики, требования к инфраструктуре, экономика, применимость, качество данных.
Незаполненные тоже показаны — «Заполнить». У заполненных — значение, бейдж источника, цитата
«как в источнике» и другие найденные значения. «Изменить» открывает форму; поля зависят от
вида характеристики: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58"/>
        <w:gridCol w:w="7980"/>
      </w:tblGrid>
      <w:tr>
        <w:trPr>
          <w:cantSplit/>
          <w:tblHeader/>
        </w:trPr>
        <w:tc>
          <w:tcPr>
            <w:tcW w:type="dxa" w:w="165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Вид</w:t>
            </w:r>
          </w:p>
        </w:tc>
        <w:tc>
          <w:tcPr>
            <w:tcW w:type="dxa" w:w="798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Поля</w:t>
            </w:r>
          </w:p>
        </w:tc>
      </w:tr>
      <w:tr>
        <w:trPr>
          <w:cantSplit/>
        </w:trPr>
        <w:tc>
          <w:tcPr>
            <w:tcW w:type="dxa" w:w="165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Число или диапазон</w:t>
            </w:r>
          </w:p>
        </w:tc>
        <w:tc>
          <w:tcPr>
            <w:tcW w:type="dxa" w:w="798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значение, «от», «до», оговорка («до», «от», «≈»), к чему относится (на робота, станцию, канал или парк), единица</w:t>
            </w:r>
          </w:p>
        </w:tc>
      </w:tr>
      <w:tr>
        <w:trPr>
          <w:cantSplit/>
        </w:trPr>
        <w:tc>
          <w:tcPr>
            <w:tcW w:type="dxa" w:w="165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Текст</w:t>
            </w:r>
          </w:p>
        </w:tc>
        <w:tc>
          <w:tcPr>
            <w:tcW w:type="dxa" w:w="798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текст</w:t>
            </w:r>
          </w:p>
        </w:tc>
      </w:tr>
      <w:tr>
        <w:trPr>
          <w:cantSplit/>
        </w:trPr>
        <w:tc>
          <w:tcPr>
            <w:tcW w:type="dxa" w:w="165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Перечень</w:t>
            </w:r>
          </w:p>
        </w:tc>
        <w:tc>
          <w:tcPr>
            <w:tcW w:type="dxa" w:w="798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пункты, по одному на строку (разделитель — только перевод строки: внутри пункта бывает «;»)</w:t>
            </w:r>
          </w:p>
        </w:tc>
      </w:tr>
      <w:tr>
        <w:trPr>
          <w:cantSplit/>
        </w:trPr>
        <w:tc>
          <w:tcPr>
            <w:tcW w:type="dxa" w:w="165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Все виды</w:t>
            </w:r>
          </w:p>
        </w:tc>
        <w:tc>
          <w:tcPr>
            <w:tcW w:type="dxa" w:w="798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ссылка на первоисточник, дата проверки, «Подтверждено первоисточником», примечание</w:t>
            </w:r>
          </w:p>
        </w:tc>
      </w:tr>
    </w:tbl>
    <w:p>
      <w:pPr>
        <w:spacing w:after="60"/>
      </w:pP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Правила сохранения характеристики: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Сохранённая строка получает происхождение «Администратор», продукт — отметку «правка».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Если изменились значение или ссылка, цитата и основание прежнего значения очищаются: они
относились к другому числу.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Новое или изменённое значение с отметкой «Подтверждено первоисточником» без ссылки не
принимается. Исключение — значение, уже подтверждённое по месту в данных организатора: при
правке только даты или примечания отметка сохраняется.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Сохранение без правок отвечает «Изменений нет» и ничего не пишет.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После записи пересчитываются вынесенные колонки (цена, производительность в расчёт,
полнота, доля подтверждённых, «требует проверки») той же функцией, что у синхронизации, и
строки «Качества данных» («Подтверждение» — «N из M подтверждены», «Дата проверки»).</w:t>
      </w:r>
    </w:p>
    <w:p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Какое число идёт в расчёт.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Производительность попадает в расчёт парка, только если она
дана на один робот или одну станцию, в единицах процесса и не как «до X». Значение «на весь
парк» показывается, но в расчёт не идёт. Сводка карточки показывает, что именно пойдёт в
расчёт, и причины «требует проверки».</w:t>
      </w:r>
    </w:p>
    <w:p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Действия с продуктом: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«В архив» и «Вернуть из архива». Архивный продукт пропадает из каталога и подбора, снимки
в сохранённых проектах остаются.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«Вернуть данные организатора» (с подтверждением) удаляет правки администратора и
возвращает продукт к данным организатора поле в поле.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Удаление — только для продуктов, заведённых администратором, с отметкой «Подтверждаю
удаление». Продукт организатора удалить нельзя («Удалить нельзя: данные организатора —
используйте «В архив»»). Продукт, выбранный в сценарии проекта, тоже не удаляется
(«используется в проектах — переведите в архив»).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История правок продукта — последние 30 записей журнала.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24575" cy="3143250"/>
            <wp:effectExtent t="0" r="0" b="0" l="0"/>
            <wp:docPr id="1" name="a2-card.png" descr="Карточка продукта в админке с открытой формой характеристики «Производительность»" title="Карточка продукта в админке с открытой формой характеристики «Производительность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Рисунок 16 — Карточка продукта в админке с открытой формой характеристики «Производительность»</w:t>
      </w:r>
    </w:p>
    <w:p>
      <w:pPr>
        <w:pStyle w:val="Heading3"/>
        <w:keepNext/>
        <w:outlineLvl w:val="2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3.2 Поля провенанса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У каждой характеристики (таблица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ProductCharacteristic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 хранится: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84"/>
        <w:gridCol w:w="7854"/>
      </w:tblGrid>
      <w:tr>
        <w:trPr>
          <w:cantSplit/>
          <w:tblHeader/>
        </w:trPr>
        <w:tc>
          <w:tcPr>
            <w:tcW w:type="dxa" w:w="178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Поле</w:t>
            </w:r>
          </w:p>
        </w:tc>
        <w:tc>
          <w:tcPr>
            <w:tcW w:type="dxa" w:w="785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Смысл</w:t>
            </w:r>
          </w:p>
        </w:tc>
      </w:tr>
      <w:tr>
        <w:trPr>
          <w:cantSplit/>
        </w:trPr>
        <w:tc>
          <w:tcPr>
            <w:tcW w:type="dxa" w:w="178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Происхождение</w:t>
            </w:r>
          </w:p>
        </w:tc>
        <w:tc>
          <w:tcPr>
            <w:tcW w:type="dxa" w:w="785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«Организатор», «Открытый источник», «Оценка», «Расчёт», «Наш выбор», «Администратор»</w:t>
            </w:r>
          </w:p>
        </w:tc>
      </w:tr>
      <w:tr>
        <w:trPr>
          <w:cantSplit/>
        </w:trPr>
        <w:tc>
          <w:tcPr>
            <w:tcW w:type="dxa" w:w="178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Тип источника</w:t>
            </w:r>
          </w:p>
        </w:tc>
        <w:tc>
          <w:tcPr>
            <w:tcW w:type="dxa" w:w="785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датасет, каталог или «Примеры решений» организатора; сайт производителя; документ производителя; дилер; агрегатор; пресса; расчёт; оценка команды; правка администратора</w:t>
            </w:r>
          </w:p>
        </w:tc>
      </w:tr>
      <w:tr>
        <w:trPr>
          <w:cantSplit/>
        </w:trPr>
        <w:tc>
          <w:tcPr>
            <w:tcW w:type="dxa" w:w="178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Ссылка / место</w:t>
            </w:r>
          </w:p>
        </w:tc>
        <w:tc>
          <w:tcPr>
            <w:tcW w:type="dxa" w:w="785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https-ссылка на первоисточник или место у организатора («Датасеты_хакатон.xlsx › Склад › стр. 4», «каталог организатора › id …»)</w:t>
            </w:r>
          </w:p>
        </w:tc>
      </w:tr>
      <w:tr>
        <w:trPr>
          <w:cantSplit/>
        </w:trPr>
        <w:tc>
          <w:tcPr>
            <w:tcW w:type="dxa" w:w="178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Дата проверки</w:t>
            </w:r>
          </w:p>
        </w:tc>
        <w:tc>
          <w:tcPr>
            <w:tcW w:type="dxa" w:w="785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когда значение сверено с источником</w:t>
            </w:r>
          </w:p>
        </w:tc>
      </w:tr>
      <w:tr>
        <w:trPr>
          <w:cantSplit/>
        </w:trPr>
        <w:tc>
          <w:tcPr>
            <w:tcW w:type="dxa" w:w="178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Подтверждено</w:t>
            </w:r>
          </w:p>
        </w:tc>
        <w:tc>
          <w:tcPr>
            <w:tcW w:type="dxa" w:w="785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значение совпадает с документом или сайтом производителя</w:t>
            </w:r>
          </w:p>
        </w:tc>
      </w:tr>
      <w:tr>
        <w:trPr>
          <w:cantSplit/>
        </w:trPr>
        <w:tc>
          <w:tcPr>
            <w:tcW w:type="dxa" w:w="178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Уверенность</w:t>
            </w:r>
          </w:p>
        </w:tc>
        <w:tc>
          <w:tcPr>
            <w:tcW w:type="dxa" w:w="785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высокая, средняя, низкая — по проверке находки</w:t>
            </w:r>
          </w:p>
        </w:tc>
      </w:tr>
      <w:tr>
        <w:trPr>
          <w:cantSplit/>
        </w:trPr>
        <w:tc>
          <w:tcPr>
            <w:tcW w:type="dxa" w:w="178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Как в источнике</w:t>
            </w:r>
          </w:p>
        </w:tc>
        <w:tc>
          <w:tcPr>
            <w:tcW w:type="dxa" w:w="785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дословная цитата</w:t>
            </w:r>
          </w:p>
        </w:tc>
      </w:tr>
      <w:tr>
        <w:trPr>
          <w:cantSplit/>
        </w:trPr>
        <w:tc>
          <w:tcPr>
            <w:tcW w:type="dxa" w:w="178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Основание, формула</w:t>
            </w:r>
          </w:p>
        </w:tc>
        <w:tc>
          <w:tcPr>
            <w:tcW w:type="dxa" w:w="785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для оценок и расчётных значений</w:t>
            </w:r>
          </w:p>
        </w:tc>
      </w:tr>
      <w:tr>
        <w:trPr>
          <w:cantSplit/>
        </w:trPr>
        <w:tc>
          <w:tcPr>
            <w:tcW w:type="dxa" w:w="178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Область</w:t>
            </w:r>
          </w:p>
        </w:tc>
        <w:tc>
          <w:tcPr>
            <w:tcW w:type="dxa" w:w="785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на робота, на станцию, на канал, на парк</w:t>
            </w:r>
          </w:p>
        </w:tc>
      </w:tr>
      <w:tr>
        <w:trPr>
          <w:cantSplit/>
        </w:trPr>
        <w:tc>
          <w:tcPr>
            <w:tcW w:type="dxa" w:w="178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Альтернативы</w:t>
            </w:r>
          </w:p>
        </w:tc>
        <w:tc>
          <w:tcPr>
            <w:tcW w:type="dxa" w:w="785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другие найденные значения с их источниками; «⚠ есть расхождения», если они отличаются больше чем на 10 %</w:t>
            </w:r>
          </w:p>
        </w:tc>
      </w:tr>
    </w:tbl>
    <w:p>
      <w:pPr>
        <w:spacing w:after="60"/>
      </w:pP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Правила выбора основного значения — в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data-provenance.md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(</w:t>
      </w:r>
      <w:hyperlink w:history="1" w:anchor="ch4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1A42A8"/>
            <w:u w:val="single"/>
          </w:rPr>
          <w:t xml:space="preserve">гл. 4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раздел
«Организатор: датасеты, каталог, примеры; исследование svod + found_batch».</w:t>
      </w:r>
    </w:p>
    <w:p>
      <w:pPr>
        <w:pStyle w:val="Heading2"/>
        <w:keepNext/>
        <w:outlineLvl w:val="1"/>
      </w:pPr>
      <w:bookmarkStart w:name="toc62" w:id="1"/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4. Нормативы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/admin/norms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</w:t>
      </w:r>
      <w:bookmarkEnd w:id="1"/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Нормативы сгруппированы: режим и загрузка, труд, CAPEX, OPEX, финансы, интерпретация,
имитация, подбор. У каждого — значение, допустимый диапазон, значение по умолчанию,
происхождение, источник и обоснование.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Новое значение вводится с «Основанием правки».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Значение вне диапазона прижимается к границе, и сообщение называет сохранённое число
(например, загрузка 0,99 сохранится как 0,85).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«Сбросить к умолчанию» возвращает значение из кода и снимает отметку правки для одной
строки.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Веса балла подбора после правки нормируются к сумме 1; «долгая» граница окупаемости не
становится ниже «быстрой».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Новый норматив действует на новые расчёты. Сохранённые проекты хранят снимок нормативов и не
меняются; у них появляется баннер «Пересчитать на актуальных данных».</w:t>
      </w:r>
    </w:p>
    <w:p>
      <w:pPr>
        <w:pStyle w:val="Heading2"/>
        <w:keepNext/>
        <w:outlineLvl w:val="1"/>
      </w:pPr>
      <w:bookmarkStart w:name="toc63" w:id="1"/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5. Параметры объектов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/admin/params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</w:t>
      </w:r>
      <w:bookmarkEnd w:id="1"/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Выбор объекта: склад, аэропорт, медучреждение. Параметры сгруппированы по разделам датасета
организатора. Правятся базовое значение, минимум, максимум, «обязательный», подсказка, пример
и основание правки. Базовое значение проверяется так же, как ввод пользователя, и по новым
границам; при смене границ пересчитывается признак «зафиксирован» (минимум равен максимуму).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Изменения сразу действуют в форме параметров, шаблонах Excel/CSV, проверке загрузки и API.
Правка границ или значения по умолчанию меняет версию данных, и сохранённые проекты покажут
баннер «Пересчитать на актуальных данных». Подсказки и примеры на версию не влияют.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Добавить новый параметр или тип объекта через интерфейс нельзя — только через данные
генератора и сев (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ARCHITECTURE.md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(</w:t>
      </w:r>
      <w:hyperlink w:history="1" w:anchor="ch2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1A42A8"/>
            <w:u w:val="single"/>
          </w:rPr>
          <w:t xml:space="preserve">гл. 2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§12).</w:t>
      </w:r>
    </w:p>
    <w:p>
      <w:pPr>
        <w:pStyle w:val="Heading2"/>
        <w:keepNext/>
        <w:outlineLvl w:val="1"/>
      </w:pPr>
      <w:bookmarkStart w:name="toc64" w:id="1"/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6. Данные и журнал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/admin/data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</w:t>
      </w:r>
      <w:bookmarkEnd w:id="1"/>
    </w:p>
    <w:p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Выпуски данных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: версия, дата загрузки, состав выгрузок организатора, отметка текущей
версии.</w:t>
      </w:r>
    </w:p>
    <w:p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«Обновить каталог»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запускает синхронизацию данных организатора, которые лежат в сборке
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lib/data/organizer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), с базой. Правки администратора сохраняются. Отчёт по-русски: сколько
записей создано, обновлено, пропущено из-за правок администратора, отправлено в архив;
сколько источников старше 180 дней; построчные подробности. Продукт организатора, которого
больше нет в данных, уходит в архив, а не удаляется.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Обновление — по запросу администратора (ТЗ §3.3.6). Планового автообновления нет.</w:t>
      </w:r>
    </w:p>
    <w:p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Журнал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: последние 100 действий администратора — когда (МСК), кто, объект, поле, было,
стало, основание. Корректировки внутри проектов пользователей — в журнале самого проекта.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24575" cy="3448050"/>
            <wp:effectExtent t="0" r="0" b="0" l="0"/>
            <wp:docPr id="1" name="a3-data.png" descr="Страница «Данные и журнал»: кнопка «Обновить каталог» и выпуски данных" title="Страница «Данные и журнал»: кнопка «Обновить каталог» и выпуски данны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Рисунок 17 — Страница «Данные и журнал»: кнопка «Обновить каталог» и выпуски данных</w:t>
      </w:r>
    </w:p>
    <w:p>
      <w:pPr>
        <w:pStyle w:val="Heading2"/>
        <w:keepNext/>
        <w:outlineLvl w:val="1"/>
      </w:pPr>
      <w:bookmarkStart w:name="toc65" w:id="1"/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7. Как обновить данные организатора</w:t>
      </w:r>
      <w:bookmarkEnd w:id="1"/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Если организатор прислал новые файлы или исследование дополнено: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Выгрузите нужные листы в JSON в папку вне репозитория (формат —
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data-provenance.md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(</w:t>
      </w:r>
      <w:hyperlink w:history="1" w:anchor="ch4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1A42A8"/>
            <w:u w:val="single"/>
          </w:rPr>
          <w:t xml:space="preserve">гл. 4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ORGANIZER_DATA_DIR=&lt;папка&gt; npm run gen:organizer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— перегенерирует
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lib/data/organizer/*.generated.*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. Без переменной генератор скажет, что указать; если
файлов не хватает, перечислит их.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Проверка и сборка: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npx vitest run lib/data/organizer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затем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npm run build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npm run db:seed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на стенде или «Обновить каталог» в админке после выкладки сборки.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npx tsx scripts/print-demo-numbers.ts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— если демо-числа изменились, это изменение
«МЕНЯЕТ ЧИСЛА», его фиксируют в CHANGELOG с было/стало.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Оригиналы организатора (xlsx, csv, docx) в репозиторий не добавляются.</w:t>
      </w:r>
    </w:p>
    <w:p>
      <w:pPr>
        <w:pStyle w:val="Heading2"/>
        <w:keepNext/>
        <w:outlineLvl w:val="1"/>
      </w:pPr>
      <w:bookmarkStart w:name="toc66" w:id="1"/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8. API для администратора</w:t>
      </w:r>
      <w:bookmarkEnd w:id="1"/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PUT /api/v1/norms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— запись нормативов с тем же прижатием к диапазону и журналом.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POST /api/v1/catalog/import?dryRun=1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— проверка списка продуктов без записи;
без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dryRun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— запись. Проверка строгая: любая ошибка — ответ 422 с ошибками по позициям,
ничего не записано. Провенанс каждой характеристики проверяется по правилам: у значения
организатора — место, у найденного в источнике — https-ссылка, цитата и дата, у оценки —
основание.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Доступ: сессия администратора или заголовок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Authorization: Bearer &lt;ADMIN_API_TOKEN&gt;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
(переменная окружения не короче 16 символов; без неё вход по токену выключен).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Описание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/api-docs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и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INTEGRATIONS.md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(</w:t>
      </w:r>
      <w:hyperlink w:history="1" w:anchor="ch5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1A42A8"/>
            <w:u w:val="single"/>
          </w:rPr>
          <w:t xml:space="preserve">гл. 5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.</w:t>
      </w:r>
    </w:p>
    <w:p>
      <w:pPr>
        <w:pStyle w:val="Heading2"/>
        <w:keepNext/>
        <w:outlineLvl w:val="1"/>
      </w:pPr>
      <w:bookmarkStart w:name="toc67" w:id="1"/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9. Демо-аккаунты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53"/>
        <w:gridCol w:w="1876"/>
        <w:gridCol w:w="2877"/>
        <w:gridCol w:w="2632"/>
      </w:tblGrid>
      <w:tr>
        <w:trPr>
          <w:cantSplit/>
          <w:tblHeader/>
        </w:trPr>
        <w:tc>
          <w:tcPr>
            <w:tcW w:type="dxa" w:w="225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7"/>
                <w:szCs w:val="17"/>
              </w:rPr>
              <w:t xml:space="preserve">Аккаунт</w:t>
            </w:r>
          </w:p>
        </w:tc>
        <w:tc>
          <w:tcPr>
            <w:tcW w:type="dxa" w:w="187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7"/>
                <w:szCs w:val="17"/>
              </w:rPr>
              <w:t xml:space="preserve">Роль</w:t>
            </w:r>
          </w:p>
        </w:tc>
        <w:tc>
          <w:tcPr>
            <w:tcW w:type="dxa" w:w="287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7"/>
                <w:szCs w:val="17"/>
              </w:rPr>
              <w:t xml:space="preserve">Пароль по умолчанию</w:t>
            </w:r>
          </w:p>
        </w:tc>
        <w:tc>
          <w:tcPr>
            <w:tcW w:type="dxa" w:w="263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7"/>
                <w:szCs w:val="17"/>
              </w:rPr>
              <w:t xml:space="preserve">Переменная</w:t>
            </w:r>
          </w:p>
        </w:tc>
      </w:tr>
      <w:tr>
        <w:trPr>
          <w:cantSplit/>
        </w:trPr>
        <w:tc>
          <w:tcPr>
            <w:tcW w:type="dxa" w:w="225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demo@demo.local</w:t>
            </w:r>
          </w:p>
        </w:tc>
        <w:tc>
          <w:tcPr>
            <w:tcW w:type="dxa" w:w="187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пользователь</w:t>
            </w:r>
          </w:p>
        </w:tc>
        <w:tc>
          <w:tcPr>
            <w:tcW w:type="dxa" w:w="287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demo-user-2026</w:t>
            </w:r>
          </w:p>
        </w:tc>
        <w:tc>
          <w:tcPr>
            <w:tcW w:type="dxa" w:w="263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DEMO_USER_PASSWORD</w:t>
            </w:r>
          </w:p>
        </w:tc>
      </w:tr>
      <w:tr>
        <w:trPr>
          <w:cantSplit/>
        </w:trPr>
        <w:tc>
          <w:tcPr>
            <w:tcW w:type="dxa" w:w="225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admin@demo.local</w:t>
            </w:r>
          </w:p>
        </w:tc>
        <w:tc>
          <w:tcPr>
            <w:tcW w:type="dxa" w:w="187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администратор</w:t>
            </w:r>
          </w:p>
        </w:tc>
        <w:tc>
          <w:tcPr>
            <w:tcW w:type="dxa" w:w="287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demo-admin-2026</w:t>
            </w:r>
          </w:p>
        </w:tc>
        <w:tc>
          <w:tcPr>
            <w:tcW w:type="dxa" w:w="263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DEMO_ADMIN_PASSWORD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Аккаунты создаёт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npm run db:seed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(в Docker — сервис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migrate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). Повторный сев приводит
роль к заданной и перехэширует пароль, только если он изменился.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Пароль длиннее 72 байт — ошибка сева.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На стенде, доступном извне, задайте свои пароли переменными и передайте их жюри отдельно,
не в репозитории.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Лимит входа для адресов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@demo.local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— 100 попыток за 15 минут на пару «почта + адрес»;
общий лимит на один адрес — 50 за 15 минут.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Демо-проект «Склад организатора (демо)»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demo-warehouse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 принадлежит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demo@demo.local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
пересоздаётся при каждом севе и защищён от сохранения, пересчёта и удаления — жюри
копирует его.</w:t>
      </w:r>
    </w:p>
    <w:p>
      <w:pPr>
        <w:pStyle w:val="Heading1"/>
        <w:pageBreakBefore/>
        <w:outlineLvl w:val="0"/>
      </w:pPr>
      <w:bookmarkStart w:name="ch9" w:id="1"/>
      <w:r>
        <w:t xml:space="preserve">9. Что реализовано полностью, частично и как прототип; ограничения и план развития</w:t>
      </w:r>
      <w:bookmarkEnd w:id="1"/>
    </w:p>
    <w:p>
      <w:pPr>
        <w:pBdr>
          <w:bottom w:val="single" w:color="C8CFDB" w:sz="4" w:space="6"/>
        </w:pBdr>
        <w:spacing w:after="200"/>
      </w:pPr>
      <w:r>
        <w:rPr>
          <w:i/>
          <w:iCs/>
          <w:color w:val="6B7280"/>
          <w:sz w:val="17"/>
          <w:szCs w:val="17"/>
        </w:rPr>
        <w:t xml:space="preserve">Источник: docs/LIMITATIONS.md. Ссылки «раздел N» и «§N» внутри главы указывают на её разделы. Требования: ТЗ §5.7, §6.9.</w:t>
      </w:r>
    </w:p>
    <w:p>
      <w:pPr>
        <w:pBdr>
          <w:left w:val="single" w:color="9DB0E0" w:sz="18" w:space="10"/>
        </w:pBdr>
        <w:ind w:left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374151"/>
        </w:rPr>
        <w:t xml:space="preserve">Документ отвечает на вопрос ТЗ §5.7: какие функции реализованы полностью, какие частично,
какие представлены как прототип и чего нет. Та же таблица стоит в
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374151"/>
        </w:rPr>
        <w:t xml:space="preserve">TZ-COMPLIANCE.md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374151"/>
        </w:rPr>
        <w:t xml:space="preserve"> (docs/TZ-COMPLIANCE.md)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374151"/>
        </w:rPr>
        <w:t xml:space="preserve">, §4: обе копии правятся вместе.</w:t>
      </w:r>
    </w:p>
    <w:p>
      <w:pPr>
        <w:pBdr>
          <w:left w:val="single" w:color="9DB0E0" w:sz="18" w:space="10"/>
        </w:pBdr>
        <w:ind w:left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374151"/>
        </w:rPr>
        <w:t xml:space="preserve">Состояние на 2026-09-25: ветка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374151"/>
          <w:sz w:val="18"/>
          <w:szCs w:val="18"/>
          <w:shd w:fill="EEF1F6" w:color="auto" w:val="clear"/>
        </w:rPr>
        <w:t xml:space="preserve">tz-warehouse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374151"/>
        </w:rPr>
        <w:t xml:space="preserve">, коммит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374151"/>
          <w:sz w:val="18"/>
          <w:szCs w:val="18"/>
          <w:shd w:fill="EEF1F6" w:color="auto" w:val="clear"/>
        </w:rPr>
        <w:t xml:space="preserve">b112b35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374151"/>
        </w:rPr>
        <w:t xml:space="preserve"> (волна W3) и документация
волны W4. Модель расчёта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374151"/>
          <w:sz w:val="18"/>
          <w:szCs w:val="18"/>
          <w:shd w:fill="EEF1F6" w:color="auto" w:val="clear"/>
        </w:rPr>
        <w:t xml:space="preserve">tz-1.0.0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374151"/>
        </w:rPr>
        <w:t xml:space="preserve">, модель имитации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374151"/>
          <w:sz w:val="18"/>
          <w:szCs w:val="18"/>
          <w:shd w:fill="EEF1F6" w:color="auto" w:val="clear"/>
        </w:rPr>
        <w:t xml:space="preserve">sim-1.0.0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374151"/>
        </w:rPr>
        <w:t xml:space="preserve">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Обозначения: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✅ — реализовано полностью;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🟡 — частично: что именно есть и чего нет, сказано в строке;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🧪 — прототип: показано на уровне параметров, подбора или схемы, без расчёта;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❌ — не реализовано, причина в строке;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— — не требуется ТЗ или сознательно не строится.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Демонстрационный объект — </w:t>
      </w: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склад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(ТЗ §5.4). Аэропорт и медучреждение показаны на уровне
выбора, параметров и доступных решений (ТЗ §5.5).</w:t>
      </w:r>
    </w:p>
    <w:p>
      <w:pPr>
        <w:pStyle w:val="Heading2"/>
        <w:keepNext/>
        <w:outlineLvl w:val="1"/>
      </w:pPr>
      <w:bookmarkStart w:name="toc69" w:id="1"/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1. Таблица §5.7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5"/>
        <w:gridCol w:w="2726"/>
        <w:gridCol w:w="842"/>
        <w:gridCol w:w="3045"/>
        <w:gridCol w:w="2540"/>
      </w:tblGrid>
      <w:tr>
        <w:trPr>
          <w:cantSplit/>
          <w:tblHeader/>
        </w:trPr>
        <w:tc>
          <w:tcPr>
            <w:tcW w:type="dxa" w:w="48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7"/>
                <w:szCs w:val="17"/>
              </w:rPr>
              <w:t xml:space="preserve">#</w:t>
            </w:r>
          </w:p>
        </w:tc>
        <w:tc>
          <w:tcPr>
            <w:tcW w:type="dxa" w:w="272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7"/>
                <w:szCs w:val="17"/>
              </w:rPr>
              <w:t xml:space="preserve">Функция</w:t>
            </w:r>
          </w:p>
        </w:tc>
        <w:tc>
          <w:tcPr>
            <w:tcW w:type="dxa" w:w="8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7"/>
                <w:szCs w:val="17"/>
              </w:rPr>
              <w:t xml:space="preserve">Статус</w:t>
            </w:r>
          </w:p>
        </w:tc>
        <w:tc>
          <w:tcPr>
            <w:tcW w:type="dxa" w:w="304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7"/>
                <w:szCs w:val="17"/>
              </w:rPr>
              <w:t xml:space="preserve">Что есть</w:t>
            </w:r>
          </w:p>
        </w:tc>
        <w:tc>
          <w:tcPr>
            <w:tcW w:type="dxa" w:w="254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7"/>
                <w:szCs w:val="17"/>
              </w:rPr>
              <w:t xml:space="preserve">Чего нет и почему</w:t>
            </w:r>
          </w:p>
        </w:tc>
      </w:tr>
      <w:tr>
        <w:trPr>
          <w:cantSplit/>
        </w:trPr>
        <w:tc>
          <w:tcPr>
            <w:tcW w:type="dxa" w:w="48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272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Путь жюри по ТЗ §5.4 на складе: проект → подбор → сравнение → расчёт → имитация → отчёт</w:t>
            </w:r>
          </w:p>
        </w:tc>
        <w:tc>
          <w:tcPr>
            <w:tcW w:type="dxa" w:w="8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✅</w:t>
            </w:r>
          </w:p>
        </w:tc>
        <w:tc>
          <w:tcPr>
            <w:tcW w:type="dxa" w:w="304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8 шагов в рабочей области проекта, гостевой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/demo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 и засеянный демо-проект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demo-warehouse</w:t>
            </w:r>
          </w:p>
        </w:tc>
        <w:tc>
          <w:tcPr>
            <w:tcW w:type="dxa" w:w="254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272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Каталог: иерархия, фильтры, поиск, сортировка, сравнение до 4 решений</w:t>
            </w:r>
          </w:p>
        </w:tc>
        <w:tc>
          <w:tcPr>
            <w:tcW w:type="dxa" w:w="8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✅</w:t>
            </w:r>
          </w:p>
        </w:tc>
        <w:tc>
          <w:tcPr>
            <w:tcW w:type="dxa" w:w="304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/catalog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/catalog/[slug]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/catalog/compare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; иерархия «отрасль → тип объекта → процесс → тип решения → продукт»</w:t>
            </w:r>
          </w:p>
        </w:tc>
        <w:tc>
          <w:tcPr>
            <w:tcW w:type="dxa" w:w="254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3</w:t>
            </w:r>
          </w:p>
        </w:tc>
        <w:tc>
          <w:tcPr>
            <w:tcW w:type="dxa" w:w="272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Провенанс каждой характеристики: источник, дата, подтверждение, альтернативы</w:t>
            </w:r>
          </w:p>
        </w:tc>
        <w:tc>
          <w:tcPr>
            <w:tcW w:type="dxa" w:w="8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✅</w:t>
            </w:r>
          </w:p>
        </w:tc>
        <w:tc>
          <w:tcPr>
            <w:tcW w:type="dxa" w:w="304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таблица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ProductCharacteristic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, бейдж источника в карточке, отчёте и админке</w:t>
            </w:r>
          </w:p>
        </w:tc>
        <w:tc>
          <w:tcPr>
            <w:tcW w:type="dxa" w:w="254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4</w:t>
            </w:r>
          </w:p>
        </w:tc>
        <w:tc>
          <w:tcPr>
            <w:tcW w:type="dxa" w:w="272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Загрузка каталога организатора</w:t>
            </w:r>
          </w:p>
        </w:tc>
        <w:tc>
          <w:tcPr>
            <w:tcW w:type="dxa" w:w="8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✅</w:t>
            </w:r>
          </w:p>
        </w:tc>
        <w:tc>
          <w:tcPr>
            <w:tcW w:type="dxa" w:w="304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все 187 уникальных id выгрузки организатора, 57 обогащённых продуктов и PuduBot 2 из «Примеров решений» — 188 продуктов</w:t>
            </w:r>
          </w:p>
        </w:tc>
        <w:tc>
          <w:tcPr>
            <w:tcW w:type="dxa" w:w="254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Оригиналы организатора в репозиторий не входят: переносятся только нужные поля со ссылкой на место</w:t>
            </w:r>
          </w:p>
        </w:tc>
      </w:tr>
      <w:tr>
        <w:trPr>
          <w:cantSplit/>
        </w:trPr>
        <w:tc>
          <w:tcPr>
            <w:tcW w:type="dxa" w:w="48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5</w:t>
            </w:r>
          </w:p>
        </w:tc>
        <w:tc>
          <w:tcPr>
            <w:tcW w:type="dxa" w:w="272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Обновление каталога</w:t>
            </w:r>
          </w:p>
        </w:tc>
        <w:tc>
          <w:tcPr>
            <w:tcW w:type="dxa" w:w="8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🟡</w:t>
            </w:r>
          </w:p>
        </w:tc>
        <w:tc>
          <w:tcPr>
            <w:tcW w:type="dxa" w:w="304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по кнопке «Обновить каталог» в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/admin/data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 и через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POST /api/v1/catalog/import</w:t>
            </w:r>
          </w:p>
        </w:tc>
        <w:tc>
          <w:tcPr>
            <w:tcW w:type="dxa" w:w="254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Планового автообновления по расписанию нет (бонус ТЗ §3.3.6)</w:t>
            </w:r>
          </w:p>
        </w:tc>
      </w:tr>
      <w:tr>
        <w:trPr>
          <w:cantSplit/>
        </w:trPr>
        <w:tc>
          <w:tcPr>
            <w:tcW w:type="dxa" w:w="48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6</w:t>
            </w:r>
          </w:p>
        </w:tc>
        <w:tc>
          <w:tcPr>
            <w:tcW w:type="dxa" w:w="272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Автоматический парсинг открытых источников</w:t>
            </w:r>
          </w:p>
        </w:tc>
        <w:tc>
          <w:tcPr>
            <w:tcW w:type="dxa" w:w="8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❌</w:t>
            </w:r>
          </w:p>
        </w:tc>
        <w:tc>
          <w:tcPr>
            <w:tcW w:type="dxa" w:w="304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исследование открытых источников проведено один раз и заморожено 2026-09-23T21:13:10Z; генератор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npm run gen:organizer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 пересобирает данные</w:t>
            </w:r>
          </w:p>
        </w:tc>
        <w:tc>
          <w:tcPr>
            <w:tcW w:type="dxa" w:w="254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Парсера сайтов производителей в продукте нет: ТЗ §3.3.5 считает его преимуществом, а не обязательным</w:t>
            </w:r>
          </w:p>
        </w:tc>
      </w:tr>
      <w:tr>
        <w:trPr>
          <w:cantSplit/>
        </w:trPr>
        <w:tc>
          <w:tcPr>
            <w:tcW w:type="dxa" w:w="48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7</w:t>
            </w:r>
          </w:p>
        </w:tc>
        <w:tc>
          <w:tcPr>
            <w:tcW w:type="dxa" w:w="272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Параметры объекта: ручной ввод, загрузка Excel/CSV, шаблон, проверка</w:t>
            </w:r>
          </w:p>
        </w:tc>
        <w:tc>
          <w:tcPr>
            <w:tcW w:type="dxa" w:w="8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✅</w:t>
            </w:r>
          </w:p>
        </w:tc>
        <w:tc>
          <w:tcPr>
            <w:tcW w:type="dxa" w:w="304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для склада, аэропорта и медучреждения; шаблоны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/api/templates/{facility}</w:t>
            </w:r>
          </w:p>
        </w:tc>
        <w:tc>
          <w:tcPr>
            <w:tcW w:type="dxa" w:w="254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8</w:t>
            </w:r>
          </w:p>
        </w:tc>
        <w:tc>
          <w:tcPr>
            <w:tcW w:type="dxa" w:w="272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Подбор решений с причинами, ограничениями, недостающими данными и баллом</w:t>
            </w:r>
          </w:p>
        </w:tc>
        <w:tc>
          <w:tcPr>
            <w:tcW w:type="dxa" w:w="8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✅</w:t>
            </w:r>
          </w:p>
        </w:tc>
        <w:tc>
          <w:tcPr>
            <w:tcW w:type="dxa" w:w="304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по всем 13 процессам трёх типов объектов</w:t>
            </w:r>
          </w:p>
        </w:tc>
        <w:tc>
          <w:tcPr>
            <w:tcW w:type="dxa" w:w="254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9</w:t>
            </w:r>
          </w:p>
        </w:tc>
        <w:tc>
          <w:tcPr>
            <w:tcW w:type="dxa" w:w="272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Экономика: состав оборудования, CAPEX, OPEX, эффект, окупаемость, ROI, NPV, TCO</w:t>
            </w:r>
          </w:p>
        </w:tc>
        <w:tc>
          <w:tcPr>
            <w:tcW w:type="dxa" w:w="8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✅</w:t>
            </w:r>
          </w:p>
        </w:tc>
        <w:tc>
          <w:tcPr>
            <w:tcW w:type="dxa" w:w="304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перемещение паллет на складе</w:t>
            </w:r>
          </w:p>
        </w:tc>
        <w:tc>
          <w:tcPr>
            <w:tcW w:type="dxa" w:w="254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10</w:t>
            </w:r>
          </w:p>
        </w:tc>
        <w:tc>
          <w:tcPr>
            <w:tcW w:type="dxa" w:w="272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Экономика остальных процессов склада, аэропорта и медучреждения</w:t>
            </w:r>
          </w:p>
        </w:tc>
        <w:tc>
          <w:tcPr>
            <w:tcW w:type="dxa" w:w="8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🧪</w:t>
            </w:r>
          </w:p>
        </w:tc>
        <w:tc>
          <w:tcPr>
            <w:tcW w:type="dxa" w:w="304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подбор и сравнение по характеристикам; в таблице сравнения — «не рассчитывается (прототип)»</w:t>
            </w:r>
          </w:p>
        </w:tc>
        <w:tc>
          <w:tcPr>
            <w:tcW w:type="dxa" w:w="254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Модели спроса и цикла для уборки, отбора, сортировки, инвентаризации, багажа и доставки в больнице в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tz-1.0.0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 нет</w:t>
            </w:r>
          </w:p>
        </w:tc>
      </w:tr>
      <w:tr>
        <w:trPr>
          <w:cantSplit/>
        </w:trPr>
        <w:tc>
          <w:tcPr>
            <w:tcW w:type="dxa" w:w="48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11</w:t>
            </w:r>
          </w:p>
        </w:tc>
        <w:tc>
          <w:tcPr>
            <w:tcW w:type="dxa" w:w="272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Сценарии «Как есть», покупка, услуга (RaaS) в одной таблице; 3–10 сценариев в проекте</w:t>
            </w:r>
          </w:p>
        </w:tc>
        <w:tc>
          <w:tcPr>
            <w:tcW w:type="dxa" w:w="8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✅</w:t>
            </w:r>
          </w:p>
        </w:tc>
        <w:tc>
          <w:tcPr>
            <w:tcW w:type="dxa" w:w="304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таблица сценариев, чувствительность каждого сценария, риски, вывод с интерпретацией</w:t>
            </w:r>
          </w:p>
        </w:tc>
        <w:tc>
          <w:tcPr>
            <w:tcW w:type="dxa" w:w="254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12</w:t>
            </w:r>
          </w:p>
        </w:tc>
        <w:tc>
          <w:tcPr>
            <w:tcW w:type="dxa" w:w="272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Лизинг</w:t>
            </w:r>
          </w:p>
        </w:tc>
        <w:tc>
          <w:tcPr>
            <w:tcW w:type="dxa" w:w="8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❌</w:t>
            </w:r>
          </w:p>
        </w:tc>
        <w:tc>
          <w:tcPr>
            <w:tcW w:type="dxa" w:w="304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—</w:t>
            </w:r>
          </w:p>
        </w:tc>
        <w:tc>
          <w:tcPr>
            <w:tcW w:type="dxa" w:w="254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Не реализовано: ТЗ называет покупку и услугу, лизинг в сценарии не входит</w:t>
            </w:r>
          </w:p>
        </w:tc>
      </w:tr>
      <w:tr>
        <w:trPr>
          <w:cantSplit/>
        </w:trPr>
        <w:tc>
          <w:tcPr>
            <w:tcW w:type="dxa" w:w="48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13</w:t>
            </w:r>
          </w:p>
        </w:tc>
        <w:tc>
          <w:tcPr>
            <w:tcW w:type="dxa" w:w="272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Налог на прибыль, амортизация, инфляция, остаточная стоимость оборудования</w:t>
            </w:r>
          </w:p>
        </w:tc>
        <w:tc>
          <w:tcPr>
            <w:tcW w:type="dxa" w:w="8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❌</w:t>
            </w:r>
          </w:p>
        </w:tc>
        <w:tc>
          <w:tcPr>
            <w:tcW w:type="dxa" w:w="304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ограничения перечислены в методике и отчёте</w:t>
            </w:r>
          </w:p>
        </w:tc>
        <w:tc>
          <w:tcPr>
            <w:tcW w:type="dxa" w:w="254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Не моделируются (раздел 2 ниже)</w:t>
            </w:r>
          </w:p>
        </w:tc>
      </w:tr>
      <w:tr>
        <w:trPr>
          <w:cantSplit/>
        </w:trPr>
        <w:tc>
          <w:tcPr>
            <w:tcW w:type="dxa" w:w="48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14</w:t>
            </w:r>
          </w:p>
        </w:tc>
        <w:tc>
          <w:tcPr>
            <w:tcW w:type="dxa" w:w="272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2D-имитация склада, подтверждающая расчёт</w:t>
            </w:r>
          </w:p>
        </w:tc>
        <w:tc>
          <w:tcPr>
            <w:tcW w:type="dxa" w:w="8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✅</w:t>
            </w:r>
          </w:p>
        </w:tc>
        <w:tc>
          <w:tcPr>
            <w:tcW w:type="dxa" w:w="304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зоны, маршруты, роботы, ворота, зарядка; старт, стоп, перезапуск, скорость, выбор сценария; вердикт и узкое место; PNG</w:t>
            </w:r>
          </w:p>
        </w:tc>
        <w:tc>
          <w:tcPr>
            <w:tcW w:type="dxa" w:w="254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15</w:t>
            </w:r>
          </w:p>
        </w:tc>
        <w:tc>
          <w:tcPr>
            <w:tcW w:type="dxa" w:w="272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Разъезды роботов и заторы в проходах</w:t>
            </w:r>
          </w:p>
        </w:tc>
        <w:tc>
          <w:tcPr>
            <w:tcW w:type="dxa" w:w="8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❌</w:t>
            </w:r>
          </w:p>
        </w:tc>
        <w:tc>
          <w:tcPr>
            <w:tcW w:type="dxa" w:w="304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очередь к воротам и зарядке моделируется</w:t>
            </w:r>
          </w:p>
        </w:tc>
        <w:tc>
          <w:tcPr>
            <w:tcW w:type="dxa" w:w="254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Встречное движение не моделируется (раздел 2)</w:t>
            </w:r>
          </w:p>
        </w:tc>
      </w:tr>
      <w:tr>
        <w:trPr>
          <w:cantSplit/>
        </w:trPr>
        <w:tc>
          <w:tcPr>
            <w:tcW w:type="dxa" w:w="48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16</w:t>
            </w:r>
          </w:p>
        </w:tc>
        <w:tc>
          <w:tcPr>
            <w:tcW w:type="dxa" w:w="272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Схема аэропорта и медучреждения</w:t>
            </w:r>
          </w:p>
        </w:tc>
        <w:tc>
          <w:tcPr>
            <w:tcW w:type="dxa" w:w="8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🧪</w:t>
            </w:r>
          </w:p>
        </w:tc>
        <w:tc>
          <w:tcPr>
            <w:tcW w:type="dxa" w:w="304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статичная SVG-схема с зонами и типовым маршрутом, бейдж «Прототип»</w:t>
            </w:r>
          </w:p>
        </w:tc>
        <w:tc>
          <w:tcPr>
            <w:tcW w:type="dxa" w:w="254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Имитации нет</w:t>
            </w:r>
          </w:p>
        </w:tc>
      </w:tr>
      <w:tr>
        <w:trPr>
          <w:cantSplit/>
        </w:trPr>
        <w:tc>
          <w:tcPr>
            <w:tcW w:type="dxa" w:w="48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17</w:t>
            </w:r>
          </w:p>
        </w:tc>
        <w:tc>
          <w:tcPr>
            <w:tcW w:type="dxa" w:w="272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3D</w:t>
            </w:r>
          </w:p>
        </w:tc>
        <w:tc>
          <w:tcPr>
            <w:tcW w:type="dxa" w:w="8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—</w:t>
            </w:r>
          </w:p>
        </w:tc>
        <w:tc>
          <w:tcPr>
            <w:tcW w:type="dxa" w:w="304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—</w:t>
            </w:r>
          </w:p>
        </w:tc>
        <w:tc>
          <w:tcPr>
            <w:tcW w:type="dxa" w:w="254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Не требуется ТЗ §3.6.1</w:t>
            </w:r>
          </w:p>
        </w:tc>
      </w:tr>
      <w:tr>
        <w:trPr>
          <w:cantSplit/>
        </w:trPr>
        <w:tc>
          <w:tcPr>
            <w:tcW w:type="dxa" w:w="48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18</w:t>
            </w:r>
          </w:p>
        </w:tc>
        <w:tc>
          <w:tcPr>
            <w:tcW w:type="dxa" w:w="272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Оптимизация парка</w:t>
            </w:r>
          </w:p>
        </w:tc>
        <w:tc>
          <w:tcPr>
            <w:tcW w:type="dxa" w:w="8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🧪</w:t>
            </w:r>
          </w:p>
        </w:tc>
        <w:tc>
          <w:tcPr>
            <w:tcW w:type="dxa" w:w="304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«минимальный устойчивый парк» — перебор имитацией (двоичный поиск), кнопка «Принять парк по имитации»</w:t>
            </w:r>
          </w:p>
        </w:tc>
        <w:tc>
          <w:tcPr>
            <w:tcW w:type="dxa" w:w="254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Оптимизации парка по NPV и машинного обучения нет</w:t>
            </w:r>
          </w:p>
        </w:tc>
      </w:tr>
      <w:tr>
        <w:trPr>
          <w:cantSplit/>
        </w:trPr>
        <w:tc>
          <w:tcPr>
            <w:tcW w:type="dxa" w:w="48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19</w:t>
            </w:r>
          </w:p>
        </w:tc>
        <w:tc>
          <w:tcPr>
            <w:tcW w:type="dxa" w:w="272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Проекты: создать, изменить, копировать, сохранить, удалить; журнал корректировок; версии модели и данных</w:t>
            </w:r>
          </w:p>
        </w:tc>
        <w:tc>
          <w:tcPr>
            <w:tcW w:type="dxa" w:w="8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✅</w:t>
            </w:r>
          </w:p>
        </w:tc>
        <w:tc>
          <w:tcPr>
            <w:tcW w:type="dxa" w:w="304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/projects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/projects/new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/projects/[id]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; повторное открытие воспроизводит расчёт из снимка</w:t>
            </w:r>
          </w:p>
        </w:tc>
        <w:tc>
          <w:tcPr>
            <w:tcW w:type="dxa" w:w="254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20</w:t>
            </w:r>
          </w:p>
        </w:tc>
        <w:tc>
          <w:tcPr>
            <w:tcW w:type="dxa" w:w="272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Отчёт в PDF</w:t>
            </w:r>
          </w:p>
        </w:tc>
        <w:tc>
          <w:tcPr>
            <w:tcW w:type="dxa" w:w="8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🟡</w:t>
            </w:r>
          </w:p>
        </w:tc>
        <w:tc>
          <w:tcPr>
            <w:tcW w:type="dxa" w:w="304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страница отчёта для печати; PDF — через «Печать / Сохранить PDF» браузера</w:t>
            </w:r>
          </w:p>
        </w:tc>
        <w:tc>
          <w:tcPr>
            <w:tcW w:type="dxa" w:w="254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Серверной генерации PDF нет</w:t>
            </w:r>
          </w:p>
        </w:tc>
      </w:tr>
      <w:tr>
        <w:trPr>
          <w:cantSplit/>
        </w:trPr>
        <w:tc>
          <w:tcPr>
            <w:tcW w:type="dxa" w:w="48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21</w:t>
            </w:r>
          </w:p>
        </w:tc>
        <w:tc>
          <w:tcPr>
            <w:tcW w:type="dxa" w:w="272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Выгрузка XLSX (13 листов с живыми формулами) и CSV</w:t>
            </w:r>
          </w:p>
        </w:tc>
        <w:tc>
          <w:tcPr>
            <w:tcW w:type="dxa" w:w="8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✅</w:t>
            </w:r>
          </w:p>
        </w:tc>
        <w:tc>
          <w:tcPr>
            <w:tcW w:type="dxa" w:w="304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/projects/[id]/export.xlsx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/export.csv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; гость получает CSV в браузере</w:t>
            </w:r>
          </w:p>
        </w:tc>
        <w:tc>
          <w:tcPr>
            <w:tcW w:type="dxa" w:w="254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22</w:t>
            </w:r>
          </w:p>
        </w:tc>
        <w:tc>
          <w:tcPr>
            <w:tcW w:type="dxa" w:w="272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Экспорт визуализации</w:t>
            </w:r>
          </w:p>
        </w:tc>
        <w:tc>
          <w:tcPr>
            <w:tcW w:type="dxa" w:w="8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✅</w:t>
            </w:r>
          </w:p>
        </w:tc>
        <w:tc>
          <w:tcPr>
            <w:tcW w:type="dxa" w:w="304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«Скачать PNG» с KPI, сценарием, зерном, датой и оговоркой</w:t>
            </w:r>
          </w:p>
        </w:tc>
        <w:tc>
          <w:tcPr>
            <w:tcW w:type="dxa" w:w="254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23</w:t>
            </w:r>
          </w:p>
        </w:tc>
        <w:tc>
          <w:tcPr>
            <w:tcW w:type="dxa" w:w="272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Роли гость, пользователь, администратор</w:t>
            </w:r>
          </w:p>
        </w:tc>
        <w:tc>
          <w:tcPr>
            <w:tcW w:type="dxa" w:w="8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✅</w:t>
            </w:r>
          </w:p>
        </w:tc>
        <w:tc>
          <w:tcPr>
            <w:tcW w:type="dxa" w:w="304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роль проверяется по базе в каждой странице, действии и обработчике API</w:t>
            </w:r>
          </w:p>
        </w:tc>
        <w:tc>
          <w:tcPr>
            <w:tcW w:type="dxa" w:w="254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24</w:t>
            </w:r>
          </w:p>
        </w:tc>
        <w:tc>
          <w:tcPr>
            <w:tcW w:type="dxa" w:w="272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Роль вендора</w:t>
            </w:r>
          </w:p>
        </w:tc>
        <w:tc>
          <w:tcPr>
            <w:tcW w:type="dxa" w:w="8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❌</w:t>
            </w:r>
          </w:p>
        </w:tc>
        <w:tc>
          <w:tcPr>
            <w:tcW w:type="dxa" w:w="304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—</w:t>
            </w:r>
          </w:p>
        </w:tc>
        <w:tc>
          <w:tcPr>
            <w:tcW w:type="dxa" w:w="254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Необязательная функция ТЗ §3.1.1</w:t>
            </w:r>
          </w:p>
        </w:tc>
      </w:tr>
      <w:tr>
        <w:trPr>
          <w:cantSplit/>
        </w:trPr>
        <w:tc>
          <w:tcPr>
            <w:tcW w:type="dxa" w:w="48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25</w:t>
            </w:r>
          </w:p>
        </w:tc>
        <w:tc>
          <w:tcPr>
            <w:tcW w:type="dxa" w:w="272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Админка: каталог, характеристики, нормативы, параметры, обновление данных, журнал</w:t>
            </w:r>
          </w:p>
        </w:tc>
        <w:tc>
          <w:tcPr>
            <w:tcW w:type="dxa" w:w="8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✅</w:t>
            </w:r>
          </w:p>
        </w:tc>
        <w:tc>
          <w:tcPr>
            <w:tcW w:type="dxa" w:w="304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/admin/*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, каждое изменение пишется в журнал</w:t>
            </w:r>
          </w:p>
        </w:tc>
        <w:tc>
          <w:tcPr>
            <w:tcW w:type="dxa" w:w="254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26</w:t>
            </w:r>
          </w:p>
        </w:tc>
        <w:tc>
          <w:tcPr>
            <w:tcW w:type="dxa" w:w="272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Добавление новых параметров и типов объектов через интерфейс</w:t>
            </w:r>
          </w:p>
        </w:tc>
        <w:tc>
          <w:tcPr>
            <w:tcW w:type="dxa" w:w="8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🟡</w:t>
            </w:r>
          </w:p>
        </w:tc>
        <w:tc>
          <w:tcPr>
            <w:tcW w:type="dxa" w:w="304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структура табличная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ParamDefinition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Process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FacilityTypeProcess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SolutionType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); администратор меняет значения, границы, обязательность и подсказки</w:t>
            </w:r>
          </w:p>
        </w:tc>
        <w:tc>
          <w:tcPr>
            <w:tcW w:type="dxa" w:w="254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Новый параметр или тип объекта добавляется через данные генератора и сев, а не через интерфейс</w:t>
            </w:r>
          </w:p>
        </w:tc>
      </w:tr>
      <w:tr>
        <w:trPr>
          <w:cantSplit/>
        </w:trPr>
        <w:tc>
          <w:tcPr>
            <w:tcW w:type="dxa" w:w="48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27</w:t>
            </w:r>
          </w:p>
        </w:tc>
        <w:tc>
          <w:tcPr>
            <w:tcW w:type="dxa" w:w="272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API v1, OpenAPI 3.1, страница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/api-docs</w:t>
            </w:r>
          </w:p>
        </w:tc>
        <w:tc>
          <w:tcPr>
            <w:tcW w:type="dxa" w:w="8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✅</w:t>
            </w:r>
          </w:p>
        </w:tc>
        <w:tc>
          <w:tcPr>
            <w:tcW w:type="dxa" w:w="304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каталог, нормативы, параметры, расчёт без сохранения, проекты, импорт каталога</w:t>
            </w:r>
          </w:p>
        </w:tc>
        <w:tc>
          <w:tcPr>
            <w:tcW w:type="dxa" w:w="254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28</w:t>
            </w:r>
          </w:p>
        </w:tc>
        <w:tc>
          <w:tcPr>
            <w:tcW w:type="dxa" w:w="272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Интеграции с WMS, ERP, 1С, мониторингом, аналитикой ФЦ БАС</w:t>
            </w:r>
          </w:p>
        </w:tc>
        <w:tc>
          <w:tcPr>
            <w:tcW w:type="dxa" w:w="8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🟡</w:t>
            </w:r>
          </w:p>
        </w:tc>
        <w:tc>
          <w:tcPr>
            <w:tcW w:type="dxa" w:w="304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API готов, интеграции описаны в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INTEGRATIONS.md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 (</w:t>
            </w:r>
            <w:hyperlink w:history="1" w:anchor="ch5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1A42A8"/>
                  <w:sz w:val="17"/>
                  <w:szCs w:val="17"/>
                  <w:u w:val="single"/>
                </w:rPr>
                <w:t xml:space="preserve">гл. 5</w:t>
              </w:r>
            </w:hyperlink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)</w:t>
            </w:r>
          </w:p>
        </w:tc>
        <w:tc>
          <w:tcPr>
            <w:tcW w:type="dxa" w:w="254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Живых подключений нет (ТЗ §3.8.1 их не требует)</w:t>
            </w:r>
          </w:p>
        </w:tc>
      </w:tr>
      <w:tr>
        <w:trPr>
          <w:cantSplit/>
        </w:trPr>
        <w:tc>
          <w:tcPr>
            <w:tcW w:type="dxa" w:w="48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29</w:t>
            </w:r>
          </w:p>
        </w:tc>
        <w:tc>
          <w:tcPr>
            <w:tcW w:type="dxa" w:w="272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Проверка по госреестрам, меры господдержки</w:t>
            </w:r>
          </w:p>
        </w:tc>
        <w:tc>
          <w:tcPr>
            <w:tcW w:type="dxa" w:w="8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❌</w:t>
            </w:r>
          </w:p>
        </w:tc>
        <w:tc>
          <w:tcPr>
            <w:tcW w:type="dxa" w:w="304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—</w:t>
            </w:r>
          </w:p>
        </w:tc>
        <w:tc>
          <w:tcPr>
            <w:tcW w:type="dxa" w:w="254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Необязательная функция ТЗ §3.8.4</w:t>
            </w:r>
          </w:p>
        </w:tc>
      </w:tr>
      <w:tr>
        <w:trPr>
          <w:cantSplit/>
        </w:trPr>
        <w:tc>
          <w:tcPr>
            <w:tcW w:type="dxa" w:w="48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30</w:t>
            </w:r>
          </w:p>
        </w:tc>
        <w:tc>
          <w:tcPr>
            <w:tcW w:type="dxa" w:w="272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Запуск в Docker одной командой</w:t>
            </w:r>
          </w:p>
        </w:tc>
        <w:tc>
          <w:tcPr>
            <w:tcW w:type="dxa" w:w="8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✅</w:t>
            </w:r>
          </w:p>
        </w:tc>
        <w:tc>
          <w:tcPr>
            <w:tcW w:type="dxa" w:w="304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  <w:shd w:fill="EEF1F6" w:color="auto" w:val="clear"/>
              </w:rPr>
              <w:t xml:space="preserve">docker compose up --build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: база, миграции и сев, приложение; проверяется в CI</w:t>
            </w:r>
          </w:p>
        </w:tc>
        <w:tc>
          <w:tcPr>
            <w:tcW w:type="dxa" w:w="254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31</w:t>
            </w:r>
          </w:p>
        </w:tc>
        <w:tc>
          <w:tcPr>
            <w:tcW w:type="dxa" w:w="272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HTTPS</w:t>
            </w:r>
          </w:p>
        </w:tc>
        <w:tc>
          <w:tcPr>
            <w:tcW w:type="dxa" w:w="8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🟡</w:t>
            </w:r>
          </w:p>
        </w:tc>
        <w:tc>
          <w:tcPr>
            <w:tcW w:type="dxa" w:w="304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заголовки безопасности (CSP, HSTS) отдаёт приложение; на Vercel HTTPS даёт хостинг</w:t>
            </w:r>
          </w:p>
        </w:tc>
        <w:tc>
          <w:tcPr>
            <w:tcW w:type="dxa" w:w="254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compose TLS не настраивает: на публичном стенде нужен обратный прокси с TLS</w:t>
            </w:r>
          </w:p>
        </w:tc>
      </w:tr>
      <w:tr>
        <w:trPr>
          <w:cantSplit/>
        </w:trPr>
        <w:tc>
          <w:tcPr>
            <w:tcW w:type="dxa" w:w="48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32</w:t>
            </w:r>
          </w:p>
        </w:tc>
        <w:tc>
          <w:tcPr>
            <w:tcW w:type="dxa" w:w="272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Хранение загруженных файлов</w:t>
            </w:r>
          </w:p>
        </w:tc>
        <w:tc>
          <w:tcPr>
            <w:tcW w:type="dxa" w:w="8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—</w:t>
            </w:r>
          </w:p>
        </w:tc>
        <w:tc>
          <w:tcPr>
            <w:tcW w:type="dxa" w:w="304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файл разбирается в памяти и отбрасывается</w:t>
            </w:r>
          </w:p>
        </w:tc>
        <w:tc>
          <w:tcPr>
            <w:tcW w:type="dxa" w:w="254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Сознательно не храним: удалять при удалении проекта нечего (ТЗ §4.4.6)</w:t>
            </w:r>
          </w:p>
        </w:tc>
      </w:tr>
      <w:tr>
        <w:trPr>
          <w:cantSplit/>
        </w:trPr>
        <w:tc>
          <w:tcPr>
            <w:tcW w:type="dxa" w:w="48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33</w:t>
            </w:r>
          </w:p>
        </w:tc>
        <w:tc>
          <w:tcPr>
            <w:tcW w:type="dxa" w:w="272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Производительность под нагрузкой 50 пользователей (ТЗ §4.3.1)</w:t>
            </w:r>
          </w:p>
        </w:tc>
        <w:tc>
          <w:tcPr>
            <w:tcW w:type="dxa" w:w="8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🟡</w:t>
            </w:r>
          </w:p>
        </w:tc>
        <w:tc>
          <w:tcPr>
            <w:tcW w:type="dxa" w:w="304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расчёт экономики — десятки миллисекунд (замеры в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ARCHITECTURE.md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 (</w:t>
            </w:r>
            <w:hyperlink w:history="1" w:anchor="ch2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strike w:val="false"/>
                  <w:color w:val="1A42A8"/>
                  <w:sz w:val="17"/>
                  <w:szCs w:val="17"/>
                  <w:u w:val="single"/>
                </w:rPr>
                <w:t xml:space="preserve">гл. 2</w:t>
              </w:r>
            </w:hyperlink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, §9)</w:t>
            </w:r>
          </w:p>
        </w:tc>
        <w:tc>
          <w:tcPr>
            <w:tcW w:type="dxa" w:w="254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Нагрузочного теста не было</w:t>
            </w:r>
          </w:p>
        </w:tc>
      </w:tr>
      <w:tr>
        <w:trPr>
          <w:cantSplit/>
        </w:trPr>
        <w:tc>
          <w:tcPr>
            <w:tcW w:type="dxa" w:w="48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34</w:t>
            </w:r>
          </w:p>
        </w:tc>
        <w:tc>
          <w:tcPr>
            <w:tcW w:type="dxa" w:w="272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Прежняя модель v1 (47 типов объектов, расчёт в долларах)</w:t>
            </w:r>
          </w:p>
        </w:tc>
        <w:tc>
          <w:tcPr>
            <w:tcW w:type="dxa" w:w="8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—</w:t>
            </w:r>
          </w:p>
        </w:tc>
        <w:tc>
          <w:tcPr>
            <w:tcW w:type="dxa" w:w="304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доступна со страницы «Проекты» и из нижней секции лендинга</w:t>
            </w:r>
          </w:p>
        </w:tc>
        <w:tc>
          <w:tcPr>
            <w:tcW w:type="dxa" w:w="254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Прежняя модель, в демонстрации по ТЗ не участвует</w:t>
            </w:r>
          </w:p>
        </w:tc>
      </w:tr>
      <w:tr>
        <w:trPr>
          <w:cantSplit/>
        </w:trPr>
        <w:tc>
          <w:tcPr>
            <w:tcW w:type="dxa" w:w="48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35</w:t>
            </w:r>
          </w:p>
        </w:tc>
        <w:tc>
          <w:tcPr>
            <w:tcW w:type="dxa" w:w="272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Несколько организаций, другие языки интерфейса</w:t>
            </w:r>
          </w:p>
        </w:tc>
        <w:tc>
          <w:tcPr>
            <w:tcW w:type="dxa" w:w="8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—</w:t>
            </w:r>
          </w:p>
        </w:tc>
        <w:tc>
          <w:tcPr>
            <w:tcW w:type="dxa" w:w="304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—</w:t>
            </w:r>
          </w:p>
        </w:tc>
        <w:tc>
          <w:tcPr>
            <w:tcW w:type="dxa" w:w="254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Не строим</w:t>
            </w:r>
          </w:p>
        </w:tc>
      </w:tr>
    </w:tbl>
    <w:p>
      <w:pPr>
        <w:spacing w:after="60"/>
      </w:pPr>
    </w:p>
    <w:p>
      <w:pPr>
        <w:pStyle w:val="Heading2"/>
        <w:keepNext/>
        <w:outlineLvl w:val="1"/>
      </w:pPr>
      <w:bookmarkStart w:name="toc70" w:id="1"/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2. Ограничения экономической модели</w:t>
      </w:r>
      <w:bookmarkEnd w:id="1"/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Список ниже — это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MODEL_LIMITATIONS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из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lib/tz/econ/limitations.ts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дословно. Тот же
список выводят страница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/methodology/tz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и отчёт проекта.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Разъезды роботов и заторы в проходах не моделируются: производительность по циклу считается для робота на свободном маршруте, а имитация проверяет очередь к точкам и зарядке, но не встречное движение.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Длина плеча перевозки оценена по типовой планировке, построенной из площади активной зоны и ширины проходов, а не по чертежу объекта.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Стоимость существующего парка погрузчиков и его обслуживания в датасете организатора не задана, поэтому её экономия в эффект не входит — эффект занижен, оценка консервативна.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Состав подписки RaaS принят по допущению: оборудование, зарядные станции, ПО, сервис, ремонт, расходники и замена АКБ входят в ставку; интеграция и обучение оплачиваются отдельно. Состав проверяется по договору с поставщиком.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Часть статей CAPEX и OPEX — оценки или нормативы-аналоги другого производителя (пометка «аналог: …»); у каждой такой статьи показано происхождение и обоснование.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Дополнительный доход и предотвращённые потери (брак, травматизм, текучесть персонала) в годовой эффект не включены — только сокращение текущих затрат за вычетом дополнительного OPEX.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Налог на прибыль, амортизация, лизинг и инфляция не моделируются: денежные потоки считаются в ценах расчёта без индексации.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Остаточная стоимость оборудования на конце горизонта не учитывается: докупка оборудования в год окончания срока службы входит в поток полностью, если горизонт длиннее срока службы, и не входит, если горизонт равен сроку службы. Поэтому NPV покупки скачком снижается, когда горизонт превышает срок службы (при сроке службы 7 лет — между горизонтами 7 и 8 лет), и вывод по горизонту может меняться не монотонно.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Экономика рассчитывается для перемещения паллет на складе; остальные процессы и типы объектов показаны на уровне параметров, подбора и доступных решений (прототип, ТЗ §5.7).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Результат каждого расчёта сопровождает оговорка «Результат является предварительной оценкой и
требует верификации при обследовании объекта.» (ТЗ §3.7.5).</w:t>
      </w:r>
    </w:p>
    <w:p>
      <w:pPr>
        <w:pStyle w:val="Heading2"/>
        <w:keepNext/>
        <w:outlineLvl w:val="1"/>
      </w:pPr>
      <w:bookmarkStart w:name="toc71" w:id="1"/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3. Ограничения имитации</w:t>
      </w:r>
      <w:bookmarkEnd w:id="1"/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Допущения показаны пользователю в блоке «Откуда параметры имитации». Подробности — в
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MODEL-TZ.md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(</w:t>
      </w:r>
      <w:hyperlink w:history="1" w:anchor="ch3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1A42A8"/>
            <w:u w:val="single"/>
          </w:rPr>
          <w:t xml:space="preserve">гл. 3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§5.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Планировка типовая, а не по чертежу: W = √(2A), H = √(A/2), где A — активная зона.
Полоса ворот 8 м, угол зарядки 8 × 8 м, отступ стеллажей 12 м, двойной ряд стеллажей 2,4 м,
шаг мест хранения 4 м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LAYOUT_ASSUMPTIONS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в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lib/sim/layout.ts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; все — оценки или наш
выбор).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Разъезды и заторы не моделируются. Моделируются очередь к воротам (одна машина на ворота) и
очередь к зарядным станциям.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Зарядка линейная, робот расходует заряд и в простое.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Имитация есть только у мобильных роботов в процессе перемещения паллет. Отбор, стационарные
системы (шаттлы, AS/RS) и уборщики не имитируются: адаптер честно отвечает «имитация не
поддерживается».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Поток заданий случаен (испытания Бернулли), поэтому достигнутый поток зависит от зерна.
Проект сохраняет зерно 1, «Перезапуск» повторяет прогон бит-в-бит.</w:t>
      </w:r>
    </w:p>
    <w:p>
      <w:pPr>
        <w:pStyle w:val="Heading2"/>
        <w:keepNext/>
        <w:outlineLvl w:val="1"/>
      </w:pPr>
      <w:bookmarkStart w:name="toc72" w:id="1"/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4. Ограничения данных</w:t>
      </w:r>
      <w:bookmarkEnd w:id="1"/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Цены каталога организатора не считаются подтверждёнными, пока сайт или документ
производителя не дал то же значение с точностью до 10 %. По подсчёту на данных каталога
(задача T1.8, см. CHANGELOG) у 184 из 188 продуктов цена первоисточником не подтверждена, у
167 нет производительности, у 146 полнота карточки ниже 60 %. Такие продукты помечены
«требует проверки», а риск PRICE_UNCONFIRMED попадает в вывод.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Паспортная производительность идёт в расчёт, только если она дана на один робот или одну
станцию и не в виде «до X». Цифры «на парк» и из кейсов показаны, но в расчёт парка не идут.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Нормативы модели: из 48 значений 26 — оценки с обоснованием (таблица с происхождением — в
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data-provenance.md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(</w:t>
      </w:r>
      <w:hyperlink w:history="1" w:anchor="ch4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1A42A8"/>
            <w:u w:val="single"/>
          </w:rPr>
          <w:t xml:space="preserve">гл. 4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раздел «Нормативы модели tz-1.0.0»). Доля CAPEX
из оценок отражается риском ESTIMATE_SHARE.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Исследование открытых источников заморожено 2026-09-23T21:13:10Z и дальше не обновлялось.</w:t>
      </w:r>
    </w:p>
    <w:p>
      <w:pPr>
        <w:pStyle w:val="Heading2"/>
        <w:keepNext/>
        <w:outlineLvl w:val="1"/>
      </w:pPr>
      <w:bookmarkStart w:name="toc73" w:id="1"/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5. Известные открытые вопросы</w:t>
      </w:r>
      <w:bookmarkEnd w:id="1"/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Найдены на шлюзах волн и не исправлены к моменту записи: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Список «Мои проекты» показывает в колонке «Лучшая окупаемость» минимум по всем сценариям,
включая услугу (RaaS). У демо-проекта это срок услуги, при малом CAPEX такой срок мало что
говорит. Решение за владельцем: ограничить колонку покупкой или подписывать вид сценария.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Бейдж источника содержит скрытую подпись для экранного диктора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sr-only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). Внутри
прокручиваемой таблицы без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relative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она может расширить страницу на телефоне. На
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/methodology/tz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это исправлено; каталог, отчёт и рабочая область на ширине телефона не
перепроверены. Требование ТЗ — от 1366×768, его это не касается.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Лист «Параметры объекта» в XLSX для оценочных параметров пишет «вне диапазона организатора»,
хотя диапазон задан не организатором. Экран и печатный отчёт пишут верно.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При повторном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npm run db:seed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строки «Подтверждение» и «Дата проверки» в «Качестве данных»
продуктов с правками администратора переписываются значениями организатора. Кнопка
«Обновить каталог» в админке пересчитывает их заново, сев — нет.</w:t>
      </w:r>
    </w:p>
    <w:p>
      <w:pPr>
        <w:pStyle w:val="Heading2"/>
        <w:keepNext/>
        <w:outlineLvl w:val="1"/>
      </w:pPr>
      <w:bookmarkStart w:name="toc74" w:id="1"/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6. План развития</w:t>
      </w:r>
      <w:bookmarkEnd w:id="1"/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По убыванию пользы для пилота с реальным клиентом: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Экономика и имитация следующих процессов склада: штучный отбор (товар к человеку) и
уборка — модели спроса для них уже есть в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PROCESS_DEFS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Экономика внутрибольничной доставки и перемещения багажа по тому же движку.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Остаточная стоимость оборудования на конце горизонта и лизинг как третий вид сценария.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Плановое обновление каталога: периодическая синхронизация и проверка возраста источников.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Серверная генерация PDF (нужен шрифт с кириллицей в сборке).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Разъезды и заторы в имитации; планировка по чертежу объекта вместо типовой.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Роль вендора: поставщик ведёт карточки своих продуктов, администратор подтверждает.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Проверка по госреестрам и расчёт мер господдержки (ТЗ §3.8.4).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Нагрузочный тест на 50 одновременных пользователей (ТЗ §4.3.1).</w:t>
      </w:r>
    </w:p>
    <w:p>
      <w:pPr>
        <w:pStyle w:val="Heading1"/>
        <w:pageBreakBefore/>
        <w:outlineLvl w:val="0"/>
      </w:pPr>
      <w:bookmarkStart w:name="ch10" w:id="1"/>
      <w:r>
        <w:t xml:space="preserve">10. Тестирование и воспроизводимость</w:t>
      </w:r>
      <w:bookmarkEnd w:id="1"/>
    </w:p>
    <w:p>
      <w:pPr>
        <w:pBdr>
          <w:bottom w:val="single" w:color="C8CFDB" w:sz="4" w:space="6"/>
        </w:pBdr>
        <w:spacing w:after="200"/>
      </w:pPr>
      <w:r>
        <w:rPr>
          <w:i/>
          <w:iCs/>
          <w:color w:val="6B7280"/>
          <w:sz w:val="17"/>
          <w:szCs w:val="17"/>
        </w:rPr>
        <w:t xml:space="preserve">Источники: docs/submission/demo-numbers.md, README.md, docs/MODEL-TZ.md, docs/submission/PRESENTATION-OUTLINE.md, docs/submission/fresh-instance-log.txt, e2e/sample-report.spec.ts. Требования: ТЗ §5.6, §6.10, §8.2.7.</w:t>
      </w:r>
    </w:p>
    <w:p>
      <w:pPr>
        <w:pStyle w:val="Heading2"/>
        <w:keepNext/>
        <w:outlineLvl w:val="1"/>
      </w:pPr>
      <w:bookmarkStart w:name="toc76" w:id="1"/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Версии расчёта и данные</w:t>
      </w:r>
      <w:bookmarkEnd w:id="1"/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Абзацы ниже — шапка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docs/submission/demo-numbers.md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(приложение А), которую печатает сборка.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Сгенерировано командой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npx tsx scripts/print-demo-numbers.ts --markdown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— не править руками. Источник данных: БД, выпуск данных 72eb7f93; описания параметров — таблица ParamDefinition.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Версии: модель tz-1.0.0 · имитация sim-1.0.0 · данные расчёта пути жюри 7be2cba2. Данные организатора: датасеты 2026-09-22#4be0fac8, каталог 2026-09-22#da43c64c, примеры решений 2026-09-22#6e738822; исследование открытых источников: svod 2026-09-23 + found_batch1-6@2026-09-23T21:13:10Z.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Объект: базовые значения датасета организатора, лист «Склад» (52 параметра вместе с дополнениями). Разделы: путь жюри — основной, его видит член жюри; каталог — масштаб данных; дополнительный пример с DMR Carrier P — справочно, в путь жюри не входит.</w:t>
      </w:r>
    </w:p>
    <w:p>
      <w:pPr>
        <w:pStyle w:val="Heading2"/>
        <w:keepNext/>
        <w:outlineLvl w:val="1"/>
      </w:pPr>
      <w:bookmarkStart w:name="toc77" w:id="1"/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Автотесты и CI</w:t>
      </w:r>
      <w:bookmarkEnd w:id="1"/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Из README.md репозитория; состав наборов и последний прогон CI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ARCHITECTURE.md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(</w:t>
      </w:r>
      <w:hyperlink w:history="1" w:anchor="ch2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1A42A8"/>
            <w:u w:val="single"/>
          </w:rPr>
          <w:t xml:space="preserve">гл. 2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§11; тесты, которые держат модель,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MODEL-TZ.md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(</w:t>
      </w:r>
      <w:hyperlink w:history="1" w:anchor="ch3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1A42A8"/>
            <w:u w:val="single"/>
          </w:rPr>
          <w:t xml:space="preserve">гл. 3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§7.</w:t>
      </w:r>
    </w:p>
    <w:p>
      <w:pPr>
        <w:keepLines/>
        <w:shd w:fill="F2F4F7" w:color="auto" w:val="clear"/>
        <w:spacing w:after="0" w:before="60" w:line="250"/>
        <w:ind w:left="60" w:right="60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npx vitest run --project unit &lt; /dev/null   # чистые модули</w:t>
      </w:r>
    </w:p>
    <w:p>
      <w:pPr>
        <w:keepLines/>
        <w:shd w:fill="F2F4F7" w:color="auto" w:val="clear"/>
        <w:spacing w:after="0" w:before="0" w:line="250"/>
        <w:ind w:left="60" w:right="60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npx vitest run --project db &lt; /dev/null     # тесты на настоящем Postgres (после миграций и сева)</w:t>
      </w:r>
    </w:p>
    <w:p>
      <w:pPr>
        <w:keepLines/>
        <w:shd w:fill="F2F4F7" w:color="auto" w:val="clear"/>
        <w:spacing w:after="0" w:before="0" w:line="250"/>
        <w:ind w:left="60" w:right="60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npm run test:e2e                            # Playwright: собирает и запускает приложение сам</w:t>
      </w:r>
    </w:p>
    <w:p>
      <w:pPr>
        <w:keepLines/>
        <w:shd w:fill="F2F4F7" w:color="auto" w:val="clear"/>
        <w:spacing w:after="140" w:before="0" w:line="250"/>
        <w:ind w:left="60" w:right="60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npx tsx scripts/print-demo-numbers.ts       # демо-числа на данных БД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Перед первым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test:e2e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npx playwright install chromium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. CI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.github/workflows/ci.yml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
на каждый push выполняет миграции, сев, lint, сборку, Vitest и e2e, а отдельная задача
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docker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docker compose up --build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с проверкой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/api/health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и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/demo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. Последний
прогон (коммит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b112b35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): 102 файла и 1473 теста Vitest, 10 тестов e2e — все зелёные.</w:t>
      </w:r>
    </w:p>
    <w:p>
      <w:pPr>
        <w:pStyle w:val="Heading2"/>
        <w:keepNext/>
        <w:outlineLvl w:val="1"/>
      </w:pPr>
      <w:bookmarkStart w:name="toc78" w:id="1"/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Как воспроизвести демонстрационный расчёт</w:t>
      </w:r>
      <w:bookmarkEnd w:id="1"/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Из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MODEL-TZ.md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(</w:t>
      </w:r>
      <w:hyperlink w:history="1" w:anchor="ch3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1A42A8"/>
            <w:u w:val="single"/>
          </w:rPr>
          <w:t xml:space="preserve">гл. 3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§8.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Поднять приложение (README, запуск A или B). Сев создаёт демо-проект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demo-warehouse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npx tsx scripts/print-demo-numbers.ts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— таблицы сценариев, парка, рычагов и вывод на
данных БД. С ключом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--markdown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вывод совпадает с
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submission/demo-numbers.md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(</w:t>
      </w:r>
      <w:hyperlink w:history="1" w:anchor="appA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1A42A8"/>
            <w:u w:val="single"/>
          </w:rPr>
          <w:t xml:space="preserve">прил. А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; с ключом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--offline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расчёт
идёт по данным из кода, без базы.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/demo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без входа или «Проекты» → «Новый проект» → «Склад» → «Демо-данные организатора» —
те же числа в интерфейсе.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npx vitest run lib/tz lib/sim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— эталоны и тесты модели.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Статьи и трассировка контрольного примера — команда из §6; таблица прогонов имитации —
команда из §7.</w:t>
      </w:r>
    </w:p>
    <w:p>
      <w:pPr>
        <w:pStyle w:val="Heading2"/>
        <w:keepNext/>
        <w:outlineLvl w:val="1"/>
      </w:pPr>
      <w:bookmarkStart w:name="toc79" w:id="1"/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Сверка демо-чисел с файлом в репозитории</w:t>
      </w:r>
      <w:bookmarkEnd w:id="1"/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Из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PRESENTATION-OUTLINE.md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(docs/submission/PRESENTATION-OUTLINE.md)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раздел «Сверка чисел перед сдачей».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Сгенерировать файл заново и сравнить с файлом в репозитории. Выполнять в Git Bash, на Linux и macOS — в обычном терминале:</w:t>
      </w:r>
    </w:p>
    <w:p>
      <w:pPr>
        <w:keepLines/>
        <w:shd w:fill="F2F4F7" w:color="auto" w:val="clear"/>
        <w:spacing w:after="0" w:before="60" w:line="250"/>
        <w:ind w:left="460" w:right="60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npx tsx scripts/print-demo-numbers.ts --markdown &gt; /tmp/dn.md</w:t>
      </w:r>
    </w:p>
    <w:p>
      <w:pPr>
        <w:keepLines/>
        <w:shd w:fill="F2F4F7" w:color="auto" w:val="clear"/>
        <w:spacing w:after="140" w:before="0" w:line="250"/>
        <w:ind w:left="460" w:right="60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git diff --no-index --ignore-cr-at-eol --exit-code docs/submission/demo-numbers.md /tmp/dn.md</w:t>
      </w:r>
    </w:p>
    <w:p>
      <w:pPr>
        <w:spacing w:after="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Пустой вывод и код выхода 0 значат, что числа совпадают. Концы строк не сравниваются намеренно: Git для Windows с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core.autocrlf=true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выписывает файл с CRLF, и побайтное сравнение дало бы ложное расхождение. Из PowerShell не запускать: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&gt;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там перекодирует вывод, и сверка покажет расхождение, которого нет.</w:t>
      </w:r>
    </w:p>
    <w:p>
      <w:pPr>
        <w:pStyle w:val="Heading2"/>
        <w:keepNext/>
        <w:outlineLvl w:val="1"/>
      </w:pPr>
      <w:bookmarkStart w:name="toc80" w:id="1"/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Проверка на чистом экземпляре</w:t>
      </w:r>
      <w:bookmarkEnd w:id="1"/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Скрипт и порядок запуска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DEPLOY-QUICKSTART.md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(</w:t>
      </w:r>
      <w:hyperlink w:history="1" w:anchor="ch6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1A42A8"/>
            <w:u w:val="single"/>
          </w:rPr>
          <w:t xml:space="preserve">гл. 6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§4. Итог последнего прогона из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docs/submission/fresh-instance-log.txt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(2026-09-25T13:50:39.960Z · коммит e15fd74 · Node v24.19.0 · модель tz-1.0.0, имитация sim-1.0.0):</w:t>
      </w:r>
    </w:p>
    <w:p>
      <w:pPr>
        <w:keepLines/>
        <w:shd w:fill="F2F4F7" w:color="auto" w:val="clear"/>
        <w:spacing w:after="0" w:before="60" w:line="250"/>
        <w:ind w:left="60" w:right="60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──────── Итог ────────</w:t>
      </w:r>
    </w:p>
    <w:p>
      <w:pPr>
        <w:keepLines/>
        <w:shd w:fill="F2F4F7" w:color="auto" w:val="clear"/>
        <w:spacing w:after="0" w:before="0" w:line="250"/>
        <w:ind w:left="60" w:right="60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[ OK ] Предпосылки — сборка, Prisma CLI и tsx на месте; порт 3100 свободен; Postgres localhost:5433/robotization_roi доступен, право CREATEDB есть</w:t>
      </w:r>
    </w:p>
    <w:p>
      <w:pPr>
        <w:keepLines/>
        <w:shd w:fill="F2F4F7" w:color="auto" w:val="clear"/>
        <w:spacing w:after="0" w:before="0" w:line="250"/>
        <w:ind w:left="60" w:right="60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[ OK ] Создана пустая база — localhost:5433/rrp_fresh_1790344240 (0,7 с)</w:t>
      </w:r>
    </w:p>
    <w:p>
      <w:pPr>
        <w:keepLines/>
        <w:shd w:fill="F2F4F7" w:color="auto" w:val="clear"/>
        <w:spacing w:after="0" w:before="0" w:line="250"/>
        <w:ind w:left="60" w:right="60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[ OK ] Миграции (prisma migrate deploy) (23,6 с)</w:t>
      </w:r>
    </w:p>
    <w:p>
      <w:pPr>
        <w:keepLines/>
        <w:shd w:fill="F2F4F7" w:color="auto" w:val="clear"/>
        <w:spacing w:after="0" w:before="0" w:line="250"/>
        <w:ind w:left="60" w:right="60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[ OK ] Сев (tsx scripts/seed.ts) (3,0 с)</w:t>
      </w:r>
    </w:p>
    <w:p>
      <w:pPr>
        <w:keepLines/>
        <w:shd w:fill="F2F4F7" w:color="auto" w:val="clear"/>
        <w:spacing w:after="0" w:before="0" w:line="250"/>
        <w:ind w:left="60" w:right="60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[ .. ] Данные после сева — отраслей 12, типов объектов 47, решений v1 11, процессов 13, типов решений 14, продуктов каталога 188, характеристик продуктов 2615, параметров объектов 152, нормативов 48, выпусков данных 1, проектов 1</w:t>
      </w:r>
    </w:p>
    <w:p>
      <w:pPr>
        <w:keepLines/>
        <w:shd w:fill="F2F4F7" w:color="auto" w:val="clear"/>
        <w:spacing w:after="0" w:before="0" w:line="250"/>
        <w:ind w:left="60" w:right="60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[ OK ] Демо-аккаунты созданы — admin@demo.local (ADMIN), demo@demo.local (USER)</w:t>
      </w:r>
    </w:p>
    <w:p>
      <w:pPr>
        <w:keepLines/>
        <w:shd w:fill="F2F4F7" w:color="auto" w:val="clear"/>
        <w:spacing w:after="0" w:before="0" w:line="250"/>
        <w:ind w:left="60" w:right="60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[ OK ] Демо-проект на месте — demo-warehouse</w:t>
      </w:r>
    </w:p>
    <w:p>
      <w:pPr>
        <w:keepLines/>
        <w:shd w:fill="F2F4F7" w:color="auto" w:val="clear"/>
        <w:spacing w:after="0" w:before="0" w:line="250"/>
        <w:ind w:left="60" w:right="60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[ OK ] GET /api/health → 200 — {"ok":true,"db":true,"modelVersion":"tz-1.0.0","simModelVersion":"sim-1.0.0"} (20,2 с)</w:t>
      </w:r>
    </w:p>
    <w:p>
      <w:pPr>
        <w:keepLines/>
        <w:shd w:fill="F2F4F7" w:color="auto" w:val="clear"/>
        <w:spacing w:after="0" w:before="0" w:line="250"/>
        <w:ind w:left="60" w:right="60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[ OK ] GET / → 200 (0,5 с)</w:t>
      </w:r>
    </w:p>
    <w:p>
      <w:pPr>
        <w:keepLines/>
        <w:shd w:fill="F2F4F7" w:color="auto" w:val="clear"/>
        <w:spacing w:after="0" w:before="0" w:line="250"/>
        <w:ind w:left="60" w:right="60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[ OK ] GET /demo → 200 (1,3 с)</w:t>
      </w:r>
    </w:p>
    <w:p>
      <w:pPr>
        <w:keepLines/>
        <w:shd w:fill="F2F4F7" w:color="auto" w:val="clear"/>
        <w:spacing w:after="0" w:before="0" w:line="250"/>
        <w:ind w:left="60" w:right="60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[ OK ] Временная база удалена — rrp_fresh_1790344240</w:t>
      </w:r>
    </w:p>
    <w:p>
      <w:pPr>
        <w:keepLines/>
        <w:shd w:fill="F2F4F7" w:color="auto" w:val="clear"/>
        <w:spacing w:after="0" w:before="0" w:line="250"/>
        <w:ind w:left="60" w:right="60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 </w:t>
      </w:r>
    </w:p>
    <w:p>
      <w:pPr>
        <w:keepLines/>
        <w:shd w:fill="F2F4F7" w:color="auto" w:val="clear"/>
        <w:spacing w:after="140" w:before="0" w:line="250"/>
        <w:ind w:left="60" w:right="60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ИТОГ: проверка на чистом экземпляре пройдена — пустая база, миграции, сев, сервер сборки, /api/health и страницы /, /demo отвечают.</w:t>
      </w:r>
    </w:p>
    <w:p>
      <w:pPr>
        <w:pStyle w:val="Heading2"/>
        <w:keepNext/>
        <w:outlineLvl w:val="1"/>
      </w:pPr>
      <w:bookmarkStart w:name="toc81" w:id="1"/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Образцы выгрузок (ТЗ §8.2.7)</w:t>
      </w:r>
      <w:bookmarkEnd w:id="1"/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Файлы в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docs/submission/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сняты со сборки с засеянного демо-проекта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demo-warehouse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(генератор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e2e/sample-report.spec.ts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запуск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SAMPLE_REPORT=1 npx playwright test e2e/sample-report.spec.ts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). Числа в них — из сборки, а не набраны руками.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94"/>
        <w:gridCol w:w="6944"/>
      </w:tblGrid>
      <w:tr>
        <w:trPr>
          <w:cantSplit/>
          <w:tblHeader/>
        </w:trPr>
        <w:tc>
          <w:tcPr>
            <w:tcW w:type="dxa" w:w="269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Файл</w:t>
            </w:r>
          </w:p>
        </w:tc>
        <w:tc>
          <w:tcPr>
            <w:tcW w:type="dxa" w:w="694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Что это</w:t>
            </w:r>
          </w:p>
        </w:tc>
      </w:tr>
      <w:tr>
        <w:trPr>
          <w:cantSplit/>
        </w:trPr>
        <w:tc>
          <w:tcPr>
            <w:tcW w:type="dxa" w:w="269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sample-report.pdf</w:t>
            </w:r>
          </w:p>
        </w:tc>
        <w:tc>
          <w:tcPr>
            <w:tcW w:type="dxa" w:w="694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печать страницы отчёта проекта в A4</w:t>
            </w:r>
          </w:p>
        </w:tc>
      </w:tr>
      <w:tr>
        <w:trPr>
          <w:cantSplit/>
        </w:trPr>
        <w:tc>
          <w:tcPr>
            <w:tcW w:type="dxa" w:w="269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sample-report.xlsx</w:t>
            </w:r>
          </w:p>
        </w:tc>
        <w:tc>
          <w:tcPr>
            <w:tcW w:type="dxa" w:w="694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книга Excel с живыми формулами</w:t>
            </w:r>
          </w:p>
        </w:tc>
      </w:tr>
      <w:tr>
        <w:trPr>
          <w:cantSplit/>
        </w:trPr>
        <w:tc>
          <w:tcPr>
            <w:tcW w:type="dxa" w:w="269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sample-report.csv</w:t>
            </w:r>
          </w:p>
        </w:tc>
        <w:tc>
          <w:tcPr>
            <w:tcW w:type="dxa" w:w="694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таблица сценариев и денежный поток для русского Excel</w:t>
            </w:r>
          </w:p>
        </w:tc>
      </w:tr>
      <w:tr>
        <w:trPr>
          <w:cantSplit/>
        </w:trPr>
        <w:tc>
          <w:tcPr>
            <w:tcW w:type="dxa" w:w="269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sample-simulation.png</w:t>
            </w:r>
          </w:p>
        </w:tc>
        <w:tc>
          <w:tcPr>
            <w:tcW w:type="dxa" w:w="694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кадр имитации рекомендуемого сценария (рисунок в главе 3)</w:t>
            </w:r>
          </w:p>
        </w:tc>
      </w:tr>
    </w:tbl>
    <w:p>
      <w:pPr>
        <w:spacing w:after="60"/>
      </w:pPr>
    </w:p>
    <w:p>
      <w:pPr>
        <w:pStyle w:val="Heading1"/>
        <w:pageBreakBefore/>
        <w:outlineLvl w:val="0"/>
      </w:pPr>
      <w:bookmarkStart w:name="ch11" w:id="1"/>
      <w:r>
        <w:t xml:space="preserve">11. Сценарий проверки основных функций</w:t>
      </w:r>
      <w:bookmarkEnd w:id="1"/>
    </w:p>
    <w:p>
      <w:pPr>
        <w:pBdr>
          <w:bottom w:val="single" w:color="C8CFDB" w:sz="4" w:space="6"/>
        </w:pBdr>
        <w:spacing w:after="200"/>
      </w:pPr>
      <w:r>
        <w:rPr>
          <w:i/>
          <w:iCs/>
          <w:color w:val="6B7280"/>
          <w:sz w:val="17"/>
          <w:szCs w:val="17"/>
        </w:rPr>
        <w:t xml:space="preserve">Источник: docs/DEMO-SCRIPT.md. Метки «ДЧ·…» указывают на разделы файла демо-чисел (приложение А). Требования: ТЗ §5.4, §5.5, §8.2.6.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Документ описывает живой показ по ТЗ §5.4: на наборе организатора создаём проект, подбираем решения, сравниваем сценарии, показываем расчёт и запускаем визуализацию. В конце показа, по §5.5, открываем три базовых типа объектов на уровне выбора, параметров и решений.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Этот же документ служит сценарием проверки основных функций для сдачи по §8.2.6. Слайды к показу описаны в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docs/submission/PRESENTATION-OUTLINE.md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.</w:t>
      </w:r>
    </w:p>
    <w:p>
      <w:pPr>
        <w:pStyle w:val="Heading2"/>
        <w:keepNext/>
        <w:outlineLvl w:val="1"/>
      </w:pPr>
      <w:bookmarkStart w:name="toc83" w:id="1"/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Стенд и учётные записи</w:t>
      </w:r>
      <w:bookmarkEnd w:id="1"/>
    </w:p>
    <w:p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Стенд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— сдаваемая сборка на засеянной базе. Подойдёт любой из вариантов: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docker compose up --build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→ </w:t>
      </w:r>
      <w:hyperlink w:history="1" r:id="rIdxisqijwmghabocarkomfm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1A42A8"/>
            <w:u w:val="single"/>
          </w:rPr>
          <w:t xml:space="preserve">http://localhost:3000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локально: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npm run build &amp;&amp; npm start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после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npx prisma migrate deploy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и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npm run db:seed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стенд на Vercel — только если владелец его подключил и стенд прошёл чек-лист ниже.</w:t>
      </w:r>
    </w:p>
    <w:p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Учётные записи.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Это пароли по умолчанию. На стенде, доступном извне, их задают переменными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DEMO_USER_PASSWORD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и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DEMO_ADMIN_PASSWORD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и передают жюри отдельно.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87"/>
        <w:gridCol w:w="3472"/>
        <w:gridCol w:w="3279"/>
      </w:tblGrid>
      <w:tr>
        <w:trPr>
          <w:cantSplit/>
          <w:tblHeader/>
        </w:trPr>
        <w:tc>
          <w:tcPr>
            <w:tcW w:type="dxa" w:w="288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Роль</w:t>
            </w:r>
          </w:p>
        </w:tc>
        <w:tc>
          <w:tcPr>
            <w:tcW w:type="dxa" w:w="347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Email</w:t>
            </w:r>
          </w:p>
        </w:tc>
        <w:tc>
          <w:tcPr>
            <w:tcW w:type="dxa" w:w="327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Пароль</w:t>
            </w:r>
          </w:p>
        </w:tc>
      </w:tr>
      <w:tr>
        <w:trPr>
          <w:cantSplit/>
        </w:trPr>
        <w:tc>
          <w:tcPr>
            <w:tcW w:type="dxa" w:w="288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Пользователь</w:t>
            </w:r>
          </w:p>
        </w:tc>
        <w:tc>
          <w:tcPr>
            <w:tcW w:type="dxa" w:w="347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demo@demo.local</w:t>
            </w:r>
          </w:p>
        </w:tc>
        <w:tc>
          <w:tcPr>
            <w:tcW w:type="dxa" w:w="327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demo-user-2026</w:t>
            </w:r>
          </w:p>
        </w:tc>
      </w:tr>
      <w:tr>
        <w:trPr>
          <w:cantSplit/>
        </w:trPr>
        <w:tc>
          <w:tcPr>
            <w:tcW w:type="dxa" w:w="288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Администратор</w:t>
            </w:r>
          </w:p>
        </w:tc>
        <w:tc>
          <w:tcPr>
            <w:tcW w:type="dxa" w:w="347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admin@demo.local</w:t>
            </w:r>
          </w:p>
        </w:tc>
        <w:tc>
          <w:tcPr>
            <w:tcW w:type="dxa" w:w="327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demo-admin-2026</w:t>
            </w:r>
          </w:p>
        </w:tc>
      </w:tr>
    </w:tbl>
    <w:p>
      <w:pPr>
        <w:spacing w:after="60"/>
      </w:pPr>
    </w:p>
    <w:p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Файл организатора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Датасеты_хакатон.xlsx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нужен только для варианта «загрузить файл». Он лежит на ноутбуке докладчика. В репозитории его нет и быть не должно.</w:t>
      </w:r>
    </w:p>
    <w:p>
      <w:pPr>
        <w:pStyle w:val="Heading2"/>
        <w:keepNext/>
        <w:outlineLvl w:val="1"/>
      </w:pPr>
      <w:bookmarkStart w:name="toc84" w:id="1"/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Правило чисел (ТЗ §5.6)</w:t>
      </w:r>
      <w:bookmarkEnd w:id="1"/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Все числа результата в этом документе взяты из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docs/submission/demo-numbers.md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(</w:t>
      </w:r>
      <w:hyperlink w:history="1" w:anchor="appA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1A42A8"/>
            <w:u w:val="single"/>
          </w:rPr>
          <w:t xml:space="preserve">прил. А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. Этот файл печатает сборка, а подписал владелец (2026-09-25, вариант «А»: сценарии нового проекта выбирает автоподбор). Первый и основной раздел файла — путь жюри. Метки ссылок такие же, как в плане презентации: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79"/>
        <w:gridCol w:w="7659"/>
      </w:tblGrid>
      <w:tr>
        <w:trPr>
          <w:cantSplit/>
          <w:tblHeader/>
        </w:trPr>
        <w:tc>
          <w:tcPr>
            <w:tcW w:type="dxa" w:w="197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Метка</w:t>
            </w:r>
          </w:p>
        </w:tc>
        <w:tc>
          <w:tcPr>
            <w:tcW w:type="dxa" w:w="765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Раздел demo-numbers.md</w:t>
            </w:r>
          </w:p>
        </w:tc>
      </w:tr>
      <w:tr>
        <w:trPr>
          <w:cantSplit/>
        </w:trPr>
        <w:tc>
          <w:tcPr>
            <w:tcW w:type="dxa" w:w="197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ДЧ·шапка</w:t>
            </w:r>
          </w:p>
        </w:tc>
        <w:tc>
          <w:tcPr>
            <w:tcW w:type="dxa" w:w="765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абзацы под заголовком: выпуск данных, версии, число параметров склада</w:t>
            </w:r>
          </w:p>
        </w:tc>
      </w:tr>
      <w:tr>
        <w:trPr>
          <w:cantSplit/>
        </w:trPr>
        <w:tc>
          <w:tcPr>
            <w:tcW w:type="dxa" w:w="197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ДЧ·Ж</w:t>
            </w:r>
          </w:p>
        </w:tc>
        <w:tc>
          <w:tcPr>
            <w:tcW w:type="dxa" w:w="765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«Путь жюри (ТЗ §5.4): новый проект на демо-данных склада» › «Сценарии»</w:t>
            </w:r>
          </w:p>
        </w:tc>
      </w:tr>
      <w:tr>
        <w:trPr>
          <w:cantSplit/>
        </w:trPr>
        <w:tc>
          <w:tcPr>
            <w:tcW w:type="dxa" w:w="197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ДЧ·Ж-парк</w:t>
            </w:r>
          </w:p>
        </w:tc>
        <w:tc>
          <w:tcPr>
            <w:tcW w:type="dxa" w:w="765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там же › «Парк, производительность и имитация», вместе с примечанием под таблицей</w:t>
            </w:r>
          </w:p>
        </w:tc>
      </w:tr>
      <w:tr>
        <w:trPr>
          <w:cantSplit/>
        </w:trPr>
        <w:tc>
          <w:tcPr>
            <w:tcW w:type="dxa" w:w="197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ДЧ·Ж-риски</w:t>
            </w:r>
          </w:p>
        </w:tc>
        <w:tc>
          <w:tcPr>
            <w:tcW w:type="dxa" w:w="765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там же › «Риски сценариев»</w:t>
            </w:r>
          </w:p>
        </w:tc>
      </w:tr>
      <w:tr>
        <w:trPr>
          <w:cantSplit/>
        </w:trPr>
        <w:tc>
          <w:tcPr>
            <w:tcW w:type="dxa" w:w="197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ДЧ·Ж-чувств</w:t>
            </w:r>
          </w:p>
        </w:tc>
        <w:tc>
          <w:tcPr>
            <w:tcW w:type="dxa" w:w="765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там же › «Чувствительность NPV: все рычаги»</w:t>
            </w:r>
          </w:p>
        </w:tc>
      </w:tr>
      <w:tr>
        <w:trPr>
          <w:cantSplit/>
        </w:trPr>
        <w:tc>
          <w:tcPr>
            <w:tcW w:type="dxa" w:w="197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ДЧ·Ж-порог</w:t>
            </w:r>
          </w:p>
        </w:tc>
        <w:tc>
          <w:tcPr>
            <w:tcW w:type="dxa" w:w="765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там же › «Порог по зарплате»</w:t>
            </w:r>
          </w:p>
        </w:tc>
      </w:tr>
      <w:tr>
        <w:trPr>
          <w:cantSplit/>
        </w:trPr>
        <w:tc>
          <w:tcPr>
            <w:tcW w:type="dxa" w:w="197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ДЧ·Ж-вывод</w:t>
            </w:r>
          </w:p>
        </w:tc>
        <w:tc>
          <w:tcPr>
            <w:tcW w:type="dxa" w:w="765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там же › «Вывод»</w:t>
            </w:r>
          </w:p>
        </w:tc>
      </w:tr>
      <w:tr>
        <w:trPr>
          <w:cantSplit/>
        </w:trPr>
        <w:tc>
          <w:tcPr>
            <w:tcW w:type="dxa" w:w="197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ДЧ·К</w:t>
            </w:r>
          </w:p>
        </w:tc>
        <w:tc>
          <w:tcPr>
            <w:tcW w:type="dxa" w:w="765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«Каталог»</w:t>
            </w:r>
          </w:p>
        </w:tc>
      </w:tr>
      <w:tr>
        <w:trPr>
          <w:cantSplit/>
        </w:trPr>
        <w:tc>
          <w:tcPr>
            <w:tcW w:type="dxa" w:w="197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ДЧ·С / ДЧ·П / ДЧ·Р / ДЧ·В</w:t>
            </w:r>
          </w:p>
        </w:tc>
        <w:tc>
          <w:tcPr>
            <w:tcW w:type="dxa" w:w="765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«Дополнительный пример: DMR Carrier P из «Примеров решений» организатора (не путь жюри)» › «Сценарии» / «Парк, производительность и имитация» / «Сильнейшие рычаги» / «Вывод». В показе не звучит, только для ответов</w:t>
            </w:r>
          </w:p>
        </w:tc>
      </w:tr>
    </w:tbl>
    <w:p>
      <w:pPr>
        <w:spacing w:after="60"/>
      </w:pP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Новый проект на демо-данных, засеянный проект «Склад организатора (демо)» и гостевой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/demo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строятся одной и той же функцией сценариев по умолчанию. Поэтому у всех трёх числа совпадают с ДЧ·Ж.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Что не является числами результата: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таймкоды;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номера шагов;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значение, которое докладчик вводит в поле (200 000 на отрезке 1:00);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числа, которые читаются с экрана, но не напечатаны в demo-numbers.md: тексты причин исключения, статьи CAPEX, время расчёта в миллисекундах.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Такие числа докладчик читает прямо с экрана и не заучивает.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Где экран округляет, это сказано у шага. Карточка парка на шаге 5 показывает десятые: поток, цикл и плечо. Вывод на шаге 6 даёт рычаг в млн ₽ до десятых. Точные значения лежат в demo-numbers.md, а вслух называется то, что видно на экране.</w:t>
      </w:r>
    </w:p>
    <w:p>
      <w:pPr>
        <w:pStyle w:val="Heading2"/>
        <w:keepNext/>
        <w:outlineLvl w:val="1"/>
      </w:pPr>
      <w:bookmarkStart w:name="toc85" w:id="1"/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Шпаргалка: числа, которые звучат в показе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82"/>
        <w:gridCol w:w="4312"/>
        <w:gridCol w:w="3044"/>
      </w:tblGrid>
      <w:tr>
        <w:trPr>
          <w:cantSplit/>
          <w:tblHeader/>
        </w:trPr>
        <w:tc>
          <w:tcPr>
            <w:tcW w:type="dxa" w:w="228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Что</w:t>
            </w:r>
          </w:p>
        </w:tc>
        <w:tc>
          <w:tcPr>
            <w:tcW w:type="dxa" w:w="431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Значение</w:t>
            </w:r>
          </w:p>
        </w:tc>
        <w:tc>
          <w:tcPr>
            <w:tcW w:type="dxa" w:w="304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Где</w:t>
            </w:r>
          </w:p>
        </w:tc>
      </w:tr>
      <w:tr>
        <w:trPr>
          <w:cantSplit/>
        </w:trPr>
        <w:tc>
          <w:tcPr>
            <w:tcW w:type="dxa" w:w="228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Версии в строке состояния</w:t>
            </w:r>
          </w:p>
        </w:tc>
        <w:tc>
          <w:tcPr>
            <w:tcW w:type="dxa" w:w="431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модель tz-1.0.0 · данные 7be2cba2</w:t>
            </w:r>
          </w:p>
        </w:tc>
        <w:tc>
          <w:tcPr>
            <w:tcW w:type="dxa" w:w="304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ДЧ·шапка; ДЧ·Ж, абзац под заголовком раздела</w:t>
            </w:r>
          </w:p>
        </w:tc>
      </w:tr>
      <w:tr>
        <w:trPr>
          <w:cantSplit/>
        </w:trPr>
        <w:tc>
          <w:tcPr>
            <w:tcW w:type="dxa" w:w="228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Параметров склада</w:t>
            </w:r>
          </w:p>
        </w:tc>
        <w:tc>
          <w:tcPr>
            <w:tcW w:type="dxa" w:w="431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52 параметра</w:t>
            </w:r>
          </w:p>
        </w:tc>
        <w:tc>
          <w:tcPr>
            <w:tcW w:type="dxa" w:w="304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ДЧ·шапка</w:t>
            </w:r>
          </w:p>
        </w:tc>
      </w:tr>
      <w:tr>
        <w:trPr>
          <w:cantSplit/>
        </w:trPr>
        <w:tc>
          <w:tcPr>
            <w:tcW w:type="dxa" w:w="228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Сценарии</w:t>
            </w:r>
          </w:p>
        </w:tc>
        <w:tc>
          <w:tcPr>
            <w:tcW w:type="dxa" w:w="431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«Как есть», «Покупка — Ronavi H1500», «Услуга (RaaS) — Ronavi H1500», «Покупка — AMR 1500»</w:t>
            </w:r>
          </w:p>
        </w:tc>
        <w:tc>
          <w:tcPr>
            <w:tcW w:type="dxa" w:w="304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ДЧ·Ж, столбцы</w:t>
            </w:r>
          </w:p>
        </w:tc>
      </w:tr>
      <w:tr>
        <w:trPr>
          <w:cantSplit/>
        </w:trPr>
        <w:tc>
          <w:tcPr>
            <w:tcW w:type="dxa" w:w="228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Диапазон зарплаты оператора погрузчика</w:t>
            </w:r>
          </w:p>
        </w:tc>
        <w:tc>
          <w:tcPr>
            <w:tcW w:type="dxa" w:w="431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80 000–170 000</w:t>
            </w:r>
          </w:p>
        </w:tc>
        <w:tc>
          <w:tcPr>
            <w:tcW w:type="dxa" w:w="304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ДЧ·Ж-чувств › Зарплата оператора погрузчика</w:t>
            </w:r>
          </w:p>
        </w:tc>
      </w:tr>
      <w:tr>
        <w:trPr>
          <w:cantSplit/>
        </w:trPr>
        <w:tc>
          <w:tcPr>
            <w:tcW w:type="dxa" w:w="228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Пиковый поток</w:t>
            </w:r>
          </w:p>
        </w:tc>
        <w:tc>
          <w:tcPr>
            <w:tcW w:type="dxa" w:w="431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129,55 пал./ч; на экране шага 5 — 129,5</w:t>
            </w:r>
          </w:p>
        </w:tc>
        <w:tc>
          <w:tcPr>
            <w:tcW w:type="dxa" w:w="304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ДЧ·Ж-парк › λпик; округление — ДЧ·Ж › Имитация</w:t>
            </w:r>
          </w:p>
        </w:tc>
      </w:tr>
      <w:tr>
        <w:trPr>
          <w:cantSplit/>
        </w:trPr>
        <w:tc>
          <w:tcPr>
            <w:tcW w:type="dxa" w:w="228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Норма H1500 / цикл на планировке</w:t>
            </w:r>
          </w:p>
        </w:tc>
        <w:tc>
          <w:tcPr>
            <w:tcW w:type="dxa" w:w="431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90 / 19,2257 пал./ч; на экране шага 5 — 19,2</w:t>
            </w:r>
          </w:p>
        </w:tc>
        <w:tc>
          <w:tcPr>
            <w:tcW w:type="dxa" w:w="304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ДЧ·Ж-парк › Норма, Цикл; округление — ДЧ·Ж-риски › Покупка — Ronavi H1500, риск «Паспортная норма…»</w:t>
            </w:r>
          </w:p>
        </w:tc>
      </w:tr>
      <w:tr>
        <w:trPr>
          <w:cantSplit/>
        </w:trPr>
        <w:tc>
          <w:tcPr>
            <w:tcW w:type="dxa" w:w="228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Плечо с грузом / порожнее</w:t>
            </w:r>
          </w:p>
        </w:tc>
        <w:tc>
          <w:tcPr>
            <w:tcW w:type="dxa" w:w="431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93,82 / 103,6 м; на экране шага 5 — только плечо с грузом, до десятых</w:t>
            </w:r>
          </w:p>
        </w:tc>
        <w:tc>
          <w:tcPr>
            <w:tcW w:type="dxa" w:w="304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ДЧ·Ж-парк › Плечо</w:t>
            </w:r>
          </w:p>
        </w:tc>
      </w:tr>
      <w:tr>
        <w:trPr>
          <w:cantSplit/>
        </w:trPr>
        <w:tc>
          <w:tcPr>
            <w:tcW w:type="dxa" w:w="228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Норма выше цикла; плечо</w:t>
            </w:r>
          </w:p>
        </w:tc>
        <w:tc>
          <w:tcPr>
            <w:tcW w:type="dxa" w:w="431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в 4,7 раза; ≈94 м</w:t>
            </w:r>
          </w:p>
        </w:tc>
        <w:tc>
          <w:tcPr>
            <w:tcW w:type="dxa" w:w="304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ДЧ·Ж-риски › Покупка — Ronavi H1500, риск «Паспортная норма…»</w:t>
            </w:r>
          </w:p>
        </w:tc>
      </w:tr>
      <w:tr>
        <w:trPr>
          <w:cantSplit/>
        </w:trPr>
        <w:tc>
          <w:tcPr>
            <w:tcW w:type="dxa" w:w="228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Nточн → N; парк по норме; минимальный по имитации</w:t>
            </w:r>
          </w:p>
        </w:tc>
        <w:tc>
          <w:tcPr>
            <w:tcW w:type="dxa" w:w="431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10,2159 → 11 (на экране до сотых); 3; 9</w:t>
            </w:r>
          </w:p>
        </w:tc>
        <w:tc>
          <w:tcPr>
            <w:tcW w:type="dxa" w:w="304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ДЧ·Ж-парк</w:t>
            </w:r>
          </w:p>
        </w:tc>
      </w:tr>
      <w:tr>
        <w:trPr>
          <w:cantSplit/>
        </w:trPr>
        <w:tc>
          <w:tcPr>
            <w:tcW w:type="dxa" w:w="228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CAPEX покупки H1500 / OPEX в год / эффект</w:t>
            </w:r>
          </w:p>
        </w:tc>
        <w:tc>
          <w:tcPr>
            <w:tcW w:type="dxa" w:w="431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38 500 000 ₽ / 37 550 398 ₽ / 9 321 602 ₽</w:t>
            </w:r>
          </w:p>
        </w:tc>
        <w:tc>
          <w:tcPr>
            <w:tcW w:type="dxa" w:w="304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ДЧ·Ж › Покупка — Ronavi H1500</w:t>
            </w:r>
          </w:p>
        </w:tc>
      </w:tr>
      <w:tr>
        <w:trPr>
          <w:cantSplit/>
        </w:trPr>
        <w:tc>
          <w:tcPr>
            <w:tcW w:type="dxa" w:w="228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OPEX «как есть» в год</w:t>
            </w:r>
          </w:p>
        </w:tc>
        <w:tc>
          <w:tcPr>
            <w:tcW w:type="dxa" w:w="431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46 872 000 ₽</w:t>
            </w:r>
          </w:p>
        </w:tc>
        <w:tc>
          <w:tcPr>
            <w:tcW w:type="dxa" w:w="304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ДЧ·Ж › OPEX в год › Как есть</w:t>
            </w:r>
          </w:p>
        </w:tc>
      </w:tr>
      <w:tr>
        <w:trPr>
          <w:cantSplit/>
        </w:trPr>
        <w:tc>
          <w:tcPr>
            <w:tcW w:type="dxa" w:w="228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Рекомендуемый сценарий</w:t>
            </w:r>
          </w:p>
        </w:tc>
        <w:tc>
          <w:tcPr>
            <w:tcW w:type="dxa" w:w="431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Покупка — AMR 1500: NPV 3 983 162 ₽ за 5 лет, окупаемость 3,3 года</w:t>
            </w:r>
          </w:p>
        </w:tc>
        <w:tc>
          <w:tcPr>
            <w:tcW w:type="dxa" w:w="304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ДЧ·Ж-вывод</w:t>
            </w:r>
          </w:p>
        </w:tc>
      </w:tr>
      <w:tr>
        <w:trPr>
          <w:cantSplit/>
        </w:trPr>
        <w:tc>
          <w:tcPr>
            <w:tcW w:type="dxa" w:w="228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TCO за 5 лет: AMR 1500 / как есть</w:t>
            </w:r>
          </w:p>
        </w:tc>
        <w:tc>
          <w:tcPr>
            <w:tcW w:type="dxa" w:w="431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216 434 489 ₽ / 234 360 000 ₽</w:t>
            </w:r>
          </w:p>
        </w:tc>
        <w:tc>
          <w:tcPr>
            <w:tcW w:type="dxa" w:w="304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ДЧ·Ж › TCO за 5 лет</w:t>
            </w:r>
          </w:p>
        </w:tc>
      </w:tr>
      <w:tr>
        <w:trPr>
          <w:cantSplit/>
        </w:trPr>
        <w:tc>
          <w:tcPr>
            <w:tcW w:type="dxa" w:w="228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Услуга (RaaS): CAPEX, ROI</w:t>
            </w:r>
          </w:p>
        </w:tc>
        <w:tc>
          <w:tcPr>
            <w:tcW w:type="dxa" w:w="431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1 540 000 ₽; 342,6 % (неинформативен при малом CAPEX)</w:t>
            </w:r>
          </w:p>
        </w:tc>
        <w:tc>
          <w:tcPr>
            <w:tcW w:type="dxa" w:w="304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ДЧ·Ж › Услуга (RaaS) — Ronavi H1500</w:t>
            </w:r>
          </w:p>
        </w:tc>
      </w:tr>
      <w:tr>
        <w:trPr>
          <w:cantSplit/>
        </w:trPr>
        <w:tc>
          <w:tcPr>
            <w:tcW w:type="dxa" w:w="228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Услуга (RaaS): окупаемость и NPV</w:t>
            </w:r>
          </w:p>
        </w:tc>
        <w:tc>
          <w:tcPr>
            <w:tcW w:type="dxa" w:w="431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1,5 г. — быстрая окупаемость (менее 3 лет); 2 263 407 ₽</w:t>
            </w:r>
          </w:p>
        </w:tc>
        <w:tc>
          <w:tcPr>
            <w:tcW w:type="dxa" w:w="304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ДЧ·Ж › Услуга (RaaS) — Ronavi H1500</w:t>
            </w:r>
          </w:p>
        </w:tc>
      </w:tr>
      <w:tr>
        <w:trPr>
          <w:cantSplit/>
        </w:trPr>
        <w:tc>
          <w:tcPr>
            <w:tcW w:type="dxa" w:w="228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Покупка H1500: окупаемость и NPV</w:t>
            </w:r>
          </w:p>
        </w:tc>
        <w:tc>
          <w:tcPr>
            <w:tcW w:type="dxa" w:w="431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4,1 г.; -4 108 652 ₽</w:t>
            </w:r>
          </w:p>
        </w:tc>
        <w:tc>
          <w:tcPr>
            <w:tcW w:type="dxa" w:w="304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ДЧ·Ж › Покупка — Ronavi H1500</w:t>
            </w:r>
          </w:p>
        </w:tc>
      </w:tr>
      <w:tr>
        <w:trPr>
          <w:cantSplit/>
        </w:trPr>
        <w:tc>
          <w:tcPr>
            <w:tcW w:type="dxa" w:w="228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Риски рекомендации</w:t>
            </w:r>
          </w:p>
        </w:tc>
        <w:tc>
          <w:tcPr>
            <w:tcW w:type="dxa" w:w="431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цена 2 200 000 ₽ не подтверждена; пилотная эксплуатация</w:t>
            </w:r>
          </w:p>
        </w:tc>
        <w:tc>
          <w:tcPr>
            <w:tcW w:type="dxa" w:w="304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ДЧ·Ж-вывод; ДЧ·Ж-риски › Покупка — AMR 1500</w:t>
            </w:r>
          </w:p>
        </w:tc>
      </w:tr>
      <w:tr>
        <w:trPr>
          <w:cantSplit/>
        </w:trPr>
        <w:tc>
          <w:tcPr>
            <w:tcW w:type="dxa" w:w="228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Сильнейший рычаг у рекомендуемой «Покупка — AMR 1500»</w:t>
            </w:r>
          </w:p>
        </w:tc>
        <w:tc>
          <w:tcPr>
            <w:tcW w:type="dxa" w:w="431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«Доля автоматизируемого труда» 30–70 %: NPV от -28,1 млн ₽ до 36,1 млн ₽. На вкладке «Покупка — AMR 1500» панели «Чувствительность» верхняя строка даёт те же значения до рубля: -28 119 821 ₽ и 36 086 145 ₽</w:t>
            </w:r>
          </w:p>
        </w:tc>
        <w:tc>
          <w:tcPr>
            <w:tcW w:type="dxa" w:w="304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ДЧ·Ж-вывод; до рубля — ДЧ·Ж-чувств › Покупка — AMR 1500</w:t>
            </w:r>
          </w:p>
        </w:tc>
      </w:tr>
      <w:tr>
        <w:trPr>
          <w:cantSplit/>
        </w:trPr>
        <w:tc>
          <w:tcPr>
            <w:tcW w:type="dxa" w:w="228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Горизонт смены вывода</w:t>
            </w:r>
          </w:p>
        </w:tc>
        <w:tc>
          <w:tcPr>
            <w:tcW w:type="dxa" w:w="431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при горизонте ≤ 4 лет выгоднее «Услуга (RaaS) — Ronavi H1500»</w:t>
            </w:r>
          </w:p>
        </w:tc>
        <w:tc>
          <w:tcPr>
            <w:tcW w:type="dxa" w:w="304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ДЧ·Ж-вывод</w:t>
            </w:r>
          </w:p>
        </w:tc>
      </w:tr>
      <w:tr>
        <w:trPr>
          <w:cantSplit/>
        </w:trPr>
        <w:tc>
          <w:tcPr>
            <w:tcW w:type="dxa" w:w="228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Порог по зарплате у «Покупка — AMR 1500»</w:t>
            </w:r>
          </w:p>
        </w:tc>
        <w:tc>
          <w:tcPr>
            <w:tcW w:type="dxa" w:w="431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покупка окупается при зарплате от 110 939 ₽/мес; в расчёте 120 000 ₽/мес. Вывод называет порог покупки с лучшим NPV</w:t>
            </w:r>
          </w:p>
        </w:tc>
        <w:tc>
          <w:tcPr>
            <w:tcW w:type="dxa" w:w="304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ДЧ·Ж-вывод; ДЧ·Ж-порог</w:t>
            </w:r>
          </w:p>
        </w:tc>
      </w:tr>
      <w:tr>
        <w:trPr>
          <w:cantSplit/>
        </w:trPr>
        <w:tc>
          <w:tcPr>
            <w:tcW w:type="dxa" w:w="228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Только для ответов: «Покупка — Ronavi H1500»</w:t>
            </w:r>
          </w:p>
        </w:tc>
        <w:tc>
          <w:tcPr>
            <w:tcW w:type="dxa" w:w="431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доля труда: NPV -36 211 636 ₽ … 27 994 331 ₽; порог по зарплате 129 347 ₽/мес. На экране пути жюри порога H1500 нет</w:t>
            </w:r>
          </w:p>
        </w:tc>
        <w:tc>
          <w:tcPr>
            <w:tcW w:type="dxa" w:w="304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ДЧ·Ж-чувств; ДЧ·Ж-порог</w:t>
            </w:r>
          </w:p>
        </w:tc>
      </w:tr>
      <w:tr>
        <w:trPr>
          <w:cantSplit/>
        </w:trPr>
        <w:tc>
          <w:tcPr>
            <w:tcW w:type="dxa" w:w="228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Имитация при N</w:t>
            </w:r>
          </w:p>
        </w:tc>
        <w:tc>
          <w:tcPr>
            <w:tcW w:type="dxa" w:w="431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подтверждено: 132,5 из 129,5 пал./ч</w:t>
            </w:r>
          </w:p>
        </w:tc>
        <w:tc>
          <w:tcPr>
            <w:tcW w:type="dxa" w:w="304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ДЧ·Ж › Имитация</w:t>
            </w:r>
          </w:p>
        </w:tc>
      </w:tr>
      <w:tr>
        <w:trPr>
          <w:cantSplit/>
        </w:trPr>
        <w:tc>
          <w:tcPr>
            <w:tcW w:type="dxa" w:w="228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Только для ответов: масштаб каталога</w:t>
            </w:r>
          </w:p>
        </w:tc>
        <w:tc>
          <w:tcPr>
            <w:tcW w:type="dxa" w:w="431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188 продуктов, из них 57 с характеристиками из источников; 35 идут в подбор склада; 2 615 характеристик с источником</w:t>
            </w:r>
          </w:p>
        </w:tc>
        <w:tc>
          <w:tcPr>
            <w:tcW w:type="dxa" w:w="304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ДЧ·К</w:t>
            </w:r>
          </w:p>
        </w:tc>
      </w:tr>
    </w:tbl>
    <w:p>
      <w:pPr>
        <w:spacing w:after="60"/>
      </w:pPr>
    </w:p>
    <w:p>
      <w:pPr>
        <w:pStyle w:val="Heading2"/>
        <w:keepNext/>
        <w:outlineLvl w:val="1"/>
      </w:pPr>
      <w:bookmarkStart w:name="toc86" w:id="1"/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Таймлайн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6"/>
        <w:gridCol w:w="1777"/>
        <w:gridCol w:w="7095"/>
      </w:tblGrid>
      <w:tr>
        <w:trPr>
          <w:cantSplit/>
          <w:tblHeader/>
        </w:trPr>
        <w:tc>
          <w:tcPr>
            <w:tcW w:type="dxa" w:w="76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Время</w:t>
            </w:r>
          </w:p>
        </w:tc>
        <w:tc>
          <w:tcPr>
            <w:tcW w:type="dxa" w:w="177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Шаг сборки</w:t>
            </w:r>
          </w:p>
        </w:tc>
        <w:tc>
          <w:tcPr>
            <w:tcW w:type="dxa" w:w="709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Что показываем</w:t>
            </w:r>
          </w:p>
        </w:tc>
      </w:tr>
      <w:tr>
        <w:trPr>
          <w:cantSplit/>
        </w:trPr>
        <w:tc>
          <w:tcPr>
            <w:tcW w:type="dxa" w:w="76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0:00</w:t>
            </w:r>
          </w:p>
        </w:tc>
        <w:tc>
          <w:tcPr>
            <w:tcW w:type="dxa" w:w="177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Вход</w:t>
            </w:r>
          </w:p>
        </w:tc>
        <w:tc>
          <w:tcPr>
            <w:tcW w:type="dxa" w:w="709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Вход демо-пользователем, «Мои проекты»</w:t>
            </w:r>
          </w:p>
        </w:tc>
      </w:tr>
      <w:tr>
        <w:trPr>
          <w:cantSplit/>
        </w:trPr>
        <w:tc>
          <w:tcPr>
            <w:tcW w:type="dxa" w:w="76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0:20</w:t>
            </w:r>
          </w:p>
        </w:tc>
        <w:tc>
          <w:tcPr>
            <w:tcW w:type="dxa" w:w="177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Новый проект</w:t>
            </w:r>
          </w:p>
        </w:tc>
        <w:tc>
          <w:tcPr>
            <w:tcW w:type="dxa" w:w="709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Склад → демо-данные организатора (или файл организатора) → «Создать проект»</w:t>
            </w:r>
          </w:p>
        </w:tc>
      </w:tr>
      <w:tr>
        <w:trPr>
          <w:cantSplit/>
        </w:trPr>
        <w:tc>
          <w:tcPr>
            <w:tcW w:type="dxa" w:w="76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1:00</w:t>
            </w:r>
          </w:p>
        </w:tc>
        <w:tc>
          <w:tcPr>
            <w:tcW w:type="dxa" w:w="177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Шаг 2 · Параметры</w:t>
            </w:r>
          </w:p>
        </w:tc>
        <w:tc>
          <w:tcPr>
            <w:tcW w:type="dxa" w:w="709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Бейдж источника, выход за диапазон организатора, «вернуть базовое»</w:t>
            </w:r>
          </w:p>
        </w:tc>
      </w:tr>
      <w:tr>
        <w:trPr>
          <w:cantSplit/>
        </w:trPr>
        <w:tc>
          <w:tcPr>
            <w:tcW w:type="dxa" w:w="76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1:40</w:t>
            </w:r>
          </w:p>
        </w:tc>
        <w:tc>
          <w:tcPr>
            <w:tcW w:type="dxa" w:w="177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Шаг 3 · Подбор</w:t>
            </w:r>
          </w:p>
        </w:tc>
        <w:tc>
          <w:tcPr>
            <w:tcW w:type="dxa" w:w="709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Причина исключения DMR 600, полоса балла, предупреждение при ручном добавлении</w:t>
            </w:r>
          </w:p>
        </w:tc>
      </w:tr>
      <w:tr>
        <w:trPr>
          <w:cantSplit/>
        </w:trPr>
        <w:tc>
          <w:tcPr>
            <w:tcW w:type="dxa" w:w="76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2:20</w:t>
            </w:r>
          </w:p>
        </w:tc>
        <w:tc>
          <w:tcPr>
            <w:tcW w:type="dxa" w:w="177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Шаг 4 · Сравнение</w:t>
            </w:r>
          </w:p>
        </w:tc>
        <w:tc>
          <w:tcPr>
            <w:tcW w:type="dxa" w:w="709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Единые характеристики, «нет данных» вместо нуля</w:t>
            </w:r>
          </w:p>
        </w:tc>
      </w:tr>
      <w:tr>
        <w:trPr>
          <w:cantSplit/>
        </w:trPr>
        <w:tc>
          <w:tcPr>
            <w:tcW w:type="dxa" w:w="76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2:50</w:t>
            </w:r>
          </w:p>
        </w:tc>
        <w:tc>
          <w:tcPr>
            <w:tcW w:type="dxa" w:w="177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Шаг 5 · Экономика</w:t>
            </w:r>
          </w:p>
        </w:tc>
        <w:tc>
          <w:tcPr>
            <w:tcW w:type="dxa" w:w="709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Как получен парк «⌈…⌉», CAPEX по статьям с бейджами, «Как посчитано»</w:t>
            </w:r>
          </w:p>
        </w:tc>
      </w:tr>
      <w:tr>
        <w:trPr>
          <w:cantSplit/>
        </w:trPr>
        <w:tc>
          <w:tcPr>
            <w:tcW w:type="dxa" w:w="76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3:30</w:t>
            </w:r>
          </w:p>
        </w:tc>
        <w:tc>
          <w:tcPr>
            <w:tcW w:type="dxa" w:w="177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Шаг 6 · Сценарии</w:t>
            </w:r>
          </w:p>
        </w:tc>
        <w:tc>
          <w:tcPr>
            <w:tcW w:type="dxa" w:w="709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Таблица сценариев, вывод с рисками, чувствительность</w:t>
            </w:r>
          </w:p>
        </w:tc>
      </w:tr>
      <w:tr>
        <w:trPr>
          <w:cantSplit/>
        </w:trPr>
        <w:tc>
          <w:tcPr>
            <w:tcW w:type="dxa" w:w="76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4:30</w:t>
            </w:r>
          </w:p>
        </w:tc>
        <w:tc>
          <w:tcPr>
            <w:tcW w:type="dxa" w:w="177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Шаг 7 · Имитация</w:t>
            </w:r>
          </w:p>
        </w:tc>
        <w:tc>
          <w:tcPr>
            <w:tcW w:type="dxa" w:w="709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Парк по расчёту подтверждён; парк по норме не подтверждён; «▶ Старт», «×16», PNG</w:t>
            </w:r>
          </w:p>
        </w:tc>
      </w:tr>
      <w:tr>
        <w:trPr>
          <w:cantSplit/>
        </w:trPr>
        <w:tc>
          <w:tcPr>
            <w:tcW w:type="dxa" w:w="76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5:20</w:t>
            </w:r>
          </w:p>
        </w:tc>
        <w:tc>
          <w:tcPr>
            <w:tcW w:type="dxa" w:w="177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Шаг 8 · Отчёт</w:t>
            </w:r>
          </w:p>
        </w:tc>
        <w:tc>
          <w:tcPr>
            <w:tcW w:type="dxa" w:w="709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«Сохранить проект» → «Отчёт (PDF)» → «Скачать Excel»</w:t>
            </w:r>
          </w:p>
        </w:tc>
      </w:tr>
      <w:tr>
        <w:trPr>
          <w:cantSplit/>
        </w:trPr>
        <w:tc>
          <w:tcPr>
            <w:tcW w:type="dxa" w:w="76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5:50</w:t>
            </w:r>
          </w:p>
        </w:tc>
        <w:tc>
          <w:tcPr>
            <w:tcW w:type="dxa" w:w="177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/demo</w:t>
            </w:r>
          </w:p>
        </w:tc>
        <w:tc>
          <w:tcPr>
            <w:tcW w:type="dxa" w:w="709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Аэропорт и медучреждение: параметры и подбор, бейдж «Прототип»</w:t>
            </w:r>
          </w:p>
        </w:tc>
      </w:tr>
      <w:tr>
        <w:trPr>
          <w:cantSplit/>
        </w:trPr>
        <w:tc>
          <w:tcPr>
            <w:tcW w:type="dxa" w:w="76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6:00</w:t>
            </w:r>
          </w:p>
        </w:tc>
        <w:tc>
          <w:tcPr>
            <w:tcW w:type="dxa" w:w="177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709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Конец показа</w:t>
            </w:r>
          </w:p>
        </w:tc>
      </w:tr>
    </w:tbl>
    <w:p>
      <w:pPr>
        <w:spacing w:after="60"/>
      </w:pPr>
    </w:p>
    <w:p>
      <w:pPr>
        <w:pStyle w:val="Heading2"/>
        <w:keepNext/>
        <w:outlineLvl w:val="1"/>
      </w:pPr>
      <w:bookmarkStart w:name="toc87" w:id="1"/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Подробно по отрезкам</w:t>
      </w:r>
      <w:bookmarkEnd w:id="1"/>
    </w:p>
    <w:p>
      <w:pPr>
        <w:pStyle w:val="Heading3"/>
        <w:keepNext/>
        <w:outlineLvl w:val="2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0:00–0:20 · Вход</w:t>
      </w:r>
    </w:p>
    <w:p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Действие.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На вкладке 1 открыта страница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/login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Ввести Email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demo@demo.local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пароль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demo-user-2026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и нажать «Войти».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Откроется страница «Мои проекты».</w:t>
      </w:r>
    </w:p>
    <w:p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Говорим.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«Входим как пользователь. Гостю без входа доступны каталог и демо-расчёт без сохранения. Проекты, отчёт и Excel открываются после входа, у администратора есть своя админка.»</w:t>
      </w:r>
    </w:p>
    <w:p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На экране: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заголовок «Мои проекты» и кнопка «Новый проект»;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в шапке — «Проекты · Каталог · Методика · API».</w:t>
      </w:r>
    </w:p>
    <w:p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Если нет.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Появилось «Неверный email или пароль» — повторить ввод один раз.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Не помогло — </w:t>
      </w: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запасной путь А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см. ниже.</w:t>
      </w:r>
    </w:p>
    <w:p>
      <w:pPr>
        <w:pStyle w:val="Heading3"/>
        <w:keepNext/>
        <w:outlineLvl w:val="2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0:20–1:00 · Новый проект: склад, данные организатора</w:t>
      </w:r>
    </w:p>
    <w:p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Действие.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Нажать «Новый проект».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В поле «Название проекта» ввести, например, «Склад организатора — показ».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«Тип объекта» — «Склад», он выбран по умолчанию. Показать, что рядом есть «Аэропорт» и «Медучреждение».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«Источник параметров объекта» — «Демо-данные организатора», тоже по умолчанию.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Нажать «Создать проект». Кнопка покажет «Создаём проект…» и подсказку «Считаем модель и проверяем расчёт имитацией…».</w:t>
      </w:r>
    </w:p>
    <w:p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Вариант с файлом.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Добавляет около 20 секунд, их забираем у отрезка 2:20.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В «Источнике параметров» выбрать «Загрузить Excel/CSV по шаблону».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Выбрать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Датасеты_хакатон.xlsx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и нажать «Проверить файл».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Появится итог: «Распознан лист датасета организатора «Склад»», ошибок и предупреждений нет.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Нажать «Применить значения», затем «Создать проект».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Проверено 2026-09-25: значения из файла совпадают с базовыми значениями организатора, расчёт получается тот же, что в ДЧ·Ж.</w:t>
      </w:r>
    </w:p>
    <w:p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Говорим.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«Параметры берём из демо-набора организатора или из его же Excel. Файл проверяется на полноту, формат, единицы и диапазоны, а сам файл мы не храним.»</w:t>
      </w:r>
    </w:p>
    <w:p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На экране.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Рабочая область проекта. Сверху липкая полоса «1 Объект … 8 Отчёт», кнопка «Пересчитать» и статус «Расчёт выполнен за … мс · модель tz-1.0.0 · данные 7be2cba2» (ДЧ·шапка, ДЧ·Ж). Время в мс прочитать с экрана.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Шаг 1 показывает «Источник параметров»: демо-данные организатора, Датасеты_хакатон.xlsx, лист «Склад».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В списке процессов у перемещения паллет указано «подбор, экономика и имитация», у остальных процессов — «подбор решений; экономика — прототип».</w:t>
      </w:r>
    </w:p>
    <w:p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Если нет.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Проект создаётся дольше 15 секунд или выдаёт ошибку → </w:t>
      </w: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запасной путь Б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.</w:t>
      </w:r>
    </w:p>
    <w:p>
      <w:pPr>
        <w:pStyle w:val="Heading3"/>
        <w:keepNext/>
        <w:outlineLvl w:val="2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1:00–1:40 · Шаг 2 из 8 · Параметры</w:t>
      </w:r>
    </w:p>
    <w:p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Действие.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Нажать «2 Параметры» и прокрутить до раздела «Персонал».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У поля «Средняя з/п оператора погрузчика (gross)» показать три вещи: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бейдж «Организатор · демо-значение организатора»;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строку «диапазон организатора: 80 000–170 000 …» (ДЧ·Ж-чувств);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пример значения.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Ввести 200 000. Это вводимое значение, оно выше верхней границы организатора.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Под полем появится «… 200 000 вне диапазона организатора 80 000–170 000 … — проверьте значение». Бейдж сменится на «Задано вами», рядом появится «базовое: …» (базовая зарплата 120 000 — ДЧ·Ж-порог › Зарплата в расчёте), а в полосе — «Параметры изменены — нажмите «Пересчитать»».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Нажать «вернуть базовое», затем «Пересчитать».</w:t>
      </w:r>
    </w:p>
    <w:p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Говорим.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«У каждого поля есть единица, пример, диапазон организатора и источник базового значения. Выход за диапазон подсвечивается и объясняется, как исправить. Значения, зафиксированные организатором, помечены отдельно. Excel или CSV по шаблону можно загрузить и прямо здесь. Правка пересчитывается по кнопке, как в легенде датасета организатора.»</w:t>
      </w:r>
    </w:p>
    <w:p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На экране.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После «Пересчитать» числа не меняются: значения базовые, модель детерминирована.</w:t>
      </w:r>
    </w:p>
    <w:p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Если нет.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Если «Пересчитать» забыли, это не страшно: сохранение пересчитает модель само. Но полоса «Параметры изменены» будет отвлекать, поэтому лучше нажать.</w:t>
      </w:r>
    </w:p>
    <w:p>
      <w:pPr>
        <w:pStyle w:val="Heading3"/>
        <w:keepNext/>
        <w:outlineLvl w:val="2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1:40–2:20 · Шаг 3 из 8 · Подбор</w:t>
      </w:r>
    </w:p>
    <w:p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Действие.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Нажать «3 Подбор».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В блоке «Перемещение паллет: приёмка → хранение → отгрузка» показать строку Ronavi H1500: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статус «Рекомендуется» и чип «требует проверки»;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полосу балла с вкладом факторов;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столбцы «Причины», «Ограничения», «Недостающие данные».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Раскрыть «Исключённые решения (…)». Прочитать с экрана причину у DMR 600 («грузоподъёмность … &lt; масса груза …») и у RoboCV («ширина прохода для разворота … &gt; ширина проходов объекта …»).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У DMR 600 нажать «Добавить вручную…». Покажется предупреждение «Решение не прошло проверку ограничений: … Оно будет добавлено с пометкой ⚠ и записью в журнал» и поле «Причина (обязательно)».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Нажать </w:t>
      </w: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«Отмена»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. Если добавить решение, появится пятый сценарий, и числа проекта разойдутся с demo-numbers.md.</w:t>
      </w:r>
    </w:p>
    <w:p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Говорим.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«Подбор не прячет исключённых. У каждого решения есть статус, причины с числами объекта и продукта, ограничения и недостающие данные. Балл раскладывается по факторам: экономика, полнота данных, зрелость, запас, кейсы. Решение, невозможное по ключевому ограничению, не рекомендуется. Добавить его можно только вручную, с причиной и значком ⚠, который виден и в отчёте, и в Excel.»</w:t>
      </w:r>
    </w:p>
    <w:p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Если спросят.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Почему в подборе «Рекомендуется» H1500, а в выводе — AMR 1500? Ответ в разделе «Вопросы жюри», вопрос 1.</w:t>
      </w:r>
    </w:p>
    <w:p>
      <w:pPr>
        <w:pStyle w:val="Heading3"/>
        <w:keepNext/>
        <w:outlineLvl w:val="2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2:20–2:50 · Шаг 4 из 8 · Сравнение</w:t>
      </w:r>
    </w:p>
    <w:p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Действие.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Нажать «4 Сравнение» и провести взглядом по группам строк: технические, эксплуатационные, экономические.</w:t>
      </w:r>
    </w:p>
    <w:p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Говорим.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«Продукты стоят столбцами, характеристики — строками в одних единицах. Если значения нет, так и написано: „нет данных“, а не ноль. Лучшее значение в строке подсвечено, но это подсказка для глаза. Рекомендацию даёт вывод по сценариям.»</w:t>
      </w:r>
    </w:p>
    <w:p>
      <w:pPr>
        <w:pStyle w:val="Heading3"/>
        <w:keepNext/>
        <w:outlineLvl w:val="2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2:50–3:30 · Шаг 5 из 8 · Экономика</w:t>
      </w:r>
    </w:p>
    <w:p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Действие.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Нажать «5 Экономика». По умолчанию открыт рекомендуемый сценарий, переключить вкладку на «Покупка — Ronavi H1500».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В блоке «Состав оборудования и как он получен» показать: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пиковый поток 129,55 пал./ч;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норму 90 и цикл 19,2257 пал./ч, из них принято меньшее — цикл;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плечо с грузом 93,82 м;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парк «⌈…⌉ = 11», Nточн 10,2159.</w:t>
      </w:r>
    </w:p>
    <w:p>
      <w:pPr>
        <w:spacing w:after="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Это точные значения из ДЧ·Ж-парк, а карточка на экране их округляет. Поток, цикл и плечо показаны до десятых: «129,5 пал./ч в пик», «по циклу 19,2 (плечо … м, …)», «принято 19,2 пал./ч (цикл)»; плечо 93,82 м на экране тоже округлено до десятых. Nточн показан до сотых. Вслух называть то, что на экране.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В «CAPEX по статьям» показать бейджи источников: «Организатор», «Открытый источник», «Оценка». Итог «CAPEX, итого» — 38 500 000 ₽ (ДЧ·Ж). Статьи прочитать с экрана.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Раскрыть «Как посчитано (… шагов)» и показать строку «N = max(1; ⌈…⌉) = 11».</w:t>
      </w:r>
    </w:p>
    <w:p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Говорим.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«Формулы — ровно те, что в ТЗ: парк от пикового спроса с загрузкой, доступностью и резервом, CAPEX по статьям, OPEX, эффект, окупаемость, ROI, TCO. У каждой статьи есть формула, подстановка и источник. Оценки помечены и имеют основание. Любое расчётное значение можно переопределить с причиной, и правка попадёт в журнал.»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Реплика про норму и цикл — ниже. Если время поджимает, её можно сказать здесь, а на шаге 7 только показать вердикт.</w:t>
      </w:r>
    </w:p>
    <w:p>
      <w:pPr>
        <w:pStyle w:val="Heading3"/>
        <w:keepNext/>
        <w:outlineLvl w:val="2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3:30–4:30 · Шаг 6 из 8 · Сценарии</w:t>
      </w:r>
    </w:p>
    <w:p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Действие.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Нажать «6 Сценарии». Показать таблицу: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четыре столбца, рекомендуемый отмечен ★;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строки CAPEX, OPEX, эффект, окупаемость, ROI, NPV, дисконтированная окупаемость, TCO;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строку «Имитация».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Под таблицей прочитать вывод: «Рекомендуемый сценарий: Покупка — AMR 1500. NPV 3 983 162 ₽ за 5 лет, окупаемость 3,3 года — средняя окупаемость (3–5 лет)» (ДЧ·Ж-вывод).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Показать риски вывода: цена 2 200 000 ₽ не подтверждена, пилотная эксплуатация.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Прокрутить к «Чувствительности» и нажать вкладку </w:t>
      </w: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«Покупка — AMR 1500»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. Вкладки общие с шагом 5, поэтому до нажатия открыта «Покупка — Ronavi H1500» с другими значениями (ДЧ·Ж-чувств › Покупка — Ronavi H1500). После нажатия заголовок панели — «Чувствительность: Покупка — AMR 1500». На имитацию это не влияет: на шаге 7 сценарий выбирается в своём списке.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Читать только верхнюю строку — «Доля автоматизируемого труда», 30–70 %. На экране значения до рубля: -28 119 821 ₽ и 36 086 145 ₽ (ДЧ·Ж-чувств › Покупка — AMR 1500). В выводе над панелью те же значения даны в млн ₽ до десятых, их и называть вслух (ДЧ·Ж-вывод).</w:t>
      </w:r>
    </w:p>
    <w:p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Говорим.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«Базовый сценарий и оба вида роботизации, покупка и услуга, стоят в одной таблице. Рекомендуется покупка AMR 1500 с лучшим NPV и лучшим TCO: 216 434 489 ₽ против 234 360 000 ₽ у текущего процесса. Риски названы прямо: цена не подтверждена, продукт в пилоте.»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«Две ловушки таблица снимает сама. Услуга Ronavi H1500 окупается быстрее всех — 1,5 г., быстрая окупаемость, — и её ROI 342,6 %, но при CAPEX 1 540 000 ₽ ROI неинформативен, и так и написано; по NPV услуга, 2 263 407 ₽, уступает AMR 1500. У покупки H1500 простая окупаемость 4,1 г., но за 5 лет NPV отрицательный, -4 108 652 ₽: деньги имеют цену.»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«У рекомендуемой покупки AMR 1500 сильнейший рычаг — доля автоматизируемого труда: при 30–70 % NPV от -28,1 млн ₽ до 36,1 млн ₽. При горизонте до 4 лет выгоднее услуга. Покупка AMR 1500 окупается при зарплате оператора от 110 939 ₽ в месяц — это последняя строка вывода. Это не жёсткий порог, а число, интерпретация и риски, как в ТЗ §3.5.7.»</w:t>
      </w:r>
    </w:p>
    <w:p>
      <w:pPr>
        <w:pStyle w:val="Heading3"/>
        <w:keepNext/>
        <w:outlineLvl w:val="2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4:30–5:20 · Шаг 7 из 8 · Имитация</w:t>
      </w:r>
    </w:p>
    <w:p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Действие.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Нажать «7 Имитация».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В списке «Сценарий и парк» выбрать «Покупка — Ronavi H1500 — парк по расчёту (11)». Подождать вердикт «Расчёт подтверждён имитацией»: поток 132,5 из 129,5 пал./ч (ДЧ·Ж).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Выбрать «Покупка — Ronavi H1500 — парк по норме организатора (3)». Появится «Не подтверждён: …» с узким местом. Прочитать с экрана.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Вернуться к «… парк по расчёту (11)». Нажать «▶ Старт», затем «×16». Дать роботам поработать 5–10 секунд. Обозначения: ■ с грузом, ○ пустой, ⚡ на зарядке.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Нажать «Скачать PNG».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Пункт «… минимальный по имитации (9)» назвать словами, </w:t>
      </w: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не выбирать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«Принять парк по имитации». Эта кнопка меняет N, и числа разойдутся с demo-numbers.md.</w:t>
      </w:r>
    </w:p>
    <w:p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Говорим.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Реплика про норму и цикл, ниже. Затем: «Имитация использует параметры выбранного сценария и ту же геометрию, что расчёт. Её можно запустить, остановить, перезапустить и ускорить, выбрать сценарий. PNG сохраняет сцену, показатели, сценарий, seed, дату и оговорку.»</w:t>
      </w:r>
    </w:p>
    <w:p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Если нет.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Вердикт дольше 20 секунд — нажать «Сразу к итогу»: вердикт считается по полному прогону в любом случае.</w:t>
      </w:r>
    </w:p>
    <w:p>
      <w:pPr>
        <w:pStyle w:val="Heading3"/>
        <w:keepNext/>
        <w:outlineLvl w:val="2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5:20–5:50 · Шаг 8 из 8 · Сохранение и отчёт</w:t>
      </w:r>
    </w:p>
    <w:p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Действие.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Нажать «8 Отчёт», затем «Сохранить проект». Появится «Проект сохранён …».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Нажать «Отчёт (PDF)» и показать на странице: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параметры объекта;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сценарии;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оговорку «Результат является предварительной оценкой и требует верификации при обследовании объекта.»;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версии.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«Печать / Сохранить PDF»: показать диалог печати и закрыть его клавишей Esc.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«Скачать Excel» → файл .xlsx. Открывать его только по просьбе жюри.</w:t>
      </w:r>
    </w:p>
    <w:p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Говорим.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«Проект сохранён вместе с версиями модели и данных. Повторное открытие воспроизводит те же числа, а если данные изменятся, появится баннер „Пересчитать на актуальных данных“. Отчёт уходит в PDF печатью. Excel содержит живые формулы: сводку, CAPEX, OPEX, денежный поток, чувствительность, имитацию, источники и журнал корректировок.»</w:t>
      </w:r>
    </w:p>
    <w:p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Если нет.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Excel не скачался — «Скачать CSV» или готовый образец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docs/submission/sample-report.xlsx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Диалог печати завис — Esc и образец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docs/submission/sample-report.pdf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.</w:t>
      </w:r>
    </w:p>
    <w:p>
      <w:pPr>
        <w:pStyle w:val="Heading3"/>
        <w:keepNext/>
        <w:outlineLvl w:val="2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5:50–6:00 · Три типа объектов (ТЗ §5.5)</w:t>
      </w:r>
    </w:p>
    <w:p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Действие.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Перейти на заранее открытую вкладку 2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/demo?facility=airport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. Показать бейдж «Прототип: экономика и имитация реализованы для склада» и параметры из датасета организатора.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Нажать «Медучреждение · прототип».</w:t>
      </w:r>
    </w:p>
    <w:p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Говорим.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«Аэропорт и медучреждение показаны так, как требует §5.5: выбор объекта, параметры организатора и подбор доступных решений, с честной пометкой „прототип“. Полная экономика и имитация сделаны для склада.»</w:t>
      </w:r>
    </w:p>
    <w:p>
      <w:pPr>
        <w:pStyle w:val="Heading2"/>
        <w:keepNext/>
        <w:outlineLvl w:val="1"/>
      </w:pPr>
      <w:bookmarkStart w:name="toc88" w:id="1"/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Реплика про норму и цикл</w:t>
      </w:r>
      <w:bookmarkEnd w:id="1"/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Реплика звучит на шаге 7, а если там не хватает времени — на шаге 5.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«Организатор даёт для Ronavi H1500 норму 90 паллет в час, и по ней хватило бы трёх роботов. Но норма верна для короткого плеча. На этом объекте плечо ≈94 м — это оценка по планировке из площади и проходов датасета: 93,82 м с грузом и 103,6 м порожним. Цикл робота при таком плече — около 19,2 паллеты в час, в 4,7 раза меньше нормы. Модель берёт меньшее значение, и парк выходит 11 роботов. Имитация на той же геометрии — арбитр. 11 роботов держат пик, 132,5 из 129,5 паллет в час, а три робота по норме не держат. Перебор имитацией даёт минимальный устойчивый парк 9. Разница с 11 — это запас, который закладывают нормативы организатора, и принять меньший парк можно одной кнопкой, с записью в журнал.»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Числа реплики: ДЧ·Ж-парк (90, 3, 93,82 / 103,6, 11, 132,5 пал./ч, 9) и ДЧ·Ж-риски › Покупка — Ronavi H1500, риск «Паспортная норма…» (≈94 м, 19,2 пал./ч, 4,7 раза), кроме «129,5» — оно из ДЧ·Ж › Имитация. Цикл называется округлённым, как на экране; точное значение 19,2257 — в ДЧ·Ж-парк.</w:t>
      </w:r>
    </w:p>
    <w:p>
      <w:pPr>
        <w:pStyle w:val="Heading2"/>
        <w:keepNext/>
        <w:outlineLvl w:val="1"/>
      </w:pPr>
      <w:bookmarkStart w:name="toc89" w:id="1"/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Запасные пути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36"/>
        <w:gridCol w:w="4178"/>
        <w:gridCol w:w="3224"/>
      </w:tblGrid>
      <w:tr>
        <w:trPr>
          <w:cantSplit/>
          <w:tblHeader/>
        </w:trPr>
        <w:tc>
          <w:tcPr>
            <w:tcW w:type="dxa" w:w="223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Сбой</w:t>
            </w:r>
          </w:p>
        </w:tc>
        <w:tc>
          <w:tcPr>
            <w:tcW w:type="dxa" w:w="417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Что делаем</w:t>
            </w:r>
          </w:p>
        </w:tc>
        <w:tc>
          <w:tcPr>
            <w:tcW w:type="dxa" w:w="322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Что говорим</w:t>
            </w:r>
          </w:p>
        </w:tc>
      </w:tr>
      <w:tr>
        <w:trPr>
          <w:cantSplit/>
        </w:trPr>
        <w:tc>
          <w:tcPr>
            <w:tcW w:type="dxa" w:w="223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А.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 Вход не работает: неверный пароль, лимит попыток, база недоступна</w:t>
            </w:r>
          </w:p>
        </w:tc>
        <w:tc>
          <w:tcPr>
            <w:tcW w:type="dxa" w:w="417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Открыть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/demo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 без входа. Там те же сценарии и числа ДЧ·Ж, шаги 1–7, CSV. Для шага 8 показать образцы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docs/submission/sample-report.pdf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 и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.xlsx</w:t>
            </w:r>
          </w:p>
        </w:tc>
        <w:tc>
          <w:tcPr>
            <w:tcW w:type="dxa" w:w="322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«Гостевой режим считает ту же модель в браузере; сохранение и отчёт — после входа, вот образец отчёта из этой же сборки»</w:t>
            </w:r>
          </w:p>
        </w:tc>
      </w:tr>
      <w:tr>
        <w:trPr>
          <w:cantSplit/>
        </w:trPr>
        <w:tc>
          <w:tcPr>
            <w:tcW w:type="dxa" w:w="223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Б.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 Проект не создаётся или создаётся долго</w:t>
            </w:r>
          </w:p>
        </w:tc>
        <w:tc>
          <w:tcPr>
            <w:tcW w:type="dxa" w:w="417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«Проекты» → «Склад организатора (демо)»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/projects/demo-warehouse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). Та же функция сценариев, числа ДЧ·Ж. Сохранять и удалять нельзя, копировать можно; «Отчёт (PDF)» и Excel доступны сразу</w:t>
            </w:r>
          </w:p>
        </w:tc>
        <w:tc>
          <w:tcPr>
            <w:tcW w:type="dxa" w:w="322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«Это засеянный проект на тех же данных; сохранение делаем в его копии» — нажать «Копировать проект»</w:t>
            </w:r>
          </w:p>
        </w:tc>
      </w:tr>
      <w:tr>
        <w:trPr>
          <w:cantSplit/>
        </w:trPr>
        <w:tc>
          <w:tcPr>
            <w:tcW w:type="dxa" w:w="223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В.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 Стенд недоступен целиком</w:t>
            </w:r>
          </w:p>
        </w:tc>
        <w:tc>
          <w:tcPr>
            <w:tcW w:type="dxa" w:w="417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Локальный экземпляр, поднятый заранее: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docker compose up --build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; если порт занят —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APP_PORT=3001 docker compose up --build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 (в PowerShell: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$env:APP_PORT='3001'; docker compose up --build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). Или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npm run build &amp;&amp; npm start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 на засеянной базе</w:t>
            </w:r>
          </w:p>
        </w:tc>
        <w:tc>
          <w:tcPr>
            <w:tcW w:type="dxa" w:w="322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«Сборка поднимается одной командой — это и есть инструкция из README»</w:t>
            </w:r>
          </w:p>
        </w:tc>
      </w:tr>
      <w:tr>
        <w:trPr>
          <w:cantSplit/>
        </w:trPr>
        <w:tc>
          <w:tcPr>
            <w:tcW w:type="dxa" w:w="223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Г.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 Нет ни стенда, ни ноутбука со сборкой</w:t>
            </w:r>
          </w:p>
        </w:tc>
        <w:tc>
          <w:tcPr>
            <w:tcW w:type="dxa" w:w="417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Слайды 4–10 из плана презентации — тот же путь на скриншотах — и образцы отчёта</w:t>
            </w:r>
          </w:p>
        </w:tc>
        <w:tc>
          <w:tcPr>
            <w:tcW w:type="dxa" w:w="322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Честно назвать сбой и показать образцы из сдачи</w:t>
            </w:r>
          </w:p>
        </w:tc>
      </w:tr>
      <w:tr>
        <w:trPr>
          <w:cantSplit/>
        </w:trPr>
        <w:tc>
          <w:tcPr>
            <w:tcW w:type="dxa" w:w="2236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Имитация медленная</w:t>
            </w:r>
          </w:p>
        </w:tc>
        <w:tc>
          <w:tcPr>
            <w:tcW w:type="dxa" w:w="417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«Сразу к итогу»</w:t>
            </w:r>
          </w:p>
        </w:tc>
        <w:tc>
          <w:tcPr>
            <w:tcW w:type="dxa" w:w="322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«Вердикт считается по полному прогону, анимация — только показ»</w:t>
            </w:r>
          </w:p>
        </w:tc>
      </w:tr>
    </w:tbl>
    <w:p>
      <w:pPr>
        <w:spacing w:after="60"/>
      </w:pPr>
    </w:p>
    <w:p>
      <w:pPr>
        <w:pStyle w:val="Heading2"/>
        <w:keepNext/>
        <w:outlineLvl w:val="1"/>
      </w:pPr>
      <w:bookmarkStart w:name="toc90" w:id="1"/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Чек-лист перед показом</w:t>
      </w:r>
      <w:bookmarkEnd w:id="1"/>
    </w:p>
    <w:p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Накануне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☐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Выбран стенд и на нём выполнено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npm run db:seed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(или compose поднят с нуля).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☐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Сверка чисел. Выполнять в Git Bash, на Linux и macOS — в обычном терминале:</w:t>
      </w:r>
    </w:p>
    <w:p>
      <w:pPr>
        <w:keepLines/>
        <w:shd w:fill="F2F4F7" w:color="auto" w:val="clear"/>
        <w:spacing w:after="0" w:before="60" w:line="250"/>
        <w:ind w:left="460" w:right="60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npx tsx scripts/print-demo-numbers.ts --markdown &gt; /tmp/dn.md</w:t>
      </w:r>
    </w:p>
    <w:p>
      <w:pPr>
        <w:keepLines/>
        <w:shd w:fill="F2F4F7" w:color="auto" w:val="clear"/>
        <w:spacing w:after="140" w:before="0" w:line="250"/>
        <w:ind w:left="460" w:right="60"/>
      </w:pPr>
      <w:r>
        <w:rPr>
          <w:rFonts w:ascii="Consolas" w:cs="Consolas" w:eastAsia="Consolas" w:hAnsi="Consolas"/>
          <w:color w:val="111827"/>
          <w:sz w:val="16"/>
          <w:szCs w:val="16"/>
        </w:rPr>
        <w:t xml:space="preserve">git diff --no-index --ignore-cr-at-eol --exit-code docs/submission/demo-numbers.md /tmp/dn.md</w:t>
      </w:r>
    </w:p>
    <w:p>
      <w:pPr>
        <w:spacing w:after="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Пустой вывод и код выхода 0 значат, что числа совпадают. Предупреждения git про LF и CRLF расхождением не считаются. Концы строк не сравниваются намеренно: Git для Windows с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core.autocrlf=true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выписывает файл с CRLF, и побайтное сравнение дало бы ложное расхождение.</w:t>
      </w:r>
    </w:p>
    <w:p>
      <w:pPr>
        <w:spacing w:after="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Если есть различия, числа изменились. Тогда остановиться, обновить слайды и этот документ, записать изменение в CHANGELOG с пометкой «МЕНЯЕТ ЧИСЛА».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Не запускать сверку и перегенерацию из PowerShell.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Там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&gt;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перекодирует вывод: меняет кодировку (UTF-8 с BOM или UTF-16, по настройкам) и концы строк на CRLF. Сверка покажет расхождение, которого нет, а перегенерированный так файл испортится.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☐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Две полные репетиции, каждая не длиннее 6:00. Отдельно отрепетированы запасные пути А и 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☐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Датасеты_хакатон.xlsx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лежит на ноутбуке. Не в репозитории.</w:t>
      </w:r>
    </w:p>
    <w:p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За 15 минут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☐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GET /api/health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отвечает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{"ok":true,"db":true,"modelVersion":"tz-1.0.0","simModelVersion":"sim-1.0.0"}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. Версии — из ДЧ·шапка.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☐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Под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admin@demo.local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открыть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/admin/data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версия данных в приложении — «загружена в базу»;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в журнале администратора нет правок нормативов, параметров и каталога после сева.</w:t>
      </w:r>
    </w:p>
    <w:p>
      <w:pPr>
        <w:spacing w:after="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Если правки есть, вернуть значения: норматив — к значению «по умолчанию», продукт — через «Вернуть данные организатора». Сев правки администратора не перезаписывает. Затем снова сверить числа.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☐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Вход под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demo@demo.local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работает. Проекты, оставшиеся от репетиций, удалить кнопкой «Удалить проект».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demo-warehouse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удалить нельзя, и это нормально. Выйти из аккаунта.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☐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Браузер: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приватное окно размером 1366×768 (ТЗ §4.5.5), масштаб 100 %;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светлая тема, уменьшение анимации в системе выключено;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папка загрузок видна, уведомления выключены.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☐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Вкладки:</w:t>
      </w:r>
    </w:p>
    <w:p>
      <w:pPr>
        <w:pStyle w:val="ListParagraph"/>
        <w:numPr>
          <w:ilvl w:val="1"/>
          <w:numId w:val="27"/>
        </w:numPr>
        <w:spacing w:after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/login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;</w:t>
      </w:r>
    </w:p>
    <w:p>
      <w:pPr>
        <w:pStyle w:val="ListParagraph"/>
        <w:numPr>
          <w:ilvl w:val="1"/>
          <w:numId w:val="27"/>
        </w:numPr>
        <w:spacing w:after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/demo?facility=airport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;</w:t>
      </w:r>
    </w:p>
    <w:p>
      <w:pPr>
        <w:pStyle w:val="ListParagraph"/>
        <w:numPr>
          <w:ilvl w:val="1"/>
          <w:numId w:val="27"/>
        </w:numPr>
        <w:spacing w:after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/demo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— запасной путь А.</w:t>
      </w:r>
    </w:p>
    <w:p>
      <w:pPr>
        <w:spacing w:after="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В отдельном окне открыт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docs/submission/demo-numbers.md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— для ответов на вопросы.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☐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Проверена трансляция экрана, таймер готов.</w:t>
      </w:r>
    </w:p>
    <w:p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За 2 минуты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☐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Вкладка 1 на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/login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поля пустые.</w:t>
      </w:r>
    </w:p>
    <w:p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После показа.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Проект, созданный на показе, не удалять до конца оценки: жюри может открыть его под демо-аккаунтом.</w:t>
      </w:r>
    </w:p>
    <w:p>
      <w:pPr>
        <w:pStyle w:val="Heading2"/>
        <w:keepNext/>
        <w:outlineLvl w:val="1"/>
      </w:pPr>
      <w:bookmarkStart w:name="toc91" w:id="1"/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Вопросы жюри: короткие ответы</w:t>
      </w:r>
      <w:bookmarkEnd w:id="1"/>
    </w:p>
    <w:p>
      <w:pPr>
        <w:pStyle w:val="ListParagraph"/>
        <w:numPr>
          <w:ilvl w:val="0"/>
          <w:numId w:val="28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Почему в подборе «Рекомендуется» Ronavi H1500, а в выводе — покупка AMR 1500?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Подбор ранжирует продукты по баллу: экономика, полнота и подтверждённость данных, зрелость, запас, кейсы. У H1500 данные полнее, AMR 1500 — пилот с неподтверждённой ценой.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Вывод выбирает сценарий с наибольшим NPV среди жизнеспособных: у AMR 1500 NPV 3 983 162 ₽ против -4 108 652 ₽ у покупки H1500 (ДЧ·Ж).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Поэтому AMR 1500 рекомендован вместе с рисками.</w:t>
      </w:r>
    </w:p>
    <w:p>
      <w:pPr>
        <w:pStyle w:val="ListParagraph"/>
        <w:numPr>
          <w:ilvl w:val="0"/>
          <w:numId w:val="28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Почему 11 роботов, а не 3 по норме организатора?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Реплика про норму и цикл выше. Кратко: плечо ≈94 м, цикл 19,2257 против нормы 90, имитация подтверждает 11 и опровергает 3 (ДЧ·Ж-парк, ДЧ·Ж-риски).</w:t>
      </w:r>
    </w:p>
    <w:p>
      <w:pPr>
        <w:pStyle w:val="ListParagraph"/>
        <w:numPr>
          <w:ilvl w:val="0"/>
          <w:numId w:val="28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Почему не рекомендована услуга с ROI 342,6 %?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При CAPEX 1 540 000 ₽ ROI неинформативен, это сказано в самой таблице. Сравнивать нужно NPV и TCO: у услуги NPV 2 263 407 ₽ и TCO 230 624 489 ₽, у AMR 1500 — 3 983 162 ₽ и 216 434 489 ₽ (ДЧ·Ж).</w:t>
      </w:r>
    </w:p>
    <w:p>
      <w:pPr>
        <w:pStyle w:val="ListParagraph"/>
        <w:numPr>
          <w:ilvl w:val="0"/>
          <w:numId w:val="28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Окупаемость H1500 4,1 г., но NPV отрицательный — как так?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Простая окупаемость по ТЗ не дисконтирует. NPV дисконтирует, и дисконтированная окупаемость уходит за горизонт расчёта (ДЧ·Ж).</w:t>
      </w:r>
    </w:p>
    <w:p>
      <w:pPr>
        <w:pStyle w:val="ListParagraph"/>
        <w:numPr>
          <w:ilvl w:val="0"/>
          <w:numId w:val="28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Откуда цены и насколько им верить?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У каждой характеристики есть бейдж источника, дата и признак подтверждения. Неподтверждённая цена AMR 1500 — 2 200 000 ₽ — вынесена в риски вывода (ДЧ·Ж-вывод).</w:t>
      </w:r>
    </w:p>
    <w:p>
      <w:pPr>
        <w:pStyle w:val="ListParagraph"/>
        <w:numPr>
          <w:ilvl w:val="0"/>
          <w:numId w:val="28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Минимальный парк 9, а расчёт 11 — что правильно?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11 — по нормативам организатора с загрузкой и резервом на пик. 9 держат пик в имитации. Решение принимает человек кнопкой «Принять парк по имитации», и оно фиксируется в журнале (ДЧ·Ж-парк).</w:t>
      </w:r>
    </w:p>
    <w:p>
      <w:pPr>
        <w:pStyle w:val="ListParagraph"/>
        <w:numPr>
          <w:ilvl w:val="0"/>
          <w:numId w:val="28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Что будет, если организатор обновит данные?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Администратор нажимает «Обновить каталог». Правки администратора сохраняются, пропавшие продукты уходят в архив. Сохранённые проекты открываются по своему снимку, а баннер предлагает «Пересчитать на актуальных данных».</w:t>
      </w:r>
    </w:p>
    <w:p>
      <w:pPr>
        <w:pStyle w:val="ListParagraph"/>
        <w:numPr>
          <w:ilvl w:val="0"/>
          <w:numId w:val="28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Экономика аэропорта и медучреждения?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Это прототип по §5.7: параметры, подбор и решения есть, экономики и имитации нет. План — на последнем слайде.</w:t>
      </w:r>
    </w:p>
    <w:p>
      <w:pPr>
        <w:pStyle w:val="ListParagraph"/>
        <w:numPr>
          <w:ilvl w:val="0"/>
          <w:numId w:val="28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В списке проектов «лучшая окупаемость» 1,5 года — это что?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Это простая окупаемость услуги (RaaS) при малом CAPEX (ДЧ·Ж › Окупаемость (простая) › Услуга). Решение принимается по NPV и TCO, см. вопрос 3.</w:t>
      </w:r>
    </w:p>
    <w:p>
      <w:pPr>
        <w:pStyle w:val="ListParagraph"/>
        <w:numPr>
          <w:ilvl w:val="0"/>
          <w:numId w:val="28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Числа воспроизводятся?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Да. Команда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npx tsx scripts/print-demo-numbers.ts --markdown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печатает файл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demo-numbers.md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заново, и он совпадает с файлом в репозитории без учёта концов строк. Проект хранит версии модели и данных (tz-1.0.0, 7be2cba2).</w:t>
      </w:r>
    </w:p>
    <w:p>
      <w:pPr>
        <w:pStyle w:val="ListParagraph"/>
        <w:numPr>
          <w:ilvl w:val="0"/>
          <w:numId w:val="28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В конце demo-numbers.md стоит вывод «Рекомендуемый сценарий: Услуга (RaaS) — Ronavi H1500». Это другой результат?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Нет, это другой набор сценариев.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Путь жюри — первый раздел файла, «Путь жюри (ТЗ §5.4): новый проект на демо-данных склада» (ДЧ·Ж … ДЧ·Ж-вывод). Там подбор предлагает AMR 1500, и рекомендуется он.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Последний раздел (ДЧ·С … ДЧ·В) — дополнительный пример, в путь жюри не входит: покупка DMR Carrier P из «Примеров решений» организатора вместо AMR 1500. Среди этих вариантов лучший NPV у услуги.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У сценариев с одними и теми же решениями числа в обоих наборах одинаковые, и файл сам об этом пишет.</w:t>
      </w:r>
    </w:p>
    <w:p>
      <w:pPr>
        <w:pStyle w:val="ListParagraph"/>
        <w:numPr>
          <w:ilvl w:val="0"/>
          <w:numId w:val="28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Каталог большой? Что из него идёт в расчёт?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В каталоге 188 продуктов: 130 — только идентификация из каталога организатора, 57 — с характеристиками из источников, 1 — из «Примеров решений». У 187 есть id каталога организатора. В подбор склада идут 35 продуктов. Характеристик с источником 2 615, из них 170 подтверждены первоисточником (ДЧ·К).</w:t>
      </w:r>
    </w:p>
    <w:p>
      <w:pPr>
        <w:pStyle w:val="ListParagraph"/>
        <w:numPr>
          <w:ilvl w:val="0"/>
          <w:numId w:val="28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При какой зарплате покупка перестаёт окупаться?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В расчёте зарплата оператора погрузчика 120 000 ₽/мес. Покупка AMR 1500 даёт NPV = 0 при 110 939 ₽/мес, покупка H1500 — при 129 347 ₽/мес (ДЧ·Ж-порог).</w:t>
      </w:r>
    </w:p>
    <w:p>
      <w:pPr>
        <w:pStyle w:val="Heading1"/>
        <w:pageBreakBefore/>
        <w:outlineLvl w:val="0"/>
      </w:pPr>
      <w:bookmarkStart w:name="ch12" w:id="1"/>
      <w:r>
        <w:t xml:space="preserve">12. Контакты и доступ</w:t>
      </w:r>
      <w:bookmarkEnd w:id="1"/>
    </w:p>
    <w:p>
      <w:pPr>
        <w:pBdr>
          <w:bottom w:val="single" w:color="C8CFDB" w:sz="4" w:space="6"/>
        </w:pBdr>
        <w:spacing w:after="200"/>
      </w:pPr>
      <w:r>
        <w:rPr>
          <w:i/>
          <w:iCs/>
          <w:color w:val="6B7280"/>
          <w:sz w:val="17"/>
          <w:szCs w:val="17"/>
        </w:rPr>
        <w:t xml:space="preserve">Источники: README.md, docs/DEPLOY-QUICKSTART.md. Требования: ТЗ §8.2.1, §8.2.5.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Репозиторий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с исходным кодом, документацией и журналом изменений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CHANGELOG.md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): </w:t>
      </w:r>
      <w:hyperlink w:history="1" r:id="rIdmv4mchuwmr5uecvijdubi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1A42A8"/>
            <w:u w:val="single"/>
          </w:rPr>
          <w:t xml:space="preserve">https://github.com/jordanbarnesceo88-tech/hackaton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Запуск для проверки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— Docker одной командой или локально без Docker: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DEPLOY-QUICKSTART.md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(</w:t>
      </w:r>
      <w:hyperlink w:history="1" w:anchor="ch6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1A42A8"/>
            <w:u w:val="single"/>
          </w:rPr>
          <w:t xml:space="preserve">гл. 6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. Публичный стенд на Vercel — только если владелец его подключил; тогда адрес стенда и пароли демо-аккаунтов передаются жюри отдельно, не в репозитории (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DEPLOY-QUICKSTART.md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(</w:t>
      </w:r>
      <w:hyperlink w:history="1" w:anchor="ch6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1A42A8"/>
            <w:u w:val="single"/>
          </w:rPr>
          <w:t xml:space="preserve">гл. 6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, §6.2).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trike w:val="false"/>
        </w:rPr>
        <w:t xml:space="preserve">Демо-аккаунты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(пароли по умолчанию, задаются при севе):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77"/>
        <w:gridCol w:w="3098"/>
        <w:gridCol w:w="3963"/>
      </w:tblGrid>
      <w:tr>
        <w:trPr>
          <w:cantSplit/>
          <w:tblHeader/>
        </w:trPr>
        <w:tc>
          <w:tcPr>
            <w:tcW w:type="dxa" w:w="257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Роль</w:t>
            </w:r>
          </w:p>
        </w:tc>
        <w:tc>
          <w:tcPr>
            <w:tcW w:type="dxa" w:w="309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Почта</w:t>
            </w:r>
          </w:p>
        </w:tc>
        <w:tc>
          <w:tcPr>
            <w:tcW w:type="dxa" w:w="396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Пароль по умолчанию</w:t>
            </w:r>
          </w:p>
        </w:tc>
      </w:tr>
      <w:tr>
        <w:trPr>
          <w:cantSplit/>
        </w:trPr>
        <w:tc>
          <w:tcPr>
            <w:tcW w:type="dxa" w:w="257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Пользователь</w:t>
            </w:r>
          </w:p>
        </w:tc>
        <w:tc>
          <w:tcPr>
            <w:tcW w:type="dxa" w:w="309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demo@demo.local</w:t>
            </w:r>
          </w:p>
        </w:tc>
        <w:tc>
          <w:tcPr>
            <w:tcW w:type="dxa" w:w="396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demo-user-2026</w:t>
            </w:r>
          </w:p>
        </w:tc>
      </w:tr>
      <w:tr>
        <w:trPr>
          <w:cantSplit/>
        </w:trPr>
        <w:tc>
          <w:tcPr>
            <w:tcW w:type="dxa" w:w="257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Администратор</w:t>
            </w:r>
          </w:p>
        </w:tc>
        <w:tc>
          <w:tcPr>
            <w:tcW w:type="dxa" w:w="309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admin@demo.local</w:t>
            </w:r>
          </w:p>
        </w:tc>
        <w:tc>
          <w:tcPr>
            <w:tcW w:type="dxa" w:w="396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  <w:shd w:fill="EEF1F6" w:color="auto" w:val="clear"/>
              </w:rPr>
              <w:t xml:space="preserve">demo-admin-2026</w:t>
            </w:r>
          </w:p>
        </w:tc>
      </w:tr>
    </w:tbl>
    <w:p>
      <w:pPr>
        <w:spacing w:after="60"/>
      </w:pP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Личные контактные данные участника в открытый репозиторий не выкладываются.</w:t>
      </w:r>
    </w:p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11906" w:h="16838" w:orient="portrait"/>
          <w:pgMar w:top="1134" w:right="1134" w:bottom="1134" w:left="1134" w:header="567" w:footer="567" w:gutter="0"/>
          <w:pgNumType/>
          <w:titlePg/>
          <w:docGrid w:linePitch="360"/>
        </w:sectPr>
      </w:pPr>
    </w:p>
    <w:p>
      <w:pPr>
        <w:pStyle w:val="Heading1"/>
        <w:outlineLvl w:val="0"/>
      </w:pPr>
      <w:bookmarkStart w:name="appA" w:id="1"/>
      <w:r>
        <w:t xml:space="preserve">Приложение А. Демо-числа, напечатанные сборкой</w:t>
      </w:r>
      <w:bookmarkEnd w:id="1"/>
    </w:p>
    <w:p>
      <w:pPr>
        <w:pBdr>
          <w:bottom w:val="single" w:color="C8CFDB" w:sz="4" w:space="6"/>
        </w:pBdr>
        <w:spacing w:after="200"/>
      </w:pPr>
      <w:r>
        <w:rPr>
          <w:i/>
          <w:iCs/>
          <w:color w:val="6B7280"/>
          <w:sz w:val="17"/>
          <w:szCs w:val="17"/>
        </w:rPr>
        <w:t xml:space="preserve">Источник: docs/submission/demo-numbers.md — вывод `npx tsx scripts/print-demo-numbers.ts --markdown`, перенесён без правок.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Сгенерировано командой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z w:val="18"/>
          <w:szCs w:val="18"/>
          <w:shd w:fill="EEF1F6" w:color="auto" w:val="clear"/>
        </w:rPr>
        <w:t xml:space="preserve">npx tsx scripts/print-demo-numbers.ts --markdown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 — не править руками. Источник данных: БД, выпуск данных 72eb7f93; описания параметров — таблица ParamDefinition.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Версии: модель tz-1.0.0 · имитация sim-1.0.0 · данные расчёта пути жюри 7be2cba2. Данные организатора: датасеты 2026-09-22#4be0fac8, каталог 2026-09-22#da43c64c, примеры решений 2026-09-22#6e738822; исследование открытых источников: svod 2026-09-23 + found_batch1-6@2026-09-23T21:13:10Z.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Объект: базовые значения датасета организатора, лист «Склад» (52 параметра вместе с дополнениями). Разделы: путь жюри — основной, его видит член жюри; каталог — масштаб данных; дополнительный пример с DMR Carrier P — справочно, в путь жюри не входит.</w:t>
      </w:r>
    </w:p>
    <w:p>
      <w:pPr>
        <w:pStyle w:val="Heading2"/>
        <w:keepNext/>
        <w:outlineLvl w:val="1"/>
      </w:pPr>
      <w:bookmarkStart w:name="toc94" w:id="1"/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Путь жюри (ТЗ §5.4): новый проект на демо-данных склада</w:t>
      </w:r>
      <w:bookmarkEnd w:id="1"/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Так выглядит проект, созданный кнопкой «Новый проект» с источником «Демо-данные организатора». Решение владельца от 2026-09-25 — вариант «А»: сценарии целиком выбирает автоподбор, вторая покупка не закреплена (DEMO_SECOND_PURCHASE = 'auto' в scripts/seed-demo.ts). Засеянный проект «Склад организатора (демо)» (/projects/demo-warehouse) и гостевой /demo строятся той же функцией сценариев по умолчанию (lib/projects/defaults.ts). Сценарии, выбранные подбором: «Как есть», «Покупка — Ronavi H1500», «Услуга (RaaS) — Ronavi H1500», «Покупка — AMR 1500». Версия данных расчёта 7be2cba2.</w:t>
      </w:r>
    </w:p>
    <w:p>
      <w:pPr>
        <w:pStyle w:val="Heading3"/>
        <w:keepNext/>
        <w:outlineLvl w:val="2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Сценарии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7"/>
        <w:gridCol w:w="2211"/>
        <w:gridCol w:w="3259"/>
        <w:gridCol w:w="3333"/>
        <w:gridCol w:w="3260"/>
      </w:tblGrid>
      <w:tr>
        <w:trPr>
          <w:cantSplit/>
          <w:tblHeader/>
        </w:trPr>
        <w:tc>
          <w:tcPr>
            <w:tcW w:type="dxa" w:w="250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7"/>
                <w:szCs w:val="17"/>
              </w:rPr>
              <w:t xml:space="preserve">Показатель</w:t>
            </w:r>
          </w:p>
        </w:tc>
        <w:tc>
          <w:tcPr>
            <w:tcW w:type="dxa" w:w="221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7"/>
                <w:szCs w:val="17"/>
              </w:rPr>
              <w:t xml:space="preserve">Как есть</w:t>
            </w:r>
          </w:p>
        </w:tc>
        <w:tc>
          <w:tcPr>
            <w:tcW w:type="dxa" w:w="325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7"/>
                <w:szCs w:val="17"/>
              </w:rPr>
              <w:t xml:space="preserve">Покупка — Ronavi H1500</w:t>
            </w:r>
          </w:p>
        </w:tc>
        <w:tc>
          <w:tcPr>
            <w:tcW w:type="dxa" w:w="333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7"/>
                <w:szCs w:val="17"/>
              </w:rPr>
              <w:t xml:space="preserve">Услуга (RaaS) — Ronavi H1500</w:t>
            </w:r>
          </w:p>
        </w:tc>
        <w:tc>
          <w:tcPr>
            <w:tcW w:type="dxa" w:w="326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7"/>
                <w:szCs w:val="17"/>
              </w:rPr>
              <w:t xml:space="preserve">Покупка — AMR 1500</w:t>
            </w:r>
          </w:p>
        </w:tc>
      </w:tr>
      <w:tr>
        <w:trPr>
          <w:cantSplit/>
        </w:trPr>
        <w:tc>
          <w:tcPr>
            <w:tcW w:type="dxa" w:w="250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Состав оборудования</w:t>
            </w:r>
          </w:p>
        </w:tc>
        <w:tc>
          <w:tcPr>
            <w:tcW w:type="dxa" w:w="221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текущий процесс, без роботов</w:t>
            </w:r>
          </w:p>
        </w:tc>
        <w:tc>
          <w:tcPr>
            <w:tcW w:type="dxa" w:w="325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11 роботов · 1 зарядка · 1 пост диспетчера</w:t>
            </w:r>
          </w:p>
        </w:tc>
        <w:tc>
          <w:tcPr>
            <w:tcW w:type="dxa" w:w="333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11 роботов · 1 зарядка · 1 пост диспетчера</w:t>
            </w:r>
          </w:p>
        </w:tc>
        <w:tc>
          <w:tcPr>
            <w:tcW w:type="dxa" w:w="326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11 роботов · 2 зарядки · 1 пост диспетчера</w:t>
            </w:r>
          </w:p>
        </w:tc>
      </w:tr>
      <w:tr>
        <w:trPr>
          <w:cantSplit/>
        </w:trPr>
        <w:tc>
          <w:tcPr>
            <w:tcW w:type="dxa" w:w="250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CAPEX</w:t>
            </w:r>
          </w:p>
        </w:tc>
        <w:tc>
          <w:tcPr>
            <w:tcW w:type="dxa" w:w="221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0 ₽</w:t>
            </w:r>
          </w:p>
        </w:tc>
        <w:tc>
          <w:tcPr>
            <w:tcW w:type="dxa" w:w="325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38 500 000 ₽</w:t>
            </w:r>
          </w:p>
        </w:tc>
        <w:tc>
          <w:tcPr>
            <w:tcW w:type="dxa" w:w="333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1 540 000 ₽</w:t>
            </w:r>
          </w:p>
        </w:tc>
        <w:tc>
          <w:tcPr>
            <w:tcW w:type="dxa" w:w="326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32 780 000 ₽</w:t>
            </w:r>
          </w:p>
        </w:tc>
      </w:tr>
      <w:tr>
        <w:trPr>
          <w:cantSplit/>
        </w:trPr>
        <w:tc>
          <w:tcPr>
            <w:tcW w:type="dxa" w:w="250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OPEX в год</w:t>
            </w:r>
          </w:p>
        </w:tc>
        <w:tc>
          <w:tcPr>
            <w:tcW w:type="dxa" w:w="221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46 872 000 ₽</w:t>
            </w:r>
          </w:p>
        </w:tc>
        <w:tc>
          <w:tcPr>
            <w:tcW w:type="dxa" w:w="325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37 550 398 ₽</w:t>
            </w:r>
          </w:p>
        </w:tc>
        <w:tc>
          <w:tcPr>
            <w:tcW w:type="dxa" w:w="333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45 816 898 ₽</w:t>
            </w:r>
          </w:p>
        </w:tc>
        <w:tc>
          <w:tcPr>
            <w:tcW w:type="dxa" w:w="326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36 851 898 ₽</w:t>
            </w:r>
          </w:p>
        </w:tc>
      </w:tr>
      <w:tr>
        <w:trPr>
          <w:cantSplit/>
        </w:trPr>
        <w:tc>
          <w:tcPr>
            <w:tcW w:type="dxa" w:w="250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Годовой эффект</w:t>
            </w:r>
          </w:p>
        </w:tc>
        <w:tc>
          <w:tcPr>
            <w:tcW w:type="dxa" w:w="221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—</w:t>
            </w:r>
          </w:p>
        </w:tc>
        <w:tc>
          <w:tcPr>
            <w:tcW w:type="dxa" w:w="325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9 321 602 ₽</w:t>
            </w:r>
          </w:p>
        </w:tc>
        <w:tc>
          <w:tcPr>
            <w:tcW w:type="dxa" w:w="333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1 055 102 ₽</w:t>
            </w:r>
          </w:p>
        </w:tc>
        <w:tc>
          <w:tcPr>
            <w:tcW w:type="dxa" w:w="326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10 020 102 ₽</w:t>
            </w:r>
          </w:p>
        </w:tc>
      </w:tr>
      <w:tr>
        <w:trPr>
          <w:cantSplit/>
        </w:trPr>
        <w:tc>
          <w:tcPr>
            <w:tcW w:type="dxa" w:w="250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Окупаемость (простая)</w:t>
            </w:r>
          </w:p>
        </w:tc>
        <w:tc>
          <w:tcPr>
            <w:tcW w:type="dxa" w:w="221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—</w:t>
            </w:r>
          </w:p>
        </w:tc>
        <w:tc>
          <w:tcPr>
            <w:tcW w:type="dxa" w:w="325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4,1 г. — средняя окупаемость (3–5 лет)</w:t>
            </w:r>
          </w:p>
        </w:tc>
        <w:tc>
          <w:tcPr>
            <w:tcW w:type="dxa" w:w="333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1,5 г. — быстрая окупаемость (менее 3 лет)</w:t>
            </w:r>
          </w:p>
        </w:tc>
        <w:tc>
          <w:tcPr>
            <w:tcW w:type="dxa" w:w="326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3,3 г. — средняя окупаемость (3–5 лет)</w:t>
            </w:r>
          </w:p>
        </w:tc>
      </w:tr>
      <w:tr>
        <w:trPr>
          <w:cantSplit/>
        </w:trPr>
        <w:tc>
          <w:tcPr>
            <w:tcW w:type="dxa" w:w="250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ROI по ТЗ</w:t>
            </w:r>
          </w:p>
        </w:tc>
        <w:tc>
          <w:tcPr>
            <w:tcW w:type="dxa" w:w="221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—</w:t>
            </w:r>
          </w:p>
        </w:tc>
        <w:tc>
          <w:tcPr>
            <w:tcW w:type="dxa" w:w="325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123 %</w:t>
            </w:r>
          </w:p>
        </w:tc>
        <w:tc>
          <w:tcPr>
            <w:tcW w:type="dxa" w:w="333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342,6 % (неинформативен при малом CAPEX)</w:t>
            </w:r>
          </w:p>
        </w:tc>
        <w:tc>
          <w:tcPr>
            <w:tcW w:type="dxa" w:w="326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154,7 %</w:t>
            </w:r>
          </w:p>
        </w:tc>
      </w:tr>
      <w:tr>
        <w:trPr>
          <w:cantSplit/>
        </w:trPr>
        <w:tc>
          <w:tcPr>
            <w:tcW w:type="dxa" w:w="250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NPV</w:t>
            </w:r>
          </w:p>
        </w:tc>
        <w:tc>
          <w:tcPr>
            <w:tcW w:type="dxa" w:w="221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—</w:t>
            </w:r>
          </w:p>
        </w:tc>
        <w:tc>
          <w:tcPr>
            <w:tcW w:type="dxa" w:w="325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-4 108 652 ₽</w:t>
            </w:r>
          </w:p>
        </w:tc>
        <w:tc>
          <w:tcPr>
            <w:tcW w:type="dxa" w:w="333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2 263 407 ₽</w:t>
            </w:r>
          </w:p>
        </w:tc>
        <w:tc>
          <w:tcPr>
            <w:tcW w:type="dxa" w:w="326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3 983 162 ₽</w:t>
            </w:r>
          </w:p>
        </w:tc>
      </w:tr>
      <w:tr>
        <w:trPr>
          <w:cantSplit/>
        </w:trPr>
        <w:tc>
          <w:tcPr>
            <w:tcW w:type="dxa" w:w="250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Дисконтированная окупаемость</w:t>
            </w:r>
          </w:p>
        </w:tc>
        <w:tc>
          <w:tcPr>
            <w:tcW w:type="dxa" w:w="221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—</w:t>
            </w:r>
          </w:p>
        </w:tc>
        <w:tc>
          <w:tcPr>
            <w:tcW w:type="dxa" w:w="325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за горизонтом расчёта</w:t>
            </w:r>
          </w:p>
        </w:tc>
        <w:tc>
          <w:tcPr>
            <w:tcW w:type="dxa" w:w="333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1,7 г.</w:t>
            </w:r>
          </w:p>
        </w:tc>
        <w:tc>
          <w:tcPr>
            <w:tcW w:type="dxa" w:w="326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4,3 г.</w:t>
            </w:r>
          </w:p>
        </w:tc>
      </w:tr>
      <w:tr>
        <w:trPr>
          <w:cantSplit/>
        </w:trPr>
        <w:tc>
          <w:tcPr>
            <w:tcW w:type="dxa" w:w="250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TCO за 5 лет</w:t>
            </w:r>
          </w:p>
        </w:tc>
        <w:tc>
          <w:tcPr>
            <w:tcW w:type="dxa" w:w="221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234 360 000 ₽</w:t>
            </w:r>
          </w:p>
        </w:tc>
        <w:tc>
          <w:tcPr>
            <w:tcW w:type="dxa" w:w="325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225 509 489 ₽</w:t>
            </w:r>
          </w:p>
        </w:tc>
        <w:tc>
          <w:tcPr>
            <w:tcW w:type="dxa" w:w="333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230 624 489 ₽</w:t>
            </w:r>
          </w:p>
        </w:tc>
        <w:tc>
          <w:tcPr>
            <w:tcW w:type="dxa" w:w="326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216 434 489 ₽</w:t>
            </w:r>
          </w:p>
        </w:tc>
      </w:tr>
      <w:tr>
        <w:trPr>
          <w:cantSplit/>
        </w:trPr>
        <w:tc>
          <w:tcPr>
            <w:tcW w:type="dxa" w:w="250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Имитация</w:t>
            </w:r>
          </w:p>
        </w:tc>
        <w:tc>
          <w:tcPr>
            <w:tcW w:type="dxa" w:w="221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—</w:t>
            </w:r>
          </w:p>
        </w:tc>
        <w:tc>
          <w:tcPr>
            <w:tcW w:type="dxa" w:w="325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подтверждено: 132,5 из 129,5 пал./ч</w:t>
            </w:r>
          </w:p>
        </w:tc>
        <w:tc>
          <w:tcPr>
            <w:tcW w:type="dxa" w:w="333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подтверждено: 132,5 из 129,5 пал./ч</w:t>
            </w:r>
          </w:p>
        </w:tc>
        <w:tc>
          <w:tcPr>
            <w:tcW w:type="dxa" w:w="326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подтверждено: 132 из 129,5 пал./ч</w:t>
            </w:r>
          </w:p>
        </w:tc>
      </w:tr>
    </w:tbl>
    <w:p>
      <w:pPr>
        <w:spacing w:after="60"/>
      </w:pPr>
    </w:p>
    <w:p>
      <w:pPr>
        <w:pStyle w:val="Heading3"/>
        <w:keepNext/>
        <w:outlineLvl w:val="2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Парк, производительность и имитация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18"/>
        <w:gridCol w:w="938"/>
        <w:gridCol w:w="973"/>
        <w:gridCol w:w="957"/>
        <w:gridCol w:w="1153"/>
        <w:gridCol w:w="1664"/>
        <w:gridCol w:w="758"/>
        <w:gridCol w:w="433"/>
        <w:gridCol w:w="817"/>
        <w:gridCol w:w="813"/>
        <w:gridCol w:w="1561"/>
        <w:gridCol w:w="1541"/>
        <w:gridCol w:w="1444"/>
      </w:tblGrid>
      <w:tr>
        <w:trPr>
          <w:cantSplit/>
          <w:tblHeader/>
        </w:trPr>
        <w:tc>
          <w:tcPr>
            <w:tcW w:type="dxa" w:w="151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4"/>
                <w:szCs w:val="14"/>
              </w:rPr>
              <w:t xml:space="preserve">Сценарий</w:t>
            </w:r>
          </w:p>
        </w:tc>
        <w:tc>
          <w:tcPr>
            <w:tcW w:type="dxa" w:w="93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4"/>
                <w:szCs w:val="14"/>
              </w:rPr>
              <w:t xml:space="preserve">λпик, пал./ч</w:t>
            </w:r>
          </w:p>
        </w:tc>
        <w:tc>
          <w:tcPr>
            <w:tcW w:type="dxa" w:w="97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4"/>
                <w:szCs w:val="14"/>
              </w:rPr>
              <w:t xml:space="preserve">Норма, пал./ч</w:t>
            </w:r>
          </w:p>
        </w:tc>
        <w:tc>
          <w:tcPr>
            <w:tcW w:type="dxa" w:w="95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4"/>
                <w:szCs w:val="14"/>
              </w:rPr>
              <w:t xml:space="preserve">Цикл, пал./ч</w:t>
            </w:r>
          </w:p>
        </w:tc>
        <w:tc>
          <w:tcPr>
            <w:tcW w:type="dxa" w:w="115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4"/>
                <w:szCs w:val="14"/>
              </w:rPr>
              <w:t xml:space="preserve">Принято, пал./ч</w:t>
            </w:r>
          </w:p>
        </w:tc>
        <w:tc>
          <w:tcPr>
            <w:tcW w:type="dxa" w:w="166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4"/>
                <w:szCs w:val="14"/>
              </w:rPr>
              <w:t xml:space="preserve">Плечо с грузом / порожнее, м</w:t>
            </w:r>
          </w:p>
        </w:tc>
        <w:tc>
          <w:tcPr>
            <w:tcW w:type="dxa" w:w="75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4"/>
                <w:szCs w:val="14"/>
              </w:rPr>
              <w:t xml:space="preserve">Nточн</w:t>
            </w:r>
          </w:p>
        </w:tc>
        <w:tc>
          <w:tcPr>
            <w:tcW w:type="dxa" w:w="43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4"/>
                <w:szCs w:val="14"/>
              </w:rPr>
              <w:t xml:space="preserve">N</w:t>
            </w:r>
          </w:p>
        </w:tc>
        <w:tc>
          <w:tcPr>
            <w:tcW w:type="dxa" w:w="81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4"/>
                <w:szCs w:val="14"/>
              </w:rPr>
              <w:t xml:space="preserve">Зарядки</w:t>
            </w:r>
          </w:p>
        </w:tc>
        <w:tc>
          <w:tcPr>
            <w:tcW w:type="dxa" w:w="81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4"/>
                <w:szCs w:val="14"/>
              </w:rPr>
              <w:t xml:space="preserve">N по норме</w:t>
            </w:r>
          </w:p>
        </w:tc>
        <w:tc>
          <w:tcPr>
            <w:tcW w:type="dxa" w:w="156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4"/>
                <w:szCs w:val="14"/>
              </w:rPr>
              <w:t xml:space="preserve">Имитация при N</w:t>
            </w:r>
          </w:p>
        </w:tc>
        <w:tc>
          <w:tcPr>
            <w:tcW w:type="dxa" w:w="154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4"/>
                <w:szCs w:val="14"/>
              </w:rPr>
              <w:t xml:space="preserve">Имитация при N по норме</w:t>
            </w:r>
          </w:p>
        </w:tc>
        <w:tc>
          <w:tcPr>
            <w:tcW w:type="dxa" w:w="144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4"/>
                <w:szCs w:val="14"/>
              </w:rPr>
              <w:t xml:space="preserve">Мин. устойчивый парк</w:t>
            </w:r>
          </w:p>
        </w:tc>
      </w:tr>
      <w:tr>
        <w:trPr>
          <w:cantSplit/>
        </w:trPr>
        <w:tc>
          <w:tcPr>
            <w:tcW w:type="dxa" w:w="151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4"/>
                <w:szCs w:val="14"/>
              </w:rPr>
              <w:t xml:space="preserve">Покупка — Ronavi H1500</w:t>
            </w:r>
          </w:p>
        </w:tc>
        <w:tc>
          <w:tcPr>
            <w:tcW w:type="dxa" w:w="93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4"/>
                <w:szCs w:val="14"/>
              </w:rPr>
              <w:t xml:space="preserve">129,55</w:t>
            </w:r>
          </w:p>
        </w:tc>
        <w:tc>
          <w:tcPr>
            <w:tcW w:type="dxa" w:w="97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4"/>
                <w:szCs w:val="14"/>
              </w:rPr>
              <w:t xml:space="preserve">90</w:t>
            </w:r>
          </w:p>
        </w:tc>
        <w:tc>
          <w:tcPr>
            <w:tcW w:type="dxa" w:w="95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4"/>
                <w:szCs w:val="14"/>
              </w:rPr>
              <w:t xml:space="preserve">19,2257</w:t>
            </w:r>
          </w:p>
        </w:tc>
        <w:tc>
          <w:tcPr>
            <w:tcW w:type="dxa" w:w="115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4"/>
                <w:szCs w:val="14"/>
              </w:rPr>
              <w:t xml:space="preserve">19,2257 (цикл)</w:t>
            </w:r>
          </w:p>
        </w:tc>
        <w:tc>
          <w:tcPr>
            <w:tcW w:type="dxa" w:w="166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4"/>
                <w:szCs w:val="14"/>
              </w:rPr>
              <w:t xml:space="preserve">93,82 / 103,6</w:t>
            </w:r>
          </w:p>
        </w:tc>
        <w:tc>
          <w:tcPr>
            <w:tcW w:type="dxa" w:w="75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4"/>
                <w:szCs w:val="14"/>
              </w:rPr>
              <w:t xml:space="preserve">10,2159</w:t>
            </w:r>
          </w:p>
        </w:tc>
        <w:tc>
          <w:tcPr>
            <w:tcW w:type="dxa" w:w="43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4"/>
                <w:szCs w:val="14"/>
              </w:rPr>
              <w:t xml:space="preserve">11</w:t>
            </w:r>
          </w:p>
        </w:tc>
        <w:tc>
          <w:tcPr>
            <w:tcW w:type="dxa" w:w="81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4"/>
                <w:szCs w:val="14"/>
              </w:rPr>
              <w:t xml:space="preserve">1</w:t>
            </w:r>
          </w:p>
        </w:tc>
        <w:tc>
          <w:tcPr>
            <w:tcW w:type="dxa" w:w="81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4"/>
                <w:szCs w:val="14"/>
              </w:rPr>
              <w:t xml:space="preserve">3</w:t>
            </w:r>
          </w:p>
        </w:tc>
        <w:tc>
          <w:tcPr>
            <w:tcW w:type="dxa" w:w="156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4"/>
                <w:szCs w:val="14"/>
              </w:rPr>
              <w:t xml:space="preserve">подтверждён (132,5 пал./ч)</w:t>
            </w:r>
          </w:p>
        </w:tc>
        <w:tc>
          <w:tcPr>
            <w:tcW w:type="dxa" w:w="154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4"/>
                <w:szCs w:val="14"/>
              </w:rPr>
              <w:t xml:space="preserve">не подтверждён</w:t>
            </w:r>
          </w:p>
        </w:tc>
        <w:tc>
          <w:tcPr>
            <w:tcW w:type="dxa" w:w="144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4"/>
                <w:szCs w:val="14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151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4"/>
                <w:szCs w:val="14"/>
              </w:rPr>
              <w:t xml:space="preserve">Услуга (RaaS) — Ronavi H1500</w:t>
            </w:r>
          </w:p>
        </w:tc>
        <w:tc>
          <w:tcPr>
            <w:tcW w:type="dxa" w:w="93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4"/>
                <w:szCs w:val="14"/>
              </w:rPr>
              <w:t xml:space="preserve">129,55</w:t>
            </w:r>
          </w:p>
        </w:tc>
        <w:tc>
          <w:tcPr>
            <w:tcW w:type="dxa" w:w="97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4"/>
                <w:szCs w:val="14"/>
              </w:rPr>
              <w:t xml:space="preserve">90</w:t>
            </w:r>
          </w:p>
        </w:tc>
        <w:tc>
          <w:tcPr>
            <w:tcW w:type="dxa" w:w="95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4"/>
                <w:szCs w:val="14"/>
              </w:rPr>
              <w:t xml:space="preserve">19,2257</w:t>
            </w:r>
          </w:p>
        </w:tc>
        <w:tc>
          <w:tcPr>
            <w:tcW w:type="dxa" w:w="115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4"/>
                <w:szCs w:val="14"/>
              </w:rPr>
              <w:t xml:space="preserve">19,2257 (цикл)</w:t>
            </w:r>
          </w:p>
        </w:tc>
        <w:tc>
          <w:tcPr>
            <w:tcW w:type="dxa" w:w="166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4"/>
                <w:szCs w:val="14"/>
              </w:rPr>
              <w:t xml:space="preserve">93,82 / 103,6</w:t>
            </w:r>
          </w:p>
        </w:tc>
        <w:tc>
          <w:tcPr>
            <w:tcW w:type="dxa" w:w="75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4"/>
                <w:szCs w:val="14"/>
              </w:rPr>
              <w:t xml:space="preserve">10,2159</w:t>
            </w:r>
          </w:p>
        </w:tc>
        <w:tc>
          <w:tcPr>
            <w:tcW w:type="dxa" w:w="43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4"/>
                <w:szCs w:val="14"/>
              </w:rPr>
              <w:t xml:space="preserve">11</w:t>
            </w:r>
          </w:p>
        </w:tc>
        <w:tc>
          <w:tcPr>
            <w:tcW w:type="dxa" w:w="81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4"/>
                <w:szCs w:val="14"/>
              </w:rPr>
              <w:t xml:space="preserve">1</w:t>
            </w:r>
          </w:p>
        </w:tc>
        <w:tc>
          <w:tcPr>
            <w:tcW w:type="dxa" w:w="81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4"/>
                <w:szCs w:val="14"/>
              </w:rPr>
              <w:t xml:space="preserve">3</w:t>
            </w:r>
          </w:p>
        </w:tc>
        <w:tc>
          <w:tcPr>
            <w:tcW w:type="dxa" w:w="156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4"/>
                <w:szCs w:val="14"/>
              </w:rPr>
              <w:t xml:space="preserve">подтверждён (132,5 пал./ч)</w:t>
            </w:r>
          </w:p>
        </w:tc>
        <w:tc>
          <w:tcPr>
            <w:tcW w:type="dxa" w:w="154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4"/>
                <w:szCs w:val="14"/>
              </w:rPr>
              <w:t xml:space="preserve">не подтверждён</w:t>
            </w:r>
          </w:p>
        </w:tc>
        <w:tc>
          <w:tcPr>
            <w:tcW w:type="dxa" w:w="144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4"/>
                <w:szCs w:val="14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151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4"/>
                <w:szCs w:val="14"/>
              </w:rPr>
              <w:t xml:space="preserve">Покупка — AMR 1500</w:t>
            </w:r>
          </w:p>
        </w:tc>
        <w:tc>
          <w:tcPr>
            <w:tcW w:type="dxa" w:w="93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4"/>
                <w:szCs w:val="14"/>
              </w:rPr>
              <w:t xml:space="preserve">129,55</w:t>
            </w:r>
          </w:p>
        </w:tc>
        <w:tc>
          <w:tcPr>
            <w:tcW w:type="dxa" w:w="97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4"/>
                <w:szCs w:val="14"/>
              </w:rPr>
              <w:t xml:space="preserve">—</w:t>
            </w:r>
          </w:p>
        </w:tc>
        <w:tc>
          <w:tcPr>
            <w:tcW w:type="dxa" w:w="95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4"/>
                <w:szCs w:val="14"/>
              </w:rPr>
              <w:t xml:space="preserve">19,2257</w:t>
            </w:r>
          </w:p>
        </w:tc>
        <w:tc>
          <w:tcPr>
            <w:tcW w:type="dxa" w:w="115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4"/>
                <w:szCs w:val="14"/>
              </w:rPr>
              <w:t xml:space="preserve">19,2257 (цикл)</w:t>
            </w:r>
          </w:p>
        </w:tc>
        <w:tc>
          <w:tcPr>
            <w:tcW w:type="dxa" w:w="166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4"/>
                <w:szCs w:val="14"/>
              </w:rPr>
              <w:t xml:space="preserve">93,82 / 103,6</w:t>
            </w:r>
          </w:p>
        </w:tc>
        <w:tc>
          <w:tcPr>
            <w:tcW w:type="dxa" w:w="75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4"/>
                <w:szCs w:val="14"/>
              </w:rPr>
              <w:t xml:space="preserve">10,2159</w:t>
            </w:r>
          </w:p>
        </w:tc>
        <w:tc>
          <w:tcPr>
            <w:tcW w:type="dxa" w:w="43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4"/>
                <w:szCs w:val="14"/>
              </w:rPr>
              <w:t xml:space="preserve">11</w:t>
            </w:r>
          </w:p>
        </w:tc>
        <w:tc>
          <w:tcPr>
            <w:tcW w:type="dxa" w:w="81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4"/>
                <w:szCs w:val="14"/>
              </w:rPr>
              <w:t xml:space="preserve">2</w:t>
            </w:r>
          </w:p>
        </w:tc>
        <w:tc>
          <w:tcPr>
            <w:tcW w:type="dxa" w:w="81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4"/>
                <w:szCs w:val="14"/>
              </w:rPr>
              <w:t xml:space="preserve">—</w:t>
            </w:r>
          </w:p>
        </w:tc>
        <w:tc>
          <w:tcPr>
            <w:tcW w:type="dxa" w:w="156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4"/>
                <w:szCs w:val="14"/>
              </w:rPr>
              <w:t xml:space="preserve">подтверждён (132 пал./ч)</w:t>
            </w:r>
          </w:p>
        </w:tc>
        <w:tc>
          <w:tcPr>
            <w:tcW w:type="dxa" w:w="154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4"/>
                <w:szCs w:val="14"/>
              </w:rPr>
              <w:t xml:space="preserve">—</w:t>
            </w:r>
          </w:p>
        </w:tc>
        <w:tc>
          <w:tcPr>
            <w:tcW w:type="dxa" w:w="144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4"/>
                <w:szCs w:val="14"/>
              </w:rPr>
              <w:t xml:space="preserve">9</w:t>
            </w:r>
          </w:p>
        </w:tc>
      </w:tr>
    </w:tbl>
    <w:p>
      <w:pPr>
        <w:spacing w:after="60"/>
      </w:pP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λпик — пиковый поток заданий; норма — паспортная производительность; цикл — по плечам на планировке объекта (та же геометрия, что в имитации); N по норме — парк, рассчитанный только по паспортной норме; минимальный устойчивый парк — перебор имитацией в диапазоне [1; 2N], зерно 1.</w:t>
      </w:r>
    </w:p>
    <w:p>
      <w:pPr>
        <w:pStyle w:val="Heading3"/>
        <w:keepNext/>
        <w:outlineLvl w:val="2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Риски сценариев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Риски каждого сценария роботизации по убыванию важности; вывод ниже называет три главных риска рекомендуемого сценария. Смена знака NPV в диапазоне рычага — в таблице чувствительности.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11"/>
        <w:gridCol w:w="1111"/>
        <w:gridCol w:w="10948"/>
      </w:tblGrid>
      <w:tr>
        <w:trPr>
          <w:cantSplit/>
          <w:tblHeader/>
        </w:trPr>
        <w:tc>
          <w:tcPr>
            <w:tcW w:type="dxa" w:w="251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Сценарий</w:t>
            </w:r>
          </w:p>
        </w:tc>
        <w:tc>
          <w:tcPr>
            <w:tcW w:type="dxa" w:w="111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Важность</w:t>
            </w:r>
          </w:p>
        </w:tc>
        <w:tc>
          <w:tcPr>
            <w:tcW w:type="dxa" w:w="1094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Риск</w:t>
            </w:r>
          </w:p>
        </w:tc>
      </w:tr>
      <w:tr>
        <w:trPr>
          <w:cantSplit/>
        </w:trPr>
        <w:tc>
          <w:tcPr>
            <w:tcW w:type="dxa" w:w="251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Покупка — Ronavi H1500</w:t>
            </w:r>
          </w:p>
        </w:tc>
        <w:tc>
          <w:tcPr>
            <w:tcW w:type="dxa" w:w="111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высокий</w:t>
            </w:r>
          </w:p>
        </w:tc>
        <w:tc>
          <w:tcPr>
            <w:tcW w:type="dxa" w:w="1094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Паспортная норма 90 пал./ч в 4,7 раза выше расчётной по циклу на вашем объекте (19,2 пал./ч при плече ≈94 м, оценка по планировке); принято меньшее значение</w:t>
            </w:r>
          </w:p>
        </w:tc>
      </w:tr>
      <w:tr>
        <w:trPr>
          <w:cantSplit/>
        </w:trPr>
        <w:tc>
          <w:tcPr>
            <w:tcW w:type="dxa" w:w="251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Покупка — Ronavi H1500</w:t>
            </w:r>
          </w:p>
        </w:tc>
        <w:tc>
          <w:tcPr>
            <w:tcW w:type="dxa" w:w="111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низкий</w:t>
            </w:r>
          </w:p>
        </w:tc>
        <w:tc>
          <w:tcPr>
            <w:tcW w:type="dxa" w:w="1094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Доля труда, которую берут роботы (50 %), — оценка: в датасете её нет; диапазон 30–70 % входит в анализ чувствительности</w:t>
            </w:r>
          </w:p>
        </w:tc>
      </w:tr>
      <w:tr>
        <w:trPr>
          <w:cantSplit/>
        </w:trPr>
        <w:tc>
          <w:tcPr>
            <w:tcW w:type="dxa" w:w="251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Покупка — Ronavi H1500</w:t>
            </w:r>
          </w:p>
        </w:tc>
        <w:tc>
          <w:tcPr>
            <w:tcW w:type="dxa" w:w="111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низкий</w:t>
            </w:r>
          </w:p>
        </w:tc>
        <w:tc>
          <w:tcPr>
            <w:tcW w:type="dxa" w:w="1094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Плечо перевозки ≈94 м оценено по типовой планировке из площади и ширины проходов, а не по чертежу объекта</w:t>
            </w:r>
          </w:p>
        </w:tc>
      </w:tr>
      <w:tr>
        <w:trPr>
          <w:cantSplit/>
        </w:trPr>
        <w:tc>
          <w:tcPr>
            <w:tcW w:type="dxa" w:w="251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Покупка — Ronavi H1500</w:t>
            </w:r>
          </w:p>
        </w:tc>
        <w:tc>
          <w:tcPr>
            <w:tcW w:type="dxa" w:w="111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низкий</w:t>
            </w:r>
          </w:p>
        </w:tc>
        <w:tc>
          <w:tcPr>
            <w:tcW w:type="dxa" w:w="1094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Стоимость существующего парка погрузчиков в датасете не задана — эффект занижен, оценка консервативна</w:t>
            </w:r>
          </w:p>
        </w:tc>
      </w:tr>
      <w:tr>
        <w:trPr>
          <w:cantSplit/>
        </w:trPr>
        <w:tc>
          <w:tcPr>
            <w:tcW w:type="dxa" w:w="251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Покупка — Ronavi H1500</w:t>
            </w:r>
          </w:p>
        </w:tc>
        <w:tc>
          <w:tcPr>
            <w:tcW w:type="dxa" w:w="111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низкий</w:t>
            </w:r>
          </w:p>
        </w:tc>
        <w:tc>
          <w:tcPr>
            <w:tcW w:type="dxa" w:w="1094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Высвобождение 11,9 FTE — учесть трудовые и социальные обязательства</w:t>
            </w:r>
          </w:p>
        </w:tc>
      </w:tr>
      <w:tr>
        <w:trPr>
          <w:cantSplit/>
        </w:trPr>
        <w:tc>
          <w:tcPr>
            <w:tcW w:type="dxa" w:w="251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Услуга (RaaS) — Ronavi H1500</w:t>
            </w:r>
          </w:p>
        </w:tc>
        <w:tc>
          <w:tcPr>
            <w:tcW w:type="dxa" w:w="111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высокий</w:t>
            </w:r>
          </w:p>
        </w:tc>
        <w:tc>
          <w:tcPr>
            <w:tcW w:type="dxa" w:w="1094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Паспортная норма 90 пал./ч в 4,7 раза выше расчётной по циклу на вашем объекте (19,2 пал./ч при плече ≈94 м, оценка по планировке); принято меньшее значение</w:t>
            </w:r>
          </w:p>
        </w:tc>
      </w:tr>
      <w:tr>
        <w:trPr>
          <w:cantSplit/>
        </w:trPr>
        <w:tc>
          <w:tcPr>
            <w:tcW w:type="dxa" w:w="251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Услуга (RaaS) — Ronavi H1500</w:t>
            </w:r>
          </w:p>
        </w:tc>
        <w:tc>
          <w:tcPr>
            <w:tcW w:type="dxa" w:w="111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средний</w:t>
            </w:r>
          </w:p>
        </w:tc>
        <w:tc>
          <w:tcPr>
            <w:tcW w:type="dxa" w:w="1094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Ставка RaaS — нижняя граница «от»: 100 000 ₽/мес за робота «Ronavi H1500 (грузоподъемность до 1 500 кг)»; фактическая ставка может быть выше</w:t>
            </w:r>
          </w:p>
        </w:tc>
      </w:tr>
      <w:tr>
        <w:trPr>
          <w:cantSplit/>
        </w:trPr>
        <w:tc>
          <w:tcPr>
            <w:tcW w:type="dxa" w:w="251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Услуга (RaaS) — Ronavi H1500</w:t>
            </w:r>
          </w:p>
        </w:tc>
        <w:tc>
          <w:tcPr>
            <w:tcW w:type="dxa" w:w="111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низкий</w:t>
            </w:r>
          </w:p>
        </w:tc>
        <w:tc>
          <w:tcPr>
            <w:tcW w:type="dxa" w:w="1094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ROI неинформативен при малом CAPEX — сравнивайте NPV и TCO</w:t>
            </w:r>
          </w:p>
        </w:tc>
      </w:tr>
      <w:tr>
        <w:trPr>
          <w:cantSplit/>
        </w:trPr>
        <w:tc>
          <w:tcPr>
            <w:tcW w:type="dxa" w:w="251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Услуга (RaaS) — Ronavi H1500</w:t>
            </w:r>
          </w:p>
        </w:tc>
        <w:tc>
          <w:tcPr>
            <w:tcW w:type="dxa" w:w="111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низкий</w:t>
            </w:r>
          </w:p>
        </w:tc>
        <w:tc>
          <w:tcPr>
            <w:tcW w:type="dxa" w:w="1094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Доля труда, которую берут роботы (50 %), — оценка: в датасете её нет; диапазон 30–70 % входит в анализ чувствительности</w:t>
            </w:r>
          </w:p>
        </w:tc>
      </w:tr>
      <w:tr>
        <w:trPr>
          <w:cantSplit/>
        </w:trPr>
        <w:tc>
          <w:tcPr>
            <w:tcW w:type="dxa" w:w="251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Услуга (RaaS) — Ronavi H1500</w:t>
            </w:r>
          </w:p>
        </w:tc>
        <w:tc>
          <w:tcPr>
            <w:tcW w:type="dxa" w:w="111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низкий</w:t>
            </w:r>
          </w:p>
        </w:tc>
        <w:tc>
          <w:tcPr>
            <w:tcW w:type="dxa" w:w="1094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Плечо перевозки ≈94 м оценено по типовой планировке из площади и ширины проходов, а не по чертежу объекта</w:t>
            </w:r>
          </w:p>
        </w:tc>
      </w:tr>
      <w:tr>
        <w:trPr>
          <w:cantSplit/>
        </w:trPr>
        <w:tc>
          <w:tcPr>
            <w:tcW w:type="dxa" w:w="251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Услуга (RaaS) — Ronavi H1500</w:t>
            </w:r>
          </w:p>
        </w:tc>
        <w:tc>
          <w:tcPr>
            <w:tcW w:type="dxa" w:w="111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низкий</w:t>
            </w:r>
          </w:p>
        </w:tc>
        <w:tc>
          <w:tcPr>
            <w:tcW w:type="dxa" w:w="1094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Стоимость существующего парка погрузчиков в датасете не задана — эффект занижен, оценка консервативна</w:t>
            </w:r>
          </w:p>
        </w:tc>
      </w:tr>
      <w:tr>
        <w:trPr>
          <w:cantSplit/>
        </w:trPr>
        <w:tc>
          <w:tcPr>
            <w:tcW w:type="dxa" w:w="251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Услуга (RaaS) — Ronavi H1500</w:t>
            </w:r>
          </w:p>
        </w:tc>
        <w:tc>
          <w:tcPr>
            <w:tcW w:type="dxa" w:w="111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низкий</w:t>
            </w:r>
          </w:p>
        </w:tc>
        <w:tc>
          <w:tcPr>
            <w:tcW w:type="dxa" w:w="1094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Высвобождение 11,9 FTE — учесть трудовые и социальные обязательства</w:t>
            </w:r>
          </w:p>
        </w:tc>
      </w:tr>
      <w:tr>
        <w:trPr>
          <w:cantSplit/>
        </w:trPr>
        <w:tc>
          <w:tcPr>
            <w:tcW w:type="dxa" w:w="251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Покупка — AMR 1500</w:t>
            </w:r>
          </w:p>
        </w:tc>
        <w:tc>
          <w:tcPr>
            <w:tcW w:type="dxa" w:w="111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средний</w:t>
            </w:r>
          </w:p>
        </w:tc>
        <w:tc>
          <w:tcPr>
            <w:tcW w:type="dxa" w:w="1094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Цена «AMR 1500 (грузоподъемность до 1 500 кг)» 2 200 000 ₽ не подтверждена производителем — уточните её по коммерческому предложению</w:t>
            </w:r>
          </w:p>
        </w:tc>
      </w:tr>
      <w:tr>
        <w:trPr>
          <w:cantSplit/>
        </w:trPr>
        <w:tc>
          <w:tcPr>
            <w:tcW w:type="dxa" w:w="251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Покупка — AMR 1500</w:t>
            </w:r>
          </w:p>
        </w:tc>
        <w:tc>
          <w:tcPr>
            <w:tcW w:type="dxa" w:w="111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средний</w:t>
            </w:r>
          </w:p>
        </w:tc>
        <w:tc>
          <w:tcPr>
            <w:tcW w:type="dxa" w:w="1094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«AMR 1500 (грузоподъемность до 1 500 кг)» в пилотной эксплуатации — серийных внедрений мало, характеристики могут измениться</w:t>
            </w:r>
          </w:p>
        </w:tc>
      </w:tr>
      <w:tr>
        <w:trPr>
          <w:cantSplit/>
        </w:trPr>
        <w:tc>
          <w:tcPr>
            <w:tcW w:type="dxa" w:w="251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Покупка — AMR 1500</w:t>
            </w:r>
          </w:p>
        </w:tc>
        <w:tc>
          <w:tcPr>
            <w:tcW w:type="dxa" w:w="111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низкий</w:t>
            </w:r>
          </w:p>
        </w:tc>
        <w:tc>
          <w:tcPr>
            <w:tcW w:type="dxa" w:w="1094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Доля труда, которую берут роботы (50 %), — оценка: в датасете её нет; диапазон 30–70 % входит в анализ чувствительности</w:t>
            </w:r>
          </w:p>
        </w:tc>
      </w:tr>
      <w:tr>
        <w:trPr>
          <w:cantSplit/>
        </w:trPr>
        <w:tc>
          <w:tcPr>
            <w:tcW w:type="dxa" w:w="251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Покупка — AMR 1500</w:t>
            </w:r>
          </w:p>
        </w:tc>
        <w:tc>
          <w:tcPr>
            <w:tcW w:type="dxa" w:w="111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низкий</w:t>
            </w:r>
          </w:p>
        </w:tc>
        <w:tc>
          <w:tcPr>
            <w:tcW w:type="dxa" w:w="1094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Плечо перевозки ≈94 м оценено по типовой планировке из площади и ширины проходов, а не по чертежу объекта</w:t>
            </w:r>
          </w:p>
        </w:tc>
      </w:tr>
      <w:tr>
        <w:trPr>
          <w:cantSplit/>
        </w:trPr>
        <w:tc>
          <w:tcPr>
            <w:tcW w:type="dxa" w:w="251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Покупка — AMR 1500</w:t>
            </w:r>
          </w:p>
        </w:tc>
        <w:tc>
          <w:tcPr>
            <w:tcW w:type="dxa" w:w="111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низкий</w:t>
            </w:r>
          </w:p>
        </w:tc>
        <w:tc>
          <w:tcPr>
            <w:tcW w:type="dxa" w:w="1094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Стоимость существующего парка погрузчиков в датасете не задана — эффект занижен, оценка консервативна</w:t>
            </w:r>
          </w:p>
        </w:tc>
      </w:tr>
      <w:tr>
        <w:trPr>
          <w:cantSplit/>
        </w:trPr>
        <w:tc>
          <w:tcPr>
            <w:tcW w:type="dxa" w:w="251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Покупка — AMR 1500</w:t>
            </w:r>
          </w:p>
        </w:tc>
        <w:tc>
          <w:tcPr>
            <w:tcW w:type="dxa" w:w="111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низкий</w:t>
            </w:r>
          </w:p>
        </w:tc>
        <w:tc>
          <w:tcPr>
            <w:tcW w:type="dxa" w:w="1094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Высвобождение 11,9 FTE — учесть трудовые и социальные обязательства</w:t>
            </w:r>
          </w:p>
        </w:tc>
      </w:tr>
    </w:tbl>
    <w:p>
      <w:pPr>
        <w:spacing w:after="60"/>
      </w:pPr>
    </w:p>
    <w:p>
      <w:pPr>
        <w:pStyle w:val="Heading3"/>
        <w:keepNext/>
        <w:outlineLvl w:val="2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Чувствительность NPV: все рычаги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Каждая граница — полный пересчёт модели; рычаги каждого сценария — по убыванию размаха NPV. Границы — у организатора, где он их дал, иначе норматив или ±20 %. Смена знака NPV внутри диапазона выносится в риски.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3"/>
        <w:gridCol w:w="2774"/>
        <w:gridCol w:w="3142"/>
        <w:gridCol w:w="1538"/>
        <w:gridCol w:w="1640"/>
        <w:gridCol w:w="1251"/>
        <w:gridCol w:w="1622"/>
      </w:tblGrid>
      <w:tr>
        <w:trPr>
          <w:cantSplit/>
          <w:tblHeader/>
        </w:trPr>
        <w:tc>
          <w:tcPr>
            <w:tcW w:type="dxa" w:w="260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Сценарий</w:t>
            </w:r>
          </w:p>
        </w:tc>
        <w:tc>
          <w:tcPr>
            <w:tcW w:type="dxa" w:w="277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Рычаг</w:t>
            </w:r>
          </w:p>
        </w:tc>
        <w:tc>
          <w:tcPr>
            <w:tcW w:type="dxa" w:w="31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Диапазон (границы)</w:t>
            </w:r>
          </w:p>
        </w:tc>
        <w:tc>
          <w:tcPr>
            <w:tcW w:type="dxa" w:w="153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NPV при нижней</w:t>
            </w:r>
          </w:p>
        </w:tc>
        <w:tc>
          <w:tcPr>
            <w:tcW w:type="dxa" w:w="164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NPV при верхней</w:t>
            </w:r>
          </w:p>
        </w:tc>
        <w:tc>
          <w:tcPr>
            <w:tcW w:type="dxa" w:w="12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Размах NPV</w:t>
            </w:r>
          </w:p>
        </w:tc>
        <w:tc>
          <w:tcPr>
            <w:tcW w:type="dxa" w:w="162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Смена знака NPV</w:t>
            </w:r>
          </w:p>
        </w:tc>
      </w:tr>
      <w:tr>
        <w:trPr>
          <w:cantSplit/>
        </w:trPr>
        <w:tc>
          <w:tcPr>
            <w:tcW w:type="dxa" w:w="260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Покупка — Ronavi H1500</w:t>
            </w:r>
          </w:p>
        </w:tc>
        <w:tc>
          <w:tcPr>
            <w:tcW w:type="dxa" w:w="277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Доля автоматизируемого труда</w:t>
            </w:r>
          </w:p>
        </w:tc>
        <w:tc>
          <w:tcPr>
            <w:tcW w:type="dxa" w:w="31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30–70 % (норматив)</w:t>
            </w:r>
          </w:p>
        </w:tc>
        <w:tc>
          <w:tcPr>
            <w:tcW w:type="dxa" w:w="153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-36 211 636 ₽</w:t>
            </w:r>
          </w:p>
        </w:tc>
        <w:tc>
          <w:tcPr>
            <w:tcW w:type="dxa" w:w="164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27 994 331 ₽</w:t>
            </w:r>
          </w:p>
        </w:tc>
        <w:tc>
          <w:tcPr>
            <w:tcW w:type="dxa" w:w="12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64 205 967 ₽</w:t>
            </w:r>
          </w:p>
        </w:tc>
        <w:tc>
          <w:tcPr>
            <w:tcW w:type="dxa" w:w="162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260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Покупка — Ronavi H1500</w:t>
            </w:r>
          </w:p>
        </w:tc>
        <w:tc>
          <w:tcPr>
            <w:tcW w:type="dxa" w:w="277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Пиковый коэффициент</w:t>
            </w:r>
          </w:p>
        </w:tc>
        <w:tc>
          <w:tcPr>
            <w:tcW w:type="dxa" w:w="31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1,2–2,5 коэф. (организатор)</w:t>
            </w:r>
          </w:p>
        </w:tc>
        <w:tc>
          <w:tcPr>
            <w:tcW w:type="dxa" w:w="153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5 389 402 ₽</w:t>
            </w:r>
          </w:p>
        </w:tc>
        <w:tc>
          <w:tcPr>
            <w:tcW w:type="dxa" w:w="164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-37 681 843 ₽</w:t>
            </w:r>
          </w:p>
        </w:tc>
        <w:tc>
          <w:tcPr>
            <w:tcW w:type="dxa" w:w="12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43 071 245 ₽</w:t>
            </w:r>
          </w:p>
        </w:tc>
        <w:tc>
          <w:tcPr>
            <w:tcW w:type="dxa" w:w="162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260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Покупка — Ronavi H1500</w:t>
            </w:r>
          </w:p>
        </w:tc>
        <w:tc>
          <w:tcPr>
            <w:tcW w:type="dxa" w:w="277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Зарплата оператора погрузчика</w:t>
            </w:r>
          </w:p>
        </w:tc>
        <w:tc>
          <w:tcPr>
            <w:tcW w:type="dxa" w:w="31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80 000–170 000 ₽/мес (организатор)</w:t>
            </w:r>
          </w:p>
        </w:tc>
        <w:tc>
          <w:tcPr>
            <w:tcW w:type="dxa" w:w="153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-21 692 202 ₽</w:t>
            </w:r>
          </w:p>
        </w:tc>
        <w:tc>
          <w:tcPr>
            <w:tcW w:type="dxa" w:w="164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17 870 784 ₽</w:t>
            </w:r>
          </w:p>
        </w:tc>
        <w:tc>
          <w:tcPr>
            <w:tcW w:type="dxa" w:w="12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39 562 985 ₽</w:t>
            </w:r>
          </w:p>
        </w:tc>
        <w:tc>
          <w:tcPr>
            <w:tcW w:type="dxa" w:w="162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260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Покупка — Ronavi H1500</w:t>
            </w:r>
          </w:p>
        </w:tc>
        <w:tc>
          <w:tcPr>
            <w:tcW w:type="dxa" w:w="277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Производительность робота</w:t>
            </w:r>
          </w:p>
        </w:tc>
        <w:tc>
          <w:tcPr>
            <w:tcW w:type="dxa" w:w="31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15,38–23,07 паллет/ч (±20 %)</w:t>
            </w:r>
          </w:p>
        </w:tc>
        <w:tc>
          <w:tcPr>
            <w:tcW w:type="dxa" w:w="153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-13 606 707 ₽</w:t>
            </w:r>
          </w:p>
        </w:tc>
        <w:tc>
          <w:tcPr>
            <w:tcW w:type="dxa" w:w="164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5 389 402 ₽</w:t>
            </w:r>
          </w:p>
        </w:tc>
        <w:tc>
          <w:tcPr>
            <w:tcW w:type="dxa" w:w="12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18 996 109 ₽</w:t>
            </w:r>
          </w:p>
        </w:tc>
        <w:tc>
          <w:tcPr>
            <w:tcW w:type="dxa" w:w="162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260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Покупка — Ronavi H1500</w:t>
            </w:r>
          </w:p>
        </w:tc>
        <w:tc>
          <w:tcPr>
            <w:tcW w:type="dxa" w:w="277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Объём паллет</w:t>
            </w:r>
          </w:p>
        </w:tc>
        <w:tc>
          <w:tcPr>
            <w:tcW w:type="dxa" w:w="31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1 520–2 280 паллет/сут (±20 %)</w:t>
            </w:r>
          </w:p>
        </w:tc>
        <w:tc>
          <w:tcPr>
            <w:tcW w:type="dxa" w:w="153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5 389 402 ₽</w:t>
            </w:r>
          </w:p>
        </w:tc>
        <w:tc>
          <w:tcPr>
            <w:tcW w:type="dxa" w:w="164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-13 606 707 ₽</w:t>
            </w:r>
          </w:p>
        </w:tc>
        <w:tc>
          <w:tcPr>
            <w:tcW w:type="dxa" w:w="12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18 996 109 ₽</w:t>
            </w:r>
          </w:p>
        </w:tc>
        <w:tc>
          <w:tcPr>
            <w:tcW w:type="dxa" w:w="162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260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Покупка — Ronavi H1500</w:t>
            </w:r>
          </w:p>
        </w:tc>
        <w:tc>
          <w:tcPr>
            <w:tcW w:type="dxa" w:w="277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Горизонт расчёта</w:t>
            </w:r>
          </w:p>
        </w:tc>
        <w:tc>
          <w:tcPr>
            <w:tcW w:type="dxa" w:w="31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3–10 лет (организатор)</w:t>
            </w:r>
          </w:p>
        </w:tc>
        <w:tc>
          <w:tcPr>
            <w:tcW w:type="dxa" w:w="153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-14 327 725 ₽</w:t>
            </w:r>
          </w:p>
        </w:tc>
        <w:tc>
          <w:tcPr>
            <w:tcW w:type="dxa" w:w="164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1 842 629 ₽</w:t>
            </w:r>
          </w:p>
        </w:tc>
        <w:tc>
          <w:tcPr>
            <w:tcW w:type="dxa" w:w="12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16 170 353 ₽</w:t>
            </w:r>
          </w:p>
        </w:tc>
        <w:tc>
          <w:tcPr>
            <w:tcW w:type="dxa" w:w="162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260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Покупка — Ronavi H1500</w:t>
            </w:r>
          </w:p>
        </w:tc>
        <w:tc>
          <w:tcPr>
            <w:tcW w:type="dxa" w:w="277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Цена робота</w:t>
            </w:r>
          </w:p>
        </w:tc>
        <w:tc>
          <w:tcPr>
            <w:tcW w:type="dxa" w:w="31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2 160 000–3 240 000 ₽ (±20 %)</w:t>
            </w:r>
          </w:p>
        </w:tc>
        <w:tc>
          <w:tcPr>
            <w:tcW w:type="dxa" w:w="153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3 445 216 ₽</w:t>
            </w:r>
          </w:p>
        </w:tc>
        <w:tc>
          <w:tcPr>
            <w:tcW w:type="dxa" w:w="164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-11 662 521 ₽</w:t>
            </w:r>
          </w:p>
        </w:tc>
        <w:tc>
          <w:tcPr>
            <w:tcW w:type="dxa" w:w="12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15 107 738 ₽</w:t>
            </w:r>
          </w:p>
        </w:tc>
        <w:tc>
          <w:tcPr>
            <w:tcW w:type="dxa" w:w="162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260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Покупка — Ronavi H1500</w:t>
            </w:r>
          </w:p>
        </w:tc>
        <w:tc>
          <w:tcPr>
            <w:tcW w:type="dxa" w:w="277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Ставка дисконтирования</w:t>
            </w:r>
          </w:p>
        </w:tc>
        <w:tc>
          <w:tcPr>
            <w:tcW w:type="dxa" w:w="31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8–20 % в год (норматив)</w:t>
            </w:r>
          </w:p>
        </w:tc>
        <w:tc>
          <w:tcPr>
            <w:tcW w:type="dxa" w:w="153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-499 997 ₽</w:t>
            </w:r>
          </w:p>
        </w:tc>
        <w:tc>
          <w:tcPr>
            <w:tcW w:type="dxa" w:w="164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-9 834 465 ₽</w:t>
            </w:r>
          </w:p>
        </w:tc>
        <w:tc>
          <w:tcPr>
            <w:tcW w:type="dxa" w:w="12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9 334 469 ₽</w:t>
            </w:r>
          </w:p>
        </w:tc>
        <w:tc>
          <w:tcPr>
            <w:tcW w:type="dxa" w:w="162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260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Покупка — Ronavi H1500</w:t>
            </w:r>
          </w:p>
        </w:tc>
        <w:tc>
          <w:tcPr>
            <w:tcW w:type="dxa" w:w="277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Коэффициент загрузки</w:t>
            </w:r>
          </w:p>
        </w:tc>
        <w:tc>
          <w:tcPr>
            <w:tcW w:type="dxa" w:w="31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70–85 % (норматив)</w:t>
            </w:r>
          </w:p>
        </w:tc>
        <w:tc>
          <w:tcPr>
            <w:tcW w:type="dxa" w:w="153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-8 763 894 ₽</w:t>
            </w:r>
          </w:p>
        </w:tc>
        <w:tc>
          <w:tcPr>
            <w:tcW w:type="dxa" w:w="164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562 220 ₽</w:t>
            </w:r>
          </w:p>
        </w:tc>
        <w:tc>
          <w:tcPr>
            <w:tcW w:type="dxa" w:w="12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9 326 113 ₽</w:t>
            </w:r>
          </w:p>
        </w:tc>
        <w:tc>
          <w:tcPr>
            <w:tcW w:type="dxa" w:w="162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260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Покупка — Ronavi H1500</w:t>
            </w:r>
          </w:p>
        </w:tc>
        <w:tc>
          <w:tcPr>
            <w:tcW w:type="dxa" w:w="277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Сервис, ₽/год за робота</w:t>
            </w:r>
          </w:p>
        </w:tc>
        <w:tc>
          <w:tcPr>
            <w:tcW w:type="dxa" w:w="31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240 000–360 000 ₽/год (±20 %)</w:t>
            </w:r>
          </w:p>
        </w:tc>
        <w:tc>
          <w:tcPr>
            <w:tcW w:type="dxa" w:w="153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-1 729 500 ₽</w:t>
            </w:r>
          </w:p>
        </w:tc>
        <w:tc>
          <w:tcPr>
            <w:tcW w:type="dxa" w:w="164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-6 487 805 ₽</w:t>
            </w:r>
          </w:p>
        </w:tc>
        <w:tc>
          <w:tcPr>
            <w:tcW w:type="dxa" w:w="12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4 758 305 ₽</w:t>
            </w:r>
          </w:p>
        </w:tc>
        <w:tc>
          <w:tcPr>
            <w:tcW w:type="dxa" w:w="162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260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Услуга (RaaS) — Ronavi H1500</w:t>
            </w:r>
          </w:p>
        </w:tc>
        <w:tc>
          <w:tcPr>
            <w:tcW w:type="dxa" w:w="277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Доля автоматизируемого труда</w:t>
            </w:r>
          </w:p>
        </w:tc>
        <w:tc>
          <w:tcPr>
            <w:tcW w:type="dxa" w:w="31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30–70 % (норматив)</w:t>
            </w:r>
          </w:p>
        </w:tc>
        <w:tc>
          <w:tcPr>
            <w:tcW w:type="dxa" w:w="153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-29 839 576 ₽</w:t>
            </w:r>
          </w:p>
        </w:tc>
        <w:tc>
          <w:tcPr>
            <w:tcW w:type="dxa" w:w="164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34 366 391 ₽</w:t>
            </w:r>
          </w:p>
        </w:tc>
        <w:tc>
          <w:tcPr>
            <w:tcW w:type="dxa" w:w="12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64 205 967 ₽</w:t>
            </w:r>
          </w:p>
        </w:tc>
        <w:tc>
          <w:tcPr>
            <w:tcW w:type="dxa" w:w="162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260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Услуга (RaaS) — Ronavi H1500</w:t>
            </w:r>
          </w:p>
        </w:tc>
        <w:tc>
          <w:tcPr>
            <w:tcW w:type="dxa" w:w="277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Пиковый коэффициент</w:t>
            </w:r>
          </w:p>
        </w:tc>
        <w:tc>
          <w:tcPr>
            <w:tcW w:type="dxa" w:w="31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1,2–2,5 коэф. (организатор)</w:t>
            </w:r>
          </w:p>
        </w:tc>
        <w:tc>
          <w:tcPr>
            <w:tcW w:type="dxa" w:w="153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11 162 906 ₽</w:t>
            </w:r>
          </w:p>
        </w:tc>
        <w:tc>
          <w:tcPr>
            <w:tcW w:type="dxa" w:w="164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-28 884 836 ₽</w:t>
            </w:r>
          </w:p>
        </w:tc>
        <w:tc>
          <w:tcPr>
            <w:tcW w:type="dxa" w:w="12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40 047 742 ₽</w:t>
            </w:r>
          </w:p>
        </w:tc>
        <w:tc>
          <w:tcPr>
            <w:tcW w:type="dxa" w:w="162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260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Услуга (RaaS) — Ronavi H1500</w:t>
            </w:r>
          </w:p>
        </w:tc>
        <w:tc>
          <w:tcPr>
            <w:tcW w:type="dxa" w:w="277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Зарплата оператора погрузчика</w:t>
            </w:r>
          </w:p>
        </w:tc>
        <w:tc>
          <w:tcPr>
            <w:tcW w:type="dxa" w:w="31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80 000–170 000 ₽/мес (организатор)</w:t>
            </w:r>
          </w:p>
        </w:tc>
        <w:tc>
          <w:tcPr>
            <w:tcW w:type="dxa" w:w="153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-15 320 142 ₽</w:t>
            </w:r>
          </w:p>
        </w:tc>
        <w:tc>
          <w:tcPr>
            <w:tcW w:type="dxa" w:w="164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24 242 844 ₽</w:t>
            </w:r>
          </w:p>
        </w:tc>
        <w:tc>
          <w:tcPr>
            <w:tcW w:type="dxa" w:w="12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39 562 985 ₽</w:t>
            </w:r>
          </w:p>
        </w:tc>
        <w:tc>
          <w:tcPr>
            <w:tcW w:type="dxa" w:w="162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260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Услуга (RaaS) — Ronavi H1500</w:t>
            </w:r>
          </w:p>
        </w:tc>
        <w:tc>
          <w:tcPr>
            <w:tcW w:type="dxa" w:w="277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Ставка RaaS</w:t>
            </w:r>
          </w:p>
        </w:tc>
        <w:tc>
          <w:tcPr>
            <w:tcW w:type="dxa" w:w="31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80 000–120 000 ₽/мес (±20 %)</w:t>
            </w:r>
          </w:p>
        </w:tc>
        <w:tc>
          <w:tcPr>
            <w:tcW w:type="dxa" w:w="153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11 780 017 ₽</w:t>
            </w:r>
          </w:p>
        </w:tc>
        <w:tc>
          <w:tcPr>
            <w:tcW w:type="dxa" w:w="164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-7 253 202 ₽</w:t>
            </w:r>
          </w:p>
        </w:tc>
        <w:tc>
          <w:tcPr>
            <w:tcW w:type="dxa" w:w="12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19 033 218 ₽</w:t>
            </w:r>
          </w:p>
        </w:tc>
        <w:tc>
          <w:tcPr>
            <w:tcW w:type="dxa" w:w="162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260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Услуга (RaaS) — Ronavi H1500</w:t>
            </w:r>
          </w:p>
        </w:tc>
        <w:tc>
          <w:tcPr>
            <w:tcW w:type="dxa" w:w="277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Производительность робота</w:t>
            </w:r>
          </w:p>
        </w:tc>
        <w:tc>
          <w:tcPr>
            <w:tcW w:type="dxa" w:w="31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15,38–23,07 паллет/ч (±20 %)</w:t>
            </w:r>
          </w:p>
        </w:tc>
        <w:tc>
          <w:tcPr>
            <w:tcW w:type="dxa" w:w="153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-6 636 091 ₽</w:t>
            </w:r>
          </w:p>
        </w:tc>
        <w:tc>
          <w:tcPr>
            <w:tcW w:type="dxa" w:w="164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11 162 906 ₽</w:t>
            </w:r>
          </w:p>
        </w:tc>
        <w:tc>
          <w:tcPr>
            <w:tcW w:type="dxa" w:w="12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17 798 996 ₽</w:t>
            </w:r>
          </w:p>
        </w:tc>
        <w:tc>
          <w:tcPr>
            <w:tcW w:type="dxa" w:w="162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260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Услуга (RaaS) — Ronavi H1500</w:t>
            </w:r>
          </w:p>
        </w:tc>
        <w:tc>
          <w:tcPr>
            <w:tcW w:type="dxa" w:w="277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Объём паллет</w:t>
            </w:r>
          </w:p>
        </w:tc>
        <w:tc>
          <w:tcPr>
            <w:tcW w:type="dxa" w:w="31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1 520–2 280 паллет/сут (±20 %)</w:t>
            </w:r>
          </w:p>
        </w:tc>
        <w:tc>
          <w:tcPr>
            <w:tcW w:type="dxa" w:w="153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11 162 906 ₽</w:t>
            </w:r>
          </w:p>
        </w:tc>
        <w:tc>
          <w:tcPr>
            <w:tcW w:type="dxa" w:w="164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-6 636 091 ₽</w:t>
            </w:r>
          </w:p>
        </w:tc>
        <w:tc>
          <w:tcPr>
            <w:tcW w:type="dxa" w:w="12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17 798 996 ₽</w:t>
            </w:r>
          </w:p>
        </w:tc>
        <w:tc>
          <w:tcPr>
            <w:tcW w:type="dxa" w:w="162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260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Услуга (RaaS) — Ronavi H1500</w:t>
            </w:r>
          </w:p>
        </w:tc>
        <w:tc>
          <w:tcPr>
            <w:tcW w:type="dxa" w:w="277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Коэффициент загрузки</w:t>
            </w:r>
          </w:p>
        </w:tc>
        <w:tc>
          <w:tcPr>
            <w:tcW w:type="dxa" w:w="31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70–85 % (норматив)</w:t>
            </w:r>
          </w:p>
        </w:tc>
        <w:tc>
          <w:tcPr>
            <w:tcW w:type="dxa" w:w="153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-2 092 555 ₽</w:t>
            </w:r>
          </w:p>
        </w:tc>
        <w:tc>
          <w:tcPr>
            <w:tcW w:type="dxa" w:w="164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6 635 001 ₽</w:t>
            </w:r>
          </w:p>
        </w:tc>
        <w:tc>
          <w:tcPr>
            <w:tcW w:type="dxa" w:w="12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8 727 557 ₽</w:t>
            </w:r>
          </w:p>
        </w:tc>
        <w:tc>
          <w:tcPr>
            <w:tcW w:type="dxa" w:w="162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260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Услуга (RaaS) — Ronavi H1500</w:t>
            </w:r>
          </w:p>
        </w:tc>
        <w:tc>
          <w:tcPr>
            <w:tcW w:type="dxa" w:w="277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Горизонт расчёта</w:t>
            </w:r>
          </w:p>
        </w:tc>
        <w:tc>
          <w:tcPr>
            <w:tcW w:type="dxa" w:w="31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3–10 лет (организатор)</w:t>
            </w:r>
          </w:p>
        </w:tc>
        <w:tc>
          <w:tcPr>
            <w:tcW w:type="dxa" w:w="153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994 178 ₽</w:t>
            </w:r>
          </w:p>
        </w:tc>
        <w:tc>
          <w:tcPr>
            <w:tcW w:type="dxa" w:w="164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4 421 563 ₽</w:t>
            </w:r>
          </w:p>
        </w:tc>
        <w:tc>
          <w:tcPr>
            <w:tcW w:type="dxa" w:w="12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3 427 385 ₽</w:t>
            </w:r>
          </w:p>
        </w:tc>
        <w:tc>
          <w:tcPr>
            <w:tcW w:type="dxa" w:w="162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260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Услуга (RaaS) — Ronavi H1500</w:t>
            </w:r>
          </w:p>
        </w:tc>
        <w:tc>
          <w:tcPr>
            <w:tcW w:type="dxa" w:w="277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Ставка дисконтирования</w:t>
            </w:r>
          </w:p>
        </w:tc>
        <w:tc>
          <w:tcPr>
            <w:tcW w:type="dxa" w:w="31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8–20 % в год (норматив)</w:t>
            </w:r>
          </w:p>
        </w:tc>
        <w:tc>
          <w:tcPr>
            <w:tcW w:type="dxa" w:w="153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2 672 717 ₽</w:t>
            </w:r>
          </w:p>
        </w:tc>
        <w:tc>
          <w:tcPr>
            <w:tcW w:type="dxa" w:w="164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1 615 402 ₽</w:t>
            </w:r>
          </w:p>
        </w:tc>
        <w:tc>
          <w:tcPr>
            <w:tcW w:type="dxa" w:w="12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1 057 316 ₽</w:t>
            </w:r>
          </w:p>
        </w:tc>
        <w:tc>
          <w:tcPr>
            <w:tcW w:type="dxa" w:w="162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260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Покупка — AMR 1500</w:t>
            </w:r>
          </w:p>
        </w:tc>
        <w:tc>
          <w:tcPr>
            <w:tcW w:type="dxa" w:w="277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Доля автоматизируемого труда</w:t>
            </w:r>
          </w:p>
        </w:tc>
        <w:tc>
          <w:tcPr>
            <w:tcW w:type="dxa" w:w="31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30–70 % (норматив)</w:t>
            </w:r>
          </w:p>
        </w:tc>
        <w:tc>
          <w:tcPr>
            <w:tcW w:type="dxa" w:w="153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-28 119 821 ₽</w:t>
            </w:r>
          </w:p>
        </w:tc>
        <w:tc>
          <w:tcPr>
            <w:tcW w:type="dxa" w:w="164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36 086 145 ₽</w:t>
            </w:r>
          </w:p>
        </w:tc>
        <w:tc>
          <w:tcPr>
            <w:tcW w:type="dxa" w:w="12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64 205 967 ₽</w:t>
            </w:r>
          </w:p>
        </w:tc>
        <w:tc>
          <w:tcPr>
            <w:tcW w:type="dxa" w:w="162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260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Покупка — AMR 1500</w:t>
            </w:r>
          </w:p>
        </w:tc>
        <w:tc>
          <w:tcPr>
            <w:tcW w:type="dxa" w:w="277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Зарплата оператора погрузчика</w:t>
            </w:r>
          </w:p>
        </w:tc>
        <w:tc>
          <w:tcPr>
            <w:tcW w:type="dxa" w:w="31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80 000–170 000 ₽/мес (организатор)</w:t>
            </w:r>
          </w:p>
        </w:tc>
        <w:tc>
          <w:tcPr>
            <w:tcW w:type="dxa" w:w="153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-13 600 387 ₽</w:t>
            </w:r>
          </w:p>
        </w:tc>
        <w:tc>
          <w:tcPr>
            <w:tcW w:type="dxa" w:w="164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25 962 598 ₽</w:t>
            </w:r>
          </w:p>
        </w:tc>
        <w:tc>
          <w:tcPr>
            <w:tcW w:type="dxa" w:w="12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39 562 985 ₽</w:t>
            </w:r>
          </w:p>
        </w:tc>
        <w:tc>
          <w:tcPr>
            <w:tcW w:type="dxa" w:w="162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260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Покупка — AMR 1500</w:t>
            </w:r>
          </w:p>
        </w:tc>
        <w:tc>
          <w:tcPr>
            <w:tcW w:type="dxa" w:w="277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Пиковый коэффициент</w:t>
            </w:r>
          </w:p>
        </w:tc>
        <w:tc>
          <w:tcPr>
            <w:tcW w:type="dxa" w:w="31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1,2–2,5 коэф. (организатор)</w:t>
            </w:r>
          </w:p>
        </w:tc>
        <w:tc>
          <w:tcPr>
            <w:tcW w:type="dxa" w:w="153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11 949 977 ₽</w:t>
            </w:r>
          </w:p>
        </w:tc>
        <w:tc>
          <w:tcPr>
            <w:tcW w:type="dxa" w:w="164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-24 560 692 ₽</w:t>
            </w:r>
          </w:p>
        </w:tc>
        <w:tc>
          <w:tcPr>
            <w:tcW w:type="dxa" w:w="12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36 510 670 ₽</w:t>
            </w:r>
          </w:p>
        </w:tc>
        <w:tc>
          <w:tcPr>
            <w:tcW w:type="dxa" w:w="162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260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Покупка — AMR 1500</w:t>
            </w:r>
          </w:p>
        </w:tc>
        <w:tc>
          <w:tcPr>
            <w:tcW w:type="dxa" w:w="277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Горизонт расчёта</w:t>
            </w:r>
          </w:p>
        </w:tc>
        <w:tc>
          <w:tcPr>
            <w:tcW w:type="dxa" w:w="31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3–10 лет (организатор)</w:t>
            </w:r>
          </w:p>
        </w:tc>
        <w:tc>
          <w:tcPr>
            <w:tcW w:type="dxa" w:w="153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-7 260 297 ₽</w:t>
            </w:r>
          </w:p>
        </w:tc>
        <w:tc>
          <w:tcPr>
            <w:tcW w:type="dxa" w:w="164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13 791 995 ₽</w:t>
            </w:r>
          </w:p>
        </w:tc>
        <w:tc>
          <w:tcPr>
            <w:tcW w:type="dxa" w:w="12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21 052 292 ₽</w:t>
            </w:r>
          </w:p>
        </w:tc>
        <w:tc>
          <w:tcPr>
            <w:tcW w:type="dxa" w:w="162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260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Покупка — AMR 1500</w:t>
            </w:r>
          </w:p>
        </w:tc>
        <w:tc>
          <w:tcPr>
            <w:tcW w:type="dxa" w:w="277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Цена робота</w:t>
            </w:r>
          </w:p>
        </w:tc>
        <w:tc>
          <w:tcPr>
            <w:tcW w:type="dxa" w:w="31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1 760 000–2 640 000 ₽ (±20 %)</w:t>
            </w:r>
          </w:p>
        </w:tc>
        <w:tc>
          <w:tcPr>
            <w:tcW w:type="dxa" w:w="153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12 231 820 ₽</w:t>
            </w:r>
          </w:p>
        </w:tc>
        <w:tc>
          <w:tcPr>
            <w:tcW w:type="dxa" w:w="164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-4 265 496 ₽</w:t>
            </w:r>
          </w:p>
        </w:tc>
        <w:tc>
          <w:tcPr>
            <w:tcW w:type="dxa" w:w="12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16 497 317 ₽</w:t>
            </w:r>
          </w:p>
        </w:tc>
        <w:tc>
          <w:tcPr>
            <w:tcW w:type="dxa" w:w="162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260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Покупка — AMR 1500</w:t>
            </w:r>
          </w:p>
        </w:tc>
        <w:tc>
          <w:tcPr>
            <w:tcW w:type="dxa" w:w="277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Производительность робота</w:t>
            </w:r>
          </w:p>
        </w:tc>
        <w:tc>
          <w:tcPr>
            <w:tcW w:type="dxa" w:w="31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15,38–23,07 паллет/ч (±20 %)</w:t>
            </w:r>
          </w:p>
        </w:tc>
        <w:tc>
          <w:tcPr>
            <w:tcW w:type="dxa" w:w="153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-4 313 654 ₽</w:t>
            </w:r>
          </w:p>
        </w:tc>
        <w:tc>
          <w:tcPr>
            <w:tcW w:type="dxa" w:w="164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11 949 977 ₽</w:t>
            </w:r>
          </w:p>
        </w:tc>
        <w:tc>
          <w:tcPr>
            <w:tcW w:type="dxa" w:w="12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16 263 631 ₽</w:t>
            </w:r>
          </w:p>
        </w:tc>
        <w:tc>
          <w:tcPr>
            <w:tcW w:type="dxa" w:w="162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260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Покупка — AMR 1500</w:t>
            </w:r>
          </w:p>
        </w:tc>
        <w:tc>
          <w:tcPr>
            <w:tcW w:type="dxa" w:w="277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Объём паллет</w:t>
            </w:r>
          </w:p>
        </w:tc>
        <w:tc>
          <w:tcPr>
            <w:tcW w:type="dxa" w:w="31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1 520–2 280 паллет/сут (±20 %)</w:t>
            </w:r>
          </w:p>
        </w:tc>
        <w:tc>
          <w:tcPr>
            <w:tcW w:type="dxa" w:w="153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11 949 977 ₽</w:t>
            </w:r>
          </w:p>
        </w:tc>
        <w:tc>
          <w:tcPr>
            <w:tcW w:type="dxa" w:w="164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-4 313 654 ₽</w:t>
            </w:r>
          </w:p>
        </w:tc>
        <w:tc>
          <w:tcPr>
            <w:tcW w:type="dxa" w:w="12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16 263 631 ₽</w:t>
            </w:r>
          </w:p>
        </w:tc>
        <w:tc>
          <w:tcPr>
            <w:tcW w:type="dxa" w:w="162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260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Покупка — AMR 1500</w:t>
            </w:r>
          </w:p>
        </w:tc>
        <w:tc>
          <w:tcPr>
            <w:tcW w:type="dxa" w:w="277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Сервис, % цены</w:t>
            </w:r>
          </w:p>
        </w:tc>
        <w:tc>
          <w:tcPr>
            <w:tcW w:type="dxa" w:w="31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10–24 % в год (норматив)</w:t>
            </w:r>
          </w:p>
        </w:tc>
        <w:tc>
          <w:tcPr>
            <w:tcW w:type="dxa" w:w="153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5 727 874 ₽</w:t>
            </w:r>
          </w:p>
        </w:tc>
        <w:tc>
          <w:tcPr>
            <w:tcW w:type="dxa" w:w="164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-6 485 108 ₽</w:t>
            </w:r>
          </w:p>
        </w:tc>
        <w:tc>
          <w:tcPr>
            <w:tcW w:type="dxa" w:w="12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12 212 982 ₽</w:t>
            </w:r>
          </w:p>
        </w:tc>
        <w:tc>
          <w:tcPr>
            <w:tcW w:type="dxa" w:w="162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260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Покупка — AMR 1500</w:t>
            </w:r>
          </w:p>
        </w:tc>
        <w:tc>
          <w:tcPr>
            <w:tcW w:type="dxa" w:w="277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Ставка дисконтирования</w:t>
            </w:r>
          </w:p>
        </w:tc>
        <w:tc>
          <w:tcPr>
            <w:tcW w:type="dxa" w:w="31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8–20 % в год (норматив)</w:t>
            </w:r>
          </w:p>
        </w:tc>
        <w:tc>
          <w:tcPr>
            <w:tcW w:type="dxa" w:w="153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7 864 180 ₽</w:t>
            </w:r>
          </w:p>
        </w:tc>
        <w:tc>
          <w:tcPr>
            <w:tcW w:type="dxa" w:w="164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-2 171 493 ₽</w:t>
            </w:r>
          </w:p>
        </w:tc>
        <w:tc>
          <w:tcPr>
            <w:tcW w:type="dxa" w:w="12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10 035 673 ₽</w:t>
            </w:r>
          </w:p>
        </w:tc>
        <w:tc>
          <w:tcPr>
            <w:tcW w:type="dxa" w:w="162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260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Покупка — AMR 1500</w:t>
            </w:r>
          </w:p>
        </w:tc>
        <w:tc>
          <w:tcPr>
            <w:tcW w:type="dxa" w:w="277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Коэффициент загрузки</w:t>
            </w:r>
          </w:p>
        </w:tc>
        <w:tc>
          <w:tcPr>
            <w:tcW w:type="dxa" w:w="314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70–85 % (норматив)</w:t>
            </w:r>
          </w:p>
        </w:tc>
        <w:tc>
          <w:tcPr>
            <w:tcW w:type="dxa" w:w="153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-236 460 ₽</w:t>
            </w:r>
          </w:p>
        </w:tc>
        <w:tc>
          <w:tcPr>
            <w:tcW w:type="dxa" w:w="164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7 888 415 ₽</w:t>
            </w:r>
          </w:p>
        </w:tc>
        <w:tc>
          <w:tcPr>
            <w:tcW w:type="dxa" w:w="125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8 124 874 ₽</w:t>
            </w:r>
          </w:p>
        </w:tc>
        <w:tc>
          <w:tcPr>
            <w:tcW w:type="dxa" w:w="162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да</w:t>
            </w:r>
          </w:p>
        </w:tc>
      </w:tr>
    </w:tbl>
    <w:p>
      <w:pPr>
        <w:spacing w:after="60"/>
      </w:pPr>
    </w:p>
    <w:p>
      <w:pPr>
        <w:pStyle w:val="Heading3"/>
        <w:keepNext/>
        <w:outlineLvl w:val="2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Порог по зарплате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Зарплата роли процесса, при которой NPV покупки равен нулю (NPV линеен по зарплате, порог считает движок по двум расчётам). Вывод проекта называет порог только у покупки с лучшим NPV; здесь — у каждой покупки.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73"/>
        <w:gridCol w:w="4859"/>
        <w:gridCol w:w="2525"/>
        <w:gridCol w:w="1630"/>
        <w:gridCol w:w="2783"/>
      </w:tblGrid>
      <w:tr>
        <w:trPr>
          <w:cantSplit/>
          <w:tblHeader/>
        </w:trPr>
        <w:tc>
          <w:tcPr>
            <w:tcW w:type="dxa" w:w="277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7"/>
                <w:szCs w:val="17"/>
              </w:rPr>
              <w:t xml:space="preserve">Сценарий</w:t>
            </w:r>
          </w:p>
        </w:tc>
        <w:tc>
          <w:tcPr>
            <w:tcW w:type="dxa" w:w="485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7"/>
                <w:szCs w:val="17"/>
              </w:rPr>
              <w:t xml:space="preserve">Параметр зарплаты</w:t>
            </w:r>
          </w:p>
        </w:tc>
        <w:tc>
          <w:tcPr>
            <w:tcW w:type="dxa" w:w="252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7"/>
                <w:szCs w:val="17"/>
              </w:rPr>
              <w:t xml:space="preserve">Зарплата в расчёте</w:t>
            </w:r>
          </w:p>
        </w:tc>
        <w:tc>
          <w:tcPr>
            <w:tcW w:type="dxa" w:w="163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7"/>
                <w:szCs w:val="17"/>
              </w:rPr>
              <w:t xml:space="preserve">NPV при ней</w:t>
            </w:r>
          </w:p>
        </w:tc>
        <w:tc>
          <w:tcPr>
            <w:tcW w:type="dxa" w:w="278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7"/>
                <w:szCs w:val="17"/>
              </w:rPr>
              <w:t xml:space="preserve">NPV = 0 при зарплате</w:t>
            </w:r>
          </w:p>
        </w:tc>
      </w:tr>
      <w:tr>
        <w:trPr>
          <w:cantSplit/>
        </w:trPr>
        <w:tc>
          <w:tcPr>
            <w:tcW w:type="dxa" w:w="277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Покупка — Ronavi H1500</w:t>
            </w:r>
          </w:p>
        </w:tc>
        <w:tc>
          <w:tcPr>
            <w:tcW w:type="dxa" w:w="485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Средняя з/п оператора погрузчика (gross)</w:t>
            </w:r>
          </w:p>
        </w:tc>
        <w:tc>
          <w:tcPr>
            <w:tcW w:type="dxa" w:w="252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120 000 ₽/мес</w:t>
            </w:r>
          </w:p>
        </w:tc>
        <w:tc>
          <w:tcPr>
            <w:tcW w:type="dxa" w:w="163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-4 108 652 ₽</w:t>
            </w:r>
          </w:p>
        </w:tc>
        <w:tc>
          <w:tcPr>
            <w:tcW w:type="dxa" w:w="278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129 347 ₽/мес</w:t>
            </w:r>
          </w:p>
        </w:tc>
      </w:tr>
      <w:tr>
        <w:trPr>
          <w:cantSplit/>
        </w:trPr>
        <w:tc>
          <w:tcPr>
            <w:tcW w:type="dxa" w:w="277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Покупка — AMR 1500</w:t>
            </w:r>
          </w:p>
        </w:tc>
        <w:tc>
          <w:tcPr>
            <w:tcW w:type="dxa" w:w="485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Средняя з/п оператора погрузчика (gross)</w:t>
            </w:r>
          </w:p>
        </w:tc>
        <w:tc>
          <w:tcPr>
            <w:tcW w:type="dxa" w:w="2525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120 000 ₽/мес</w:t>
            </w:r>
          </w:p>
        </w:tc>
        <w:tc>
          <w:tcPr>
            <w:tcW w:type="dxa" w:w="163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3 983 162 ₽</w:t>
            </w:r>
          </w:p>
        </w:tc>
        <w:tc>
          <w:tcPr>
            <w:tcW w:type="dxa" w:w="278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110 939 ₽/мес</w:t>
            </w:r>
          </w:p>
        </w:tc>
      </w:tr>
    </w:tbl>
    <w:p>
      <w:pPr>
        <w:spacing w:after="60"/>
      </w:pPr>
    </w:p>
    <w:p>
      <w:pPr>
        <w:pStyle w:val="Heading3"/>
        <w:keepNext/>
        <w:outlineLvl w:val="2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Вывод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Рекомендуемый сценарий: Покупка — AMR 1500. NPV 3 983 162 ₽ за 5 лет, окупаемость 3,3 года — средняя окупаемость (3–5 лет).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Риск (средний): Цена «AMR 1500 (грузоподъемность до 1 500 кг)» 2 200 000 ₽ не подтверждена производителем — уточните её по коммерческому предложению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Риск (средний): «AMR 1500 (грузоподъемность до 1 500 кг)» в пилотной эксплуатации — серийных внедрений мало, характеристики могут измениться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Риск (средний): NPV меняет знак в пределах диапазона «Доля автоматизируемого труда» 30–70 %: от -28,1 млн ₽ до 36,1 млн 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Сильнейший рычаг — «Доля автоматизируемого труда»: при 30–70 % NPV от -28,1 млн ₽ до 36,1 млн 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При горизонте ≤ 4 лет выгоднее «Услуга (RaaS) — Ronavi H1500»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Покупка окупается (NPV ≥ 0) при зарплате от 110 939 ₽/мес</w:t>
      </w:r>
    </w:p>
    <w:p>
      <w:pPr>
        <w:pBdr>
          <w:left w:val="single" w:color="9DB0E0" w:sz="18" w:space="10"/>
        </w:pBdr>
        <w:ind w:left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374151"/>
        </w:rPr>
        <w:t xml:space="preserve">Результат является предварительной оценкой и требует верификации при обследовании объекта.</w:t>
      </w:r>
    </w:p>
    <w:p>
      <w:pPr>
        <w:pStyle w:val="Heading2"/>
        <w:keepNext/>
        <w:outlineLvl w:val="1"/>
      </w:pPr>
      <w:bookmarkStart w:name="toc95" w:id="1"/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Каталог</w:t>
      </w:r>
      <w:bookmarkEnd w:id="1"/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Счётчики из БД текущего выпуска данных. Продукты без архивных — как «всего в каталоге» на странице /catalog. «Только идентификация» — поля каталога организатора, в расчёт не идут; в подбор склада идут продукты с характеристиками, привязанные к процессам склада.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200"/>
        <w:gridCol w:w="2370"/>
      </w:tblGrid>
      <w:tr>
        <w:trPr>
          <w:cantSplit/>
          <w:tblHeader/>
        </w:trPr>
        <w:tc>
          <w:tcPr>
            <w:tcW w:type="dxa" w:w="1220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Показатель</w:t>
            </w:r>
          </w:p>
        </w:tc>
        <w:tc>
          <w:tcPr>
            <w:tcW w:type="dxa" w:w="237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8"/>
                <w:szCs w:val="18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1220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Выпуск данных</w:t>
            </w:r>
          </w:p>
        </w:tc>
        <w:tc>
          <w:tcPr>
            <w:tcW w:type="dxa" w:w="237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72eb7f93</w:t>
            </w:r>
          </w:p>
        </w:tc>
      </w:tr>
      <w:tr>
        <w:trPr>
          <w:cantSplit/>
        </w:trPr>
        <w:tc>
          <w:tcPr>
            <w:tcW w:type="dxa" w:w="1220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Продуктов в каталоге (без архивных)</w:t>
            </w:r>
          </w:p>
        </w:tc>
        <w:tc>
          <w:tcPr>
            <w:tcW w:type="dxa" w:w="237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188</w:t>
            </w:r>
          </w:p>
        </w:tc>
      </w:tr>
      <w:tr>
        <w:trPr>
          <w:cantSplit/>
        </w:trPr>
        <w:tc>
          <w:tcPr>
            <w:tcW w:type="dxa" w:w="1220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— только идентификация</w:t>
            </w:r>
          </w:p>
        </w:tc>
        <w:tc>
          <w:tcPr>
            <w:tcW w:type="dxa" w:w="237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130</w:t>
            </w:r>
          </w:p>
        </w:tc>
      </w:tr>
      <w:tr>
        <w:trPr>
          <w:cantSplit/>
        </w:trPr>
        <w:tc>
          <w:tcPr>
            <w:tcW w:type="dxa" w:w="1220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— характеристики с источниками</w:t>
            </w:r>
          </w:p>
        </w:tc>
        <w:tc>
          <w:tcPr>
            <w:tcW w:type="dxa" w:w="237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57</w:t>
            </w:r>
          </w:p>
        </w:tc>
      </w:tr>
      <w:tr>
        <w:trPr>
          <w:cantSplit/>
        </w:trPr>
        <w:tc>
          <w:tcPr>
            <w:tcW w:type="dxa" w:w="1220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— из «Примеров решений» организатора</w:t>
            </w:r>
          </w:p>
        </w:tc>
        <w:tc>
          <w:tcPr>
            <w:tcW w:type="dxa" w:w="237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220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С id каталога организатора</w:t>
            </w:r>
          </w:p>
        </w:tc>
        <w:tc>
          <w:tcPr>
            <w:tcW w:type="dxa" w:w="237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187</w:t>
            </w:r>
          </w:p>
        </w:tc>
      </w:tr>
      <w:tr>
        <w:trPr>
          <w:cantSplit/>
        </w:trPr>
        <w:tc>
          <w:tcPr>
            <w:tcW w:type="dxa" w:w="1220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Добавлено администратором</w:t>
            </w:r>
          </w:p>
        </w:tc>
        <w:tc>
          <w:tcPr>
            <w:tcW w:type="dxa" w:w="237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220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В архиве (нет в текущих данных организатора)</w:t>
            </w:r>
          </w:p>
        </w:tc>
        <w:tc>
          <w:tcPr>
            <w:tcW w:type="dxa" w:w="237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220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Продуктов в подборе и расчёте склада</w:t>
            </w:r>
          </w:p>
        </w:tc>
        <w:tc>
          <w:tcPr>
            <w:tcW w:type="dxa" w:w="237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35</w:t>
            </w:r>
          </w:p>
        </w:tc>
      </w:tr>
      <w:tr>
        <w:trPr>
          <w:cantSplit/>
        </w:trPr>
        <w:tc>
          <w:tcPr>
            <w:tcW w:type="dxa" w:w="1220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Характеристик с источником (у продуктов без архивных)</w:t>
            </w:r>
          </w:p>
        </w:tc>
        <w:tc>
          <w:tcPr>
            <w:tcW w:type="dxa" w:w="237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2 615</w:t>
            </w:r>
          </w:p>
        </w:tc>
      </w:tr>
      <w:tr>
        <w:trPr>
          <w:cantSplit/>
        </w:trPr>
        <w:tc>
          <w:tcPr>
            <w:tcW w:type="dxa" w:w="1220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— происхождение «Организатор»</w:t>
            </w:r>
          </w:p>
        </w:tc>
        <w:tc>
          <w:tcPr>
            <w:tcW w:type="dxa" w:w="237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1 202</w:t>
            </w:r>
          </w:p>
        </w:tc>
      </w:tr>
      <w:tr>
        <w:trPr>
          <w:cantSplit/>
        </w:trPr>
        <w:tc>
          <w:tcPr>
            <w:tcW w:type="dxa" w:w="1220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— происхождение «Расчёт»</w:t>
            </w:r>
          </w:p>
        </w:tc>
        <w:tc>
          <w:tcPr>
            <w:tcW w:type="dxa" w:w="237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699</w:t>
            </w:r>
          </w:p>
        </w:tc>
      </w:tr>
      <w:tr>
        <w:trPr>
          <w:cantSplit/>
        </w:trPr>
        <w:tc>
          <w:tcPr>
            <w:tcW w:type="dxa" w:w="1220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— происхождение «Открытый источник»</w:t>
            </w:r>
          </w:p>
        </w:tc>
        <w:tc>
          <w:tcPr>
            <w:tcW w:type="dxa" w:w="237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614</w:t>
            </w:r>
          </w:p>
        </w:tc>
      </w:tr>
      <w:tr>
        <w:trPr>
          <w:cantSplit/>
        </w:trPr>
        <w:tc>
          <w:tcPr>
            <w:tcW w:type="dxa" w:w="1220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— происхождение «Наш выбор»</w:t>
            </w:r>
          </w:p>
        </w:tc>
        <w:tc>
          <w:tcPr>
            <w:tcW w:type="dxa" w:w="237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99</w:t>
            </w:r>
          </w:p>
        </w:tc>
      </w:tr>
      <w:tr>
        <w:trPr>
          <w:cantSplit/>
        </w:trPr>
        <w:tc>
          <w:tcPr>
            <w:tcW w:type="dxa" w:w="1220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— происхождение «Оценка»</w:t>
            </w:r>
          </w:p>
        </w:tc>
        <w:tc>
          <w:tcPr>
            <w:tcW w:type="dxa" w:w="237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220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— подтверждены первоисточником</w:t>
            </w:r>
          </w:p>
        </w:tc>
        <w:tc>
          <w:tcPr>
            <w:tcW w:type="dxa" w:w="237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8"/>
                <w:szCs w:val="18"/>
              </w:rPr>
              <w:t xml:space="preserve">170</w:t>
            </w:r>
          </w:p>
        </w:tc>
      </w:tr>
    </w:tbl>
    <w:p>
      <w:pPr>
        <w:spacing w:after="60"/>
      </w:pPr>
    </w:p>
    <w:p>
      <w:pPr>
        <w:pStyle w:val="Heading2"/>
        <w:keepNext/>
        <w:outlineLvl w:val="1"/>
      </w:pPr>
      <w:bookmarkStart w:name="toc96" w:id="1"/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Дополнительный пример: DMR Carrier P из «Примеров решений» организатора (не путь жюри)</w:t>
      </w:r>
      <w:bookmarkEnd w:id="1"/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Те же параметры объекта, но вторая покупка — DMR Carrier P из «Примеров решений» организатора (продукт с паспортной нормой организатора) вместо кандидата подбора. Набор задан этим скриптом, а не подбором, и в путь жюри не входит: новый проект, засеянный проект и /demo показывают сценарии раздела «Путь жюри (ТЗ §5.4): новый проект на демо-данных склада». Сценарии: «Как есть», «Покупка — Ronavi H1500», «Услуга (RaaS) — Ronavi H1500», «Покупка — DMR Carrier P». Числа сценариев с теми же решениями совпадают с путём жюри; вывод другой, потому что сравниваются другие варианты. Версия данных расчёта 15c17f35.</w:t>
      </w:r>
    </w:p>
    <w:p>
      <w:pPr>
        <w:pStyle w:val="Heading3"/>
        <w:keepNext/>
        <w:outlineLvl w:val="2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Сценарии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7"/>
        <w:gridCol w:w="2211"/>
        <w:gridCol w:w="3259"/>
        <w:gridCol w:w="3333"/>
        <w:gridCol w:w="3260"/>
      </w:tblGrid>
      <w:tr>
        <w:trPr>
          <w:cantSplit/>
          <w:tblHeader/>
        </w:trPr>
        <w:tc>
          <w:tcPr>
            <w:tcW w:type="dxa" w:w="250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7"/>
                <w:szCs w:val="17"/>
              </w:rPr>
              <w:t xml:space="preserve">Показатель</w:t>
            </w:r>
          </w:p>
        </w:tc>
        <w:tc>
          <w:tcPr>
            <w:tcW w:type="dxa" w:w="221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7"/>
                <w:szCs w:val="17"/>
              </w:rPr>
              <w:t xml:space="preserve">Как есть</w:t>
            </w:r>
          </w:p>
        </w:tc>
        <w:tc>
          <w:tcPr>
            <w:tcW w:type="dxa" w:w="325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7"/>
                <w:szCs w:val="17"/>
              </w:rPr>
              <w:t xml:space="preserve">Покупка — Ronavi H1500</w:t>
            </w:r>
          </w:p>
        </w:tc>
        <w:tc>
          <w:tcPr>
            <w:tcW w:type="dxa" w:w="333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7"/>
                <w:szCs w:val="17"/>
              </w:rPr>
              <w:t xml:space="preserve">Услуга (RaaS) — Ronavi H1500</w:t>
            </w:r>
          </w:p>
        </w:tc>
        <w:tc>
          <w:tcPr>
            <w:tcW w:type="dxa" w:w="326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7"/>
                <w:szCs w:val="17"/>
              </w:rPr>
              <w:t xml:space="preserve">Покупка — DMR Carrier P</w:t>
            </w:r>
          </w:p>
        </w:tc>
      </w:tr>
      <w:tr>
        <w:trPr>
          <w:cantSplit/>
        </w:trPr>
        <w:tc>
          <w:tcPr>
            <w:tcW w:type="dxa" w:w="250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Состав оборудования</w:t>
            </w:r>
          </w:p>
        </w:tc>
        <w:tc>
          <w:tcPr>
            <w:tcW w:type="dxa" w:w="221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текущий процесс, без роботов</w:t>
            </w:r>
          </w:p>
        </w:tc>
        <w:tc>
          <w:tcPr>
            <w:tcW w:type="dxa" w:w="325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11 роботов · 1 зарядка · 1 пост диспетчера</w:t>
            </w:r>
          </w:p>
        </w:tc>
        <w:tc>
          <w:tcPr>
            <w:tcW w:type="dxa" w:w="333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11 роботов · 1 зарядка · 1 пост диспетчера</w:t>
            </w:r>
          </w:p>
        </w:tc>
        <w:tc>
          <w:tcPr>
            <w:tcW w:type="dxa" w:w="326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13 роботов · 4 зарядки · 1 пост диспетчера</w:t>
            </w:r>
          </w:p>
        </w:tc>
      </w:tr>
      <w:tr>
        <w:trPr>
          <w:cantSplit/>
        </w:trPr>
        <w:tc>
          <w:tcPr>
            <w:tcW w:type="dxa" w:w="250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CAPEX</w:t>
            </w:r>
          </w:p>
        </w:tc>
        <w:tc>
          <w:tcPr>
            <w:tcW w:type="dxa" w:w="221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0 ₽</w:t>
            </w:r>
          </w:p>
        </w:tc>
        <w:tc>
          <w:tcPr>
            <w:tcW w:type="dxa" w:w="325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38 500 000 ₽</w:t>
            </w:r>
          </w:p>
        </w:tc>
        <w:tc>
          <w:tcPr>
            <w:tcW w:type="dxa" w:w="333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1 540 000 ₽</w:t>
            </w:r>
          </w:p>
        </w:tc>
        <w:tc>
          <w:tcPr>
            <w:tcW w:type="dxa" w:w="326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68 530 000 ₽</w:t>
            </w:r>
          </w:p>
        </w:tc>
      </w:tr>
      <w:tr>
        <w:trPr>
          <w:cantSplit/>
        </w:trPr>
        <w:tc>
          <w:tcPr>
            <w:tcW w:type="dxa" w:w="250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OPEX в год</w:t>
            </w:r>
          </w:p>
        </w:tc>
        <w:tc>
          <w:tcPr>
            <w:tcW w:type="dxa" w:w="221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46 872 000 ₽</w:t>
            </w:r>
          </w:p>
        </w:tc>
        <w:tc>
          <w:tcPr>
            <w:tcW w:type="dxa" w:w="325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37 550 398 ₽</w:t>
            </w:r>
          </w:p>
        </w:tc>
        <w:tc>
          <w:tcPr>
            <w:tcW w:type="dxa" w:w="333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45 816 898 ₽</w:t>
            </w:r>
          </w:p>
        </w:tc>
        <w:tc>
          <w:tcPr>
            <w:tcW w:type="dxa" w:w="326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42 468 205 ₽</w:t>
            </w:r>
          </w:p>
        </w:tc>
      </w:tr>
      <w:tr>
        <w:trPr>
          <w:cantSplit/>
        </w:trPr>
        <w:tc>
          <w:tcPr>
            <w:tcW w:type="dxa" w:w="250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Годовой эффект</w:t>
            </w:r>
          </w:p>
        </w:tc>
        <w:tc>
          <w:tcPr>
            <w:tcW w:type="dxa" w:w="221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—</w:t>
            </w:r>
          </w:p>
        </w:tc>
        <w:tc>
          <w:tcPr>
            <w:tcW w:type="dxa" w:w="325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9 321 602 ₽</w:t>
            </w:r>
          </w:p>
        </w:tc>
        <w:tc>
          <w:tcPr>
            <w:tcW w:type="dxa" w:w="333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1 055 102 ₽</w:t>
            </w:r>
          </w:p>
        </w:tc>
        <w:tc>
          <w:tcPr>
            <w:tcW w:type="dxa" w:w="326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4 403 795 ₽</w:t>
            </w:r>
          </w:p>
        </w:tc>
      </w:tr>
      <w:tr>
        <w:trPr>
          <w:cantSplit/>
        </w:trPr>
        <w:tc>
          <w:tcPr>
            <w:tcW w:type="dxa" w:w="250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Окупаемость (простая)</w:t>
            </w:r>
          </w:p>
        </w:tc>
        <w:tc>
          <w:tcPr>
            <w:tcW w:type="dxa" w:w="221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—</w:t>
            </w:r>
          </w:p>
        </w:tc>
        <w:tc>
          <w:tcPr>
            <w:tcW w:type="dxa" w:w="325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4,1 г. — средняя окупаемость (3–5 лет)</w:t>
            </w:r>
          </w:p>
        </w:tc>
        <w:tc>
          <w:tcPr>
            <w:tcW w:type="dxa" w:w="333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1,5 г. — быстрая окупаемость (менее 3 лет)</w:t>
            </w:r>
          </w:p>
        </w:tc>
        <w:tc>
          <w:tcPr>
            <w:tcW w:type="dxa" w:w="326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15,6 г. — долгая окупаемость (более 5 лет)</w:t>
            </w:r>
          </w:p>
        </w:tc>
      </w:tr>
      <w:tr>
        <w:trPr>
          <w:cantSplit/>
        </w:trPr>
        <w:tc>
          <w:tcPr>
            <w:tcW w:type="dxa" w:w="250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ROI по ТЗ</w:t>
            </w:r>
          </w:p>
        </w:tc>
        <w:tc>
          <w:tcPr>
            <w:tcW w:type="dxa" w:w="221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—</w:t>
            </w:r>
          </w:p>
        </w:tc>
        <w:tc>
          <w:tcPr>
            <w:tcW w:type="dxa" w:w="325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123 %</w:t>
            </w:r>
          </w:p>
        </w:tc>
        <w:tc>
          <w:tcPr>
            <w:tcW w:type="dxa" w:w="333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342,6 % (неинформативен при малом CAPEX)</w:t>
            </w:r>
          </w:p>
        </w:tc>
        <w:tc>
          <w:tcPr>
            <w:tcW w:type="dxa" w:w="326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34,2 %</w:t>
            </w:r>
          </w:p>
        </w:tc>
      </w:tr>
      <w:tr>
        <w:trPr>
          <w:cantSplit/>
        </w:trPr>
        <w:tc>
          <w:tcPr>
            <w:tcW w:type="dxa" w:w="250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NPV</w:t>
            </w:r>
          </w:p>
        </w:tc>
        <w:tc>
          <w:tcPr>
            <w:tcW w:type="dxa" w:w="221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—</w:t>
            </w:r>
          </w:p>
        </w:tc>
        <w:tc>
          <w:tcPr>
            <w:tcW w:type="dxa" w:w="325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-4 108 652 ₽</w:t>
            </w:r>
          </w:p>
        </w:tc>
        <w:tc>
          <w:tcPr>
            <w:tcW w:type="dxa" w:w="333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2 263 407 ₽</w:t>
            </w:r>
          </w:p>
        </w:tc>
        <w:tc>
          <w:tcPr>
            <w:tcW w:type="dxa" w:w="326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-51 170 177 ₽</w:t>
            </w:r>
          </w:p>
        </w:tc>
      </w:tr>
      <w:tr>
        <w:trPr>
          <w:cantSplit/>
        </w:trPr>
        <w:tc>
          <w:tcPr>
            <w:tcW w:type="dxa" w:w="250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Дисконтированная окупаемость</w:t>
            </w:r>
          </w:p>
        </w:tc>
        <w:tc>
          <w:tcPr>
            <w:tcW w:type="dxa" w:w="221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—</w:t>
            </w:r>
          </w:p>
        </w:tc>
        <w:tc>
          <w:tcPr>
            <w:tcW w:type="dxa" w:w="325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за горизонтом расчёта</w:t>
            </w:r>
          </w:p>
        </w:tc>
        <w:tc>
          <w:tcPr>
            <w:tcW w:type="dxa" w:w="333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1,7 г.</w:t>
            </w:r>
          </w:p>
        </w:tc>
        <w:tc>
          <w:tcPr>
            <w:tcW w:type="dxa" w:w="326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за горизонтом расчёта</w:t>
            </w:r>
          </w:p>
        </w:tc>
      </w:tr>
      <w:tr>
        <w:trPr>
          <w:cantSplit/>
        </w:trPr>
        <w:tc>
          <w:tcPr>
            <w:tcW w:type="dxa" w:w="250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TCO за 5 лет</w:t>
            </w:r>
          </w:p>
        </w:tc>
        <w:tc>
          <w:tcPr>
            <w:tcW w:type="dxa" w:w="221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234 360 000 ₽</w:t>
            </w:r>
          </w:p>
        </w:tc>
        <w:tc>
          <w:tcPr>
            <w:tcW w:type="dxa" w:w="325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225 509 489 ₽</w:t>
            </w:r>
          </w:p>
        </w:tc>
        <w:tc>
          <w:tcPr>
            <w:tcW w:type="dxa" w:w="333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230 624 489 ₽</w:t>
            </w:r>
          </w:p>
        </w:tc>
        <w:tc>
          <w:tcPr>
            <w:tcW w:type="dxa" w:w="326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279 473 526 ₽</w:t>
            </w:r>
          </w:p>
        </w:tc>
      </w:tr>
      <w:tr>
        <w:trPr>
          <w:cantSplit/>
        </w:trPr>
        <w:tc>
          <w:tcPr>
            <w:tcW w:type="dxa" w:w="250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Имитация</w:t>
            </w:r>
          </w:p>
        </w:tc>
        <w:tc>
          <w:tcPr>
            <w:tcW w:type="dxa" w:w="221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—</w:t>
            </w:r>
          </w:p>
        </w:tc>
        <w:tc>
          <w:tcPr>
            <w:tcW w:type="dxa" w:w="325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подтверждено: 132,5 из 129,5 пал./ч</w:t>
            </w:r>
          </w:p>
        </w:tc>
        <w:tc>
          <w:tcPr>
            <w:tcW w:type="dxa" w:w="333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подтверждено: 132,5 из 129,5 пал./ч</w:t>
            </w:r>
          </w:p>
        </w:tc>
        <w:tc>
          <w:tcPr>
            <w:tcW w:type="dxa" w:w="3260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7"/>
                <w:szCs w:val="17"/>
              </w:rPr>
              <w:t xml:space="preserve">подтверждено: 131,5 из 129,5 пал./ч</w:t>
            </w:r>
          </w:p>
        </w:tc>
      </w:tr>
    </w:tbl>
    <w:p>
      <w:pPr>
        <w:spacing w:after="60"/>
      </w:pPr>
    </w:p>
    <w:p>
      <w:pPr>
        <w:pStyle w:val="Heading3"/>
        <w:keepNext/>
        <w:outlineLvl w:val="2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Парк, производительность и имитация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18"/>
        <w:gridCol w:w="938"/>
        <w:gridCol w:w="973"/>
        <w:gridCol w:w="957"/>
        <w:gridCol w:w="1153"/>
        <w:gridCol w:w="1664"/>
        <w:gridCol w:w="758"/>
        <w:gridCol w:w="433"/>
        <w:gridCol w:w="817"/>
        <w:gridCol w:w="813"/>
        <w:gridCol w:w="1561"/>
        <w:gridCol w:w="1541"/>
        <w:gridCol w:w="1444"/>
      </w:tblGrid>
      <w:tr>
        <w:trPr>
          <w:cantSplit/>
          <w:tblHeader/>
        </w:trPr>
        <w:tc>
          <w:tcPr>
            <w:tcW w:type="dxa" w:w="151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4"/>
                <w:szCs w:val="14"/>
              </w:rPr>
              <w:t xml:space="preserve">Сценарий</w:t>
            </w:r>
          </w:p>
        </w:tc>
        <w:tc>
          <w:tcPr>
            <w:tcW w:type="dxa" w:w="93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4"/>
                <w:szCs w:val="14"/>
              </w:rPr>
              <w:t xml:space="preserve">λпик, пал./ч</w:t>
            </w:r>
          </w:p>
        </w:tc>
        <w:tc>
          <w:tcPr>
            <w:tcW w:type="dxa" w:w="97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4"/>
                <w:szCs w:val="14"/>
              </w:rPr>
              <w:t xml:space="preserve">Норма, пал./ч</w:t>
            </w:r>
          </w:p>
        </w:tc>
        <w:tc>
          <w:tcPr>
            <w:tcW w:type="dxa" w:w="95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4"/>
                <w:szCs w:val="14"/>
              </w:rPr>
              <w:t xml:space="preserve">Цикл, пал./ч</w:t>
            </w:r>
          </w:p>
        </w:tc>
        <w:tc>
          <w:tcPr>
            <w:tcW w:type="dxa" w:w="115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4"/>
                <w:szCs w:val="14"/>
              </w:rPr>
              <w:t xml:space="preserve">Принято, пал./ч</w:t>
            </w:r>
          </w:p>
        </w:tc>
        <w:tc>
          <w:tcPr>
            <w:tcW w:type="dxa" w:w="166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4"/>
                <w:szCs w:val="14"/>
              </w:rPr>
              <w:t xml:space="preserve">Плечо с грузом / порожнее, м</w:t>
            </w:r>
          </w:p>
        </w:tc>
        <w:tc>
          <w:tcPr>
            <w:tcW w:type="dxa" w:w="75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4"/>
                <w:szCs w:val="14"/>
              </w:rPr>
              <w:t xml:space="preserve">Nточн</w:t>
            </w:r>
          </w:p>
        </w:tc>
        <w:tc>
          <w:tcPr>
            <w:tcW w:type="dxa" w:w="43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4"/>
                <w:szCs w:val="14"/>
              </w:rPr>
              <w:t xml:space="preserve">N</w:t>
            </w:r>
          </w:p>
        </w:tc>
        <w:tc>
          <w:tcPr>
            <w:tcW w:type="dxa" w:w="81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4"/>
                <w:szCs w:val="14"/>
              </w:rPr>
              <w:t xml:space="preserve">Зарядки</w:t>
            </w:r>
          </w:p>
        </w:tc>
        <w:tc>
          <w:tcPr>
            <w:tcW w:type="dxa" w:w="81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4"/>
                <w:szCs w:val="14"/>
              </w:rPr>
              <w:t xml:space="preserve">N по норме</w:t>
            </w:r>
          </w:p>
        </w:tc>
        <w:tc>
          <w:tcPr>
            <w:tcW w:type="dxa" w:w="156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4"/>
                <w:szCs w:val="14"/>
              </w:rPr>
              <w:t xml:space="preserve">Имитация при N</w:t>
            </w:r>
          </w:p>
        </w:tc>
        <w:tc>
          <w:tcPr>
            <w:tcW w:type="dxa" w:w="154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4"/>
                <w:szCs w:val="14"/>
              </w:rPr>
              <w:t xml:space="preserve">Имитация при N по норме</w:t>
            </w:r>
          </w:p>
        </w:tc>
        <w:tc>
          <w:tcPr>
            <w:tcW w:type="dxa" w:w="144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4"/>
                <w:szCs w:val="14"/>
              </w:rPr>
              <w:t xml:space="preserve">Мин. устойчивый парк</w:t>
            </w:r>
          </w:p>
        </w:tc>
      </w:tr>
      <w:tr>
        <w:trPr>
          <w:cantSplit/>
        </w:trPr>
        <w:tc>
          <w:tcPr>
            <w:tcW w:type="dxa" w:w="151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4"/>
                <w:szCs w:val="14"/>
              </w:rPr>
              <w:t xml:space="preserve">Покупка — Ronavi H1500</w:t>
            </w:r>
          </w:p>
        </w:tc>
        <w:tc>
          <w:tcPr>
            <w:tcW w:type="dxa" w:w="93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4"/>
                <w:szCs w:val="14"/>
              </w:rPr>
              <w:t xml:space="preserve">129,55</w:t>
            </w:r>
          </w:p>
        </w:tc>
        <w:tc>
          <w:tcPr>
            <w:tcW w:type="dxa" w:w="97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4"/>
                <w:szCs w:val="14"/>
              </w:rPr>
              <w:t xml:space="preserve">90</w:t>
            </w:r>
          </w:p>
        </w:tc>
        <w:tc>
          <w:tcPr>
            <w:tcW w:type="dxa" w:w="95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4"/>
                <w:szCs w:val="14"/>
              </w:rPr>
              <w:t xml:space="preserve">19,2257</w:t>
            </w:r>
          </w:p>
        </w:tc>
        <w:tc>
          <w:tcPr>
            <w:tcW w:type="dxa" w:w="115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4"/>
                <w:szCs w:val="14"/>
              </w:rPr>
              <w:t xml:space="preserve">19,2257 (цикл)</w:t>
            </w:r>
          </w:p>
        </w:tc>
        <w:tc>
          <w:tcPr>
            <w:tcW w:type="dxa" w:w="166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4"/>
                <w:szCs w:val="14"/>
              </w:rPr>
              <w:t xml:space="preserve">93,82 / 103,6</w:t>
            </w:r>
          </w:p>
        </w:tc>
        <w:tc>
          <w:tcPr>
            <w:tcW w:type="dxa" w:w="75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4"/>
                <w:szCs w:val="14"/>
              </w:rPr>
              <w:t xml:space="preserve">10,2159</w:t>
            </w:r>
          </w:p>
        </w:tc>
        <w:tc>
          <w:tcPr>
            <w:tcW w:type="dxa" w:w="43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4"/>
                <w:szCs w:val="14"/>
              </w:rPr>
              <w:t xml:space="preserve">11</w:t>
            </w:r>
          </w:p>
        </w:tc>
        <w:tc>
          <w:tcPr>
            <w:tcW w:type="dxa" w:w="81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4"/>
                <w:szCs w:val="14"/>
              </w:rPr>
              <w:t xml:space="preserve">1</w:t>
            </w:r>
          </w:p>
        </w:tc>
        <w:tc>
          <w:tcPr>
            <w:tcW w:type="dxa" w:w="81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4"/>
                <w:szCs w:val="14"/>
              </w:rPr>
              <w:t xml:space="preserve">3</w:t>
            </w:r>
          </w:p>
        </w:tc>
        <w:tc>
          <w:tcPr>
            <w:tcW w:type="dxa" w:w="156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4"/>
                <w:szCs w:val="14"/>
              </w:rPr>
              <w:t xml:space="preserve">подтверждён (132,5 пал./ч)</w:t>
            </w:r>
          </w:p>
        </w:tc>
        <w:tc>
          <w:tcPr>
            <w:tcW w:type="dxa" w:w="154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4"/>
                <w:szCs w:val="14"/>
              </w:rPr>
              <w:t xml:space="preserve">не подтверждён</w:t>
            </w:r>
          </w:p>
        </w:tc>
        <w:tc>
          <w:tcPr>
            <w:tcW w:type="dxa" w:w="144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4"/>
                <w:szCs w:val="14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151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4"/>
                <w:szCs w:val="14"/>
              </w:rPr>
              <w:t xml:space="preserve">Услуга (RaaS) — Ronavi H1500</w:t>
            </w:r>
          </w:p>
        </w:tc>
        <w:tc>
          <w:tcPr>
            <w:tcW w:type="dxa" w:w="93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4"/>
                <w:szCs w:val="14"/>
              </w:rPr>
              <w:t xml:space="preserve">129,55</w:t>
            </w:r>
          </w:p>
        </w:tc>
        <w:tc>
          <w:tcPr>
            <w:tcW w:type="dxa" w:w="97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4"/>
                <w:szCs w:val="14"/>
              </w:rPr>
              <w:t xml:space="preserve">90</w:t>
            </w:r>
          </w:p>
        </w:tc>
        <w:tc>
          <w:tcPr>
            <w:tcW w:type="dxa" w:w="95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4"/>
                <w:szCs w:val="14"/>
              </w:rPr>
              <w:t xml:space="preserve">19,2257</w:t>
            </w:r>
          </w:p>
        </w:tc>
        <w:tc>
          <w:tcPr>
            <w:tcW w:type="dxa" w:w="115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4"/>
                <w:szCs w:val="14"/>
              </w:rPr>
              <w:t xml:space="preserve">19,2257 (цикл)</w:t>
            </w:r>
          </w:p>
        </w:tc>
        <w:tc>
          <w:tcPr>
            <w:tcW w:type="dxa" w:w="166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4"/>
                <w:szCs w:val="14"/>
              </w:rPr>
              <w:t xml:space="preserve">93,82 / 103,6</w:t>
            </w:r>
          </w:p>
        </w:tc>
        <w:tc>
          <w:tcPr>
            <w:tcW w:type="dxa" w:w="75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4"/>
                <w:szCs w:val="14"/>
              </w:rPr>
              <w:t xml:space="preserve">10,2159</w:t>
            </w:r>
          </w:p>
        </w:tc>
        <w:tc>
          <w:tcPr>
            <w:tcW w:type="dxa" w:w="43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4"/>
                <w:szCs w:val="14"/>
              </w:rPr>
              <w:t xml:space="preserve">11</w:t>
            </w:r>
          </w:p>
        </w:tc>
        <w:tc>
          <w:tcPr>
            <w:tcW w:type="dxa" w:w="81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4"/>
                <w:szCs w:val="14"/>
              </w:rPr>
              <w:t xml:space="preserve">1</w:t>
            </w:r>
          </w:p>
        </w:tc>
        <w:tc>
          <w:tcPr>
            <w:tcW w:type="dxa" w:w="81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4"/>
                <w:szCs w:val="14"/>
              </w:rPr>
              <w:t xml:space="preserve">3</w:t>
            </w:r>
          </w:p>
        </w:tc>
        <w:tc>
          <w:tcPr>
            <w:tcW w:type="dxa" w:w="156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4"/>
                <w:szCs w:val="14"/>
              </w:rPr>
              <w:t xml:space="preserve">подтверждён (132,5 пал./ч)</w:t>
            </w:r>
          </w:p>
        </w:tc>
        <w:tc>
          <w:tcPr>
            <w:tcW w:type="dxa" w:w="154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4"/>
                <w:szCs w:val="14"/>
              </w:rPr>
              <w:t xml:space="preserve">не подтверждён</w:t>
            </w:r>
          </w:p>
        </w:tc>
        <w:tc>
          <w:tcPr>
            <w:tcW w:type="dxa" w:w="144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4"/>
                <w:szCs w:val="14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151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4"/>
                <w:szCs w:val="14"/>
              </w:rPr>
              <w:t xml:space="preserve">Покупка — DMR Carrier P</w:t>
            </w:r>
          </w:p>
        </w:tc>
        <w:tc>
          <w:tcPr>
            <w:tcW w:type="dxa" w:w="93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4"/>
                <w:szCs w:val="14"/>
              </w:rPr>
              <w:t xml:space="preserve">129,55</w:t>
            </w:r>
          </w:p>
        </w:tc>
        <w:tc>
          <w:tcPr>
            <w:tcW w:type="dxa" w:w="97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4"/>
                <w:szCs w:val="14"/>
              </w:rPr>
              <w:t xml:space="preserve">50</w:t>
            </w:r>
          </w:p>
        </w:tc>
        <w:tc>
          <w:tcPr>
            <w:tcW w:type="dxa" w:w="95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4"/>
                <w:szCs w:val="14"/>
              </w:rPr>
              <w:t xml:space="preserve">15,1739</w:t>
            </w:r>
          </w:p>
        </w:tc>
        <w:tc>
          <w:tcPr>
            <w:tcW w:type="dxa" w:w="115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4"/>
                <w:szCs w:val="14"/>
              </w:rPr>
              <w:t xml:space="preserve">15,1739 (цикл)</w:t>
            </w:r>
          </w:p>
        </w:tc>
        <w:tc>
          <w:tcPr>
            <w:tcW w:type="dxa" w:w="166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4"/>
                <w:szCs w:val="14"/>
              </w:rPr>
              <w:t xml:space="preserve">93,82 / 103,6</w:t>
            </w:r>
          </w:p>
        </w:tc>
        <w:tc>
          <w:tcPr>
            <w:tcW w:type="dxa" w:w="75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4"/>
                <w:szCs w:val="14"/>
              </w:rPr>
              <w:t xml:space="preserve">12,9438</w:t>
            </w:r>
          </w:p>
        </w:tc>
        <w:tc>
          <w:tcPr>
            <w:tcW w:type="dxa" w:w="43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4"/>
                <w:szCs w:val="14"/>
              </w:rPr>
              <w:t xml:space="preserve">13</w:t>
            </w:r>
          </w:p>
        </w:tc>
        <w:tc>
          <w:tcPr>
            <w:tcW w:type="dxa" w:w="817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4"/>
                <w:szCs w:val="14"/>
              </w:rPr>
              <w:t xml:space="preserve">4</w:t>
            </w:r>
          </w:p>
        </w:tc>
        <w:tc>
          <w:tcPr>
            <w:tcW w:type="dxa" w:w="813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4"/>
                <w:szCs w:val="14"/>
              </w:rPr>
              <w:t xml:space="preserve">4</w:t>
            </w:r>
          </w:p>
        </w:tc>
        <w:tc>
          <w:tcPr>
            <w:tcW w:type="dxa" w:w="156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4"/>
                <w:szCs w:val="14"/>
              </w:rPr>
              <w:t xml:space="preserve">подтверждён (131,5 пал./ч)</w:t>
            </w:r>
          </w:p>
        </w:tc>
        <w:tc>
          <w:tcPr>
            <w:tcW w:type="dxa" w:w="154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4"/>
                <w:szCs w:val="14"/>
              </w:rPr>
              <w:t xml:space="preserve">не подтверждён</w:t>
            </w:r>
          </w:p>
        </w:tc>
        <w:tc>
          <w:tcPr>
            <w:tcW w:type="dxa" w:w="144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4"/>
                <w:szCs w:val="14"/>
              </w:rPr>
              <w:t xml:space="preserve">12</w:t>
            </w:r>
          </w:p>
        </w:tc>
      </w:tr>
    </w:tbl>
    <w:p>
      <w:pPr>
        <w:spacing w:after="60"/>
      </w:pPr>
    </w:p>
    <w:p>
      <w:pPr>
        <w:pStyle w:val="Heading3"/>
        <w:keepNext/>
        <w:outlineLvl w:val="2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Сильнейшие рычаги (чувствительность NPV)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84"/>
        <w:gridCol w:w="2764"/>
        <w:gridCol w:w="3121"/>
        <w:gridCol w:w="1529"/>
        <w:gridCol w:w="1632"/>
        <w:gridCol w:w="1328"/>
        <w:gridCol w:w="1612"/>
      </w:tblGrid>
      <w:tr>
        <w:trPr>
          <w:cantSplit/>
          <w:tblHeader/>
        </w:trPr>
        <w:tc>
          <w:tcPr>
            <w:tcW w:type="dxa" w:w="258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Сценарий</w:t>
            </w:r>
          </w:p>
        </w:tc>
        <w:tc>
          <w:tcPr>
            <w:tcW w:type="dxa" w:w="276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Рычаг</w:t>
            </w:r>
          </w:p>
        </w:tc>
        <w:tc>
          <w:tcPr>
            <w:tcW w:type="dxa" w:w="312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Диапазон (границы)</w:t>
            </w:r>
          </w:p>
        </w:tc>
        <w:tc>
          <w:tcPr>
            <w:tcW w:type="dxa" w:w="152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NPV при нижней</w:t>
            </w:r>
          </w:p>
        </w:tc>
        <w:tc>
          <w:tcPr>
            <w:tcW w:type="dxa" w:w="163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NPV при верхней</w:t>
            </w:r>
          </w:p>
        </w:tc>
        <w:tc>
          <w:tcPr>
            <w:tcW w:type="dxa" w:w="132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Размах NPV</w:t>
            </w:r>
          </w:p>
        </w:tc>
        <w:tc>
          <w:tcPr>
            <w:tcW w:type="dxa" w:w="161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shd w:fill="E8EE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11827"/>
                <w:sz w:val="16"/>
                <w:szCs w:val="16"/>
              </w:rPr>
              <w:t xml:space="preserve">Смена знака NPV</w:t>
            </w:r>
          </w:p>
        </w:tc>
      </w:tr>
      <w:tr>
        <w:trPr>
          <w:cantSplit/>
        </w:trPr>
        <w:tc>
          <w:tcPr>
            <w:tcW w:type="dxa" w:w="258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Покупка — Ronavi H1500</w:t>
            </w:r>
          </w:p>
        </w:tc>
        <w:tc>
          <w:tcPr>
            <w:tcW w:type="dxa" w:w="276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Доля автоматизируемого труда</w:t>
            </w:r>
          </w:p>
        </w:tc>
        <w:tc>
          <w:tcPr>
            <w:tcW w:type="dxa" w:w="312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30–70 % (норматив)</w:t>
            </w:r>
          </w:p>
        </w:tc>
        <w:tc>
          <w:tcPr>
            <w:tcW w:type="dxa" w:w="152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-36 211 636 ₽</w:t>
            </w:r>
          </w:p>
        </w:tc>
        <w:tc>
          <w:tcPr>
            <w:tcW w:type="dxa" w:w="163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27 994 331 ₽</w:t>
            </w:r>
          </w:p>
        </w:tc>
        <w:tc>
          <w:tcPr>
            <w:tcW w:type="dxa" w:w="132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64 205 967 ₽</w:t>
            </w:r>
          </w:p>
        </w:tc>
        <w:tc>
          <w:tcPr>
            <w:tcW w:type="dxa" w:w="161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258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Покупка — Ronavi H1500</w:t>
            </w:r>
          </w:p>
        </w:tc>
        <w:tc>
          <w:tcPr>
            <w:tcW w:type="dxa" w:w="276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Пиковый коэффициент</w:t>
            </w:r>
          </w:p>
        </w:tc>
        <w:tc>
          <w:tcPr>
            <w:tcW w:type="dxa" w:w="312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1,2–2,5 коэф. (организатор)</w:t>
            </w:r>
          </w:p>
        </w:tc>
        <w:tc>
          <w:tcPr>
            <w:tcW w:type="dxa" w:w="152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5 389 402 ₽</w:t>
            </w:r>
          </w:p>
        </w:tc>
        <w:tc>
          <w:tcPr>
            <w:tcW w:type="dxa" w:w="163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-37 681 843 ₽</w:t>
            </w:r>
          </w:p>
        </w:tc>
        <w:tc>
          <w:tcPr>
            <w:tcW w:type="dxa" w:w="132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43 071 245 ₽</w:t>
            </w:r>
          </w:p>
        </w:tc>
        <w:tc>
          <w:tcPr>
            <w:tcW w:type="dxa" w:w="161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258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Покупка — Ronavi H1500</w:t>
            </w:r>
          </w:p>
        </w:tc>
        <w:tc>
          <w:tcPr>
            <w:tcW w:type="dxa" w:w="276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Зарплата оператора погрузчика</w:t>
            </w:r>
          </w:p>
        </w:tc>
        <w:tc>
          <w:tcPr>
            <w:tcW w:type="dxa" w:w="312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80 000–170 000 ₽/мес (организатор)</w:t>
            </w:r>
          </w:p>
        </w:tc>
        <w:tc>
          <w:tcPr>
            <w:tcW w:type="dxa" w:w="152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-21 692 202 ₽</w:t>
            </w:r>
          </w:p>
        </w:tc>
        <w:tc>
          <w:tcPr>
            <w:tcW w:type="dxa" w:w="163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17 870 784 ₽</w:t>
            </w:r>
          </w:p>
        </w:tc>
        <w:tc>
          <w:tcPr>
            <w:tcW w:type="dxa" w:w="132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39 562 985 ₽</w:t>
            </w:r>
          </w:p>
        </w:tc>
        <w:tc>
          <w:tcPr>
            <w:tcW w:type="dxa" w:w="161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258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Услуга (RaaS) — Ronavi H1500</w:t>
            </w:r>
          </w:p>
        </w:tc>
        <w:tc>
          <w:tcPr>
            <w:tcW w:type="dxa" w:w="276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Доля автоматизируемого труда</w:t>
            </w:r>
          </w:p>
        </w:tc>
        <w:tc>
          <w:tcPr>
            <w:tcW w:type="dxa" w:w="312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30–70 % (норматив)</w:t>
            </w:r>
          </w:p>
        </w:tc>
        <w:tc>
          <w:tcPr>
            <w:tcW w:type="dxa" w:w="152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-29 839 576 ₽</w:t>
            </w:r>
          </w:p>
        </w:tc>
        <w:tc>
          <w:tcPr>
            <w:tcW w:type="dxa" w:w="163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34 366 391 ₽</w:t>
            </w:r>
          </w:p>
        </w:tc>
        <w:tc>
          <w:tcPr>
            <w:tcW w:type="dxa" w:w="132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64 205 967 ₽</w:t>
            </w:r>
          </w:p>
        </w:tc>
        <w:tc>
          <w:tcPr>
            <w:tcW w:type="dxa" w:w="161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258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Услуга (RaaS) — Ronavi H1500</w:t>
            </w:r>
          </w:p>
        </w:tc>
        <w:tc>
          <w:tcPr>
            <w:tcW w:type="dxa" w:w="276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Пиковый коэффициент</w:t>
            </w:r>
          </w:p>
        </w:tc>
        <w:tc>
          <w:tcPr>
            <w:tcW w:type="dxa" w:w="312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1,2–2,5 коэф. (организатор)</w:t>
            </w:r>
          </w:p>
        </w:tc>
        <w:tc>
          <w:tcPr>
            <w:tcW w:type="dxa" w:w="152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11 162 906 ₽</w:t>
            </w:r>
          </w:p>
        </w:tc>
        <w:tc>
          <w:tcPr>
            <w:tcW w:type="dxa" w:w="163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-28 884 836 ₽</w:t>
            </w:r>
          </w:p>
        </w:tc>
        <w:tc>
          <w:tcPr>
            <w:tcW w:type="dxa" w:w="132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40 047 742 ₽</w:t>
            </w:r>
          </w:p>
        </w:tc>
        <w:tc>
          <w:tcPr>
            <w:tcW w:type="dxa" w:w="161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258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Услуга (RaaS) — Ronavi H1500</w:t>
            </w:r>
          </w:p>
        </w:tc>
        <w:tc>
          <w:tcPr>
            <w:tcW w:type="dxa" w:w="276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Зарплата оператора погрузчика</w:t>
            </w:r>
          </w:p>
        </w:tc>
        <w:tc>
          <w:tcPr>
            <w:tcW w:type="dxa" w:w="312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80 000–170 000 ₽/мес (организатор)</w:t>
            </w:r>
          </w:p>
        </w:tc>
        <w:tc>
          <w:tcPr>
            <w:tcW w:type="dxa" w:w="152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-15 320 142 ₽</w:t>
            </w:r>
          </w:p>
        </w:tc>
        <w:tc>
          <w:tcPr>
            <w:tcW w:type="dxa" w:w="163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24 242 844 ₽</w:t>
            </w:r>
          </w:p>
        </w:tc>
        <w:tc>
          <w:tcPr>
            <w:tcW w:type="dxa" w:w="132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39 562 985 ₽</w:t>
            </w:r>
          </w:p>
        </w:tc>
        <w:tc>
          <w:tcPr>
            <w:tcW w:type="dxa" w:w="161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258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Покупка — DMR Carrier P</w:t>
            </w:r>
          </w:p>
        </w:tc>
        <w:tc>
          <w:tcPr>
            <w:tcW w:type="dxa" w:w="276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Пиковый коэффициент</w:t>
            </w:r>
          </w:p>
        </w:tc>
        <w:tc>
          <w:tcPr>
            <w:tcW w:type="dxa" w:w="312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1,2–2,5 коэф. (организатор)</w:t>
            </w:r>
          </w:p>
        </w:tc>
        <w:tc>
          <w:tcPr>
            <w:tcW w:type="dxa" w:w="152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-35 715 434 ₽</w:t>
            </w:r>
          </w:p>
        </w:tc>
        <w:tc>
          <w:tcPr>
            <w:tcW w:type="dxa" w:w="163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-147 398 327 ₽</w:t>
            </w:r>
          </w:p>
        </w:tc>
        <w:tc>
          <w:tcPr>
            <w:tcW w:type="dxa" w:w="132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111 682 893 ₽</w:t>
            </w:r>
          </w:p>
        </w:tc>
        <w:tc>
          <w:tcPr>
            <w:tcW w:type="dxa" w:w="161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258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Покупка — DMR Carrier P</w:t>
            </w:r>
          </w:p>
        </w:tc>
        <w:tc>
          <w:tcPr>
            <w:tcW w:type="dxa" w:w="276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Доля автоматизируемого труда</w:t>
            </w:r>
          </w:p>
        </w:tc>
        <w:tc>
          <w:tcPr>
            <w:tcW w:type="dxa" w:w="312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30–70 % (норматив)</w:t>
            </w:r>
          </w:p>
        </w:tc>
        <w:tc>
          <w:tcPr>
            <w:tcW w:type="dxa" w:w="152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-83 273 160 ₽</w:t>
            </w:r>
          </w:p>
        </w:tc>
        <w:tc>
          <w:tcPr>
            <w:tcW w:type="dxa" w:w="163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-19 067 193 ₽</w:t>
            </w:r>
          </w:p>
        </w:tc>
        <w:tc>
          <w:tcPr>
            <w:tcW w:type="dxa" w:w="132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64 205 967 ₽</w:t>
            </w:r>
          </w:p>
        </w:tc>
        <w:tc>
          <w:tcPr>
            <w:tcW w:type="dxa" w:w="161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258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Покупка — DMR Carrier P</w:t>
            </w:r>
          </w:p>
        </w:tc>
        <w:tc>
          <w:tcPr>
            <w:tcW w:type="dxa" w:w="2764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Производительность робота</w:t>
            </w:r>
          </w:p>
        </w:tc>
        <w:tc>
          <w:tcPr>
            <w:tcW w:type="dxa" w:w="3121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12,14–18,21 паллет/ч (±20 %)</w:t>
            </w:r>
          </w:p>
        </w:tc>
        <w:tc>
          <w:tcPr>
            <w:tcW w:type="dxa" w:w="1529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-81 749 661 ₽</w:t>
            </w:r>
          </w:p>
        </w:tc>
        <w:tc>
          <w:tcPr>
            <w:tcW w:type="dxa" w:w="163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-35 715 434 ₽</w:t>
            </w:r>
          </w:p>
        </w:tc>
        <w:tc>
          <w:tcPr>
            <w:tcW w:type="dxa" w:w="1328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46 034 226 ₽</w:t>
            </w:r>
          </w:p>
        </w:tc>
        <w:tc>
          <w:tcPr>
            <w:tcW w:type="dxa" w:w="1612"/>
            <w:tcBorders>
              <w:top w:val="single" w:color="C8CFDB" w:sz="4"/>
              <w:left w:val="single" w:color="C8CFDB" w:sz="4"/>
              <w:bottom w:val="single" w:color="C8CFDB" w:sz="4"/>
              <w:right w:val="single" w:color="C8CF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F2937"/>
                <w:sz w:val="16"/>
                <w:szCs w:val="16"/>
              </w:rPr>
              <w:t xml:space="preserve">нет</w:t>
            </w:r>
          </w:p>
        </w:tc>
      </w:tr>
    </w:tbl>
    <w:p>
      <w:pPr>
        <w:spacing w:after="60"/>
      </w:pPr>
    </w:p>
    <w:p>
      <w:pPr>
        <w:pStyle w:val="Heading3"/>
        <w:keepNext/>
        <w:outlineLvl w:val="2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Вывод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Рекомендуемый сценарий: Услуга (RaaS) — Ronavi H1500. NPV 2 263 407 ₽ за 5 лет, окупаемость 1,5 года — быстрая окупаемость (менее 3 лет).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По TCO за 5 лет выгоднее «Покупка — Ronavi H1500»: 225,5 млн ₽ против 230,6 млн ₽ у рекомендуемого сценария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Риск (высокий): Паспортная норма 90 пал./ч в 4,7 раза выше расчётной по циклу на вашем объекте (19,2 пал./ч при плече ≈94 м, оценка по планировке); принято меньшее значение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Риск (средний): Ставка RaaS — нижняя граница «от»: 100 000 ₽/мес за робота «Ronavi H1500 (грузоподъемность до 1 500 кг)»; фактическая ставка может быть выше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Риск (средний): NPV меняет знак в пределах диапазона «Доля автоматизируемого труда» 30–70 %: от -29,8 млн ₽ до 34,4 млн 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Сильнейший рычаг — «Доля автоматизируемого труда»: при 30–70 % NPV от -29,8 млн ₽ до 34,4 млн 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При горизонте 7 лет выгоднее «Покупка — Ronavi H1500»; при горизонте 8–10 лет — снова «Услуга (RaaS) — Ronavi H1500» (с горизонта 8 лет в расчёт «Покупка — Ronavi H1500» входит докупка оборудования на 29,7 млн ₽ в год 7 без учёта остаточной стоимости)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</w:rPr>
        <w:t xml:space="preserve">Покупка окупается (NPV ≥ 0) при зарплате от 129 347 ₽/мес</w:t>
      </w:r>
    </w:p>
    <w:p>
      <w:pPr>
        <w:pBdr>
          <w:left w:val="single" w:color="9DB0E0" w:sz="18" w:space="10"/>
        </w:pBdr>
        <w:ind w:left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374151"/>
        </w:rPr>
        <w:t xml:space="preserve">Результат является предварительной оценкой и требует верификации при обследовании объекта.</w:t>
      </w:r>
    </w:p>
    <w:sectPr>
      <w:headerReference w:type="default" r:id="rId11"/>
      <w:headerReference w:type="first" r:id="rId12"/>
      <w:footerReference w:type="default" r:id="rId13"/>
      <w:footerReference w:type="first" r:id="rId14"/>
      <w:type w:val="nextPage"/>
      <w:pgSz w:w="16838" w:h="11906" w:orient="landscape"/>
      <w:pgMar w:top="1134" w:right="1134" w:bottom="1134" w:left="1134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Стр.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Стр.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color w:val="6B7280"/>
        <w:sz w:val="15"/>
        <w:szCs w:val="15"/>
      </w:rPr>
      <w:t xml:space="preserve">Платформа оценки роботизации · Сопроводительная документация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color w:val="6B7280"/>
        <w:sz w:val="15"/>
        <w:szCs w:val="15"/>
      </w:rPr>
      <w:t xml:space="preserve">Платформа оценки роботизации · Сопроводительная документация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80"/>
      </w:pPr>
    </w:lvl>
    <w:lvl w:ilvl="1" w15:tentative="1">
      <w:start w:val="1"/>
      <w:numFmt w:val="bullet"/>
      <w:lvlText w:val="–"/>
      <w:lvlJc w:val="left"/>
      <w:pPr>
        <w:ind w:left="780" w:hanging="280"/>
      </w:pPr>
    </w:lvl>
    <w:lvl w:ilvl="2" w15:tentative="1">
      <w:start w:val="1"/>
      <w:numFmt w:val="bullet"/>
      <w:lvlText w:val="▪"/>
      <w:lvlJc w:val="left"/>
      <w:pPr>
        <w:ind w:left="1160" w:hanging="280"/>
      </w:pPr>
    </w:lvl>
    <w:lvl w:ilvl="3" w15:tentative="1">
      <w:start w:val="1"/>
      <w:numFmt w:val="bullet"/>
      <w:lvlText w:val="•"/>
      <w:lvlJc w:val="left"/>
      <w:pPr>
        <w:ind w:left="1540" w:hanging="280"/>
      </w:pPr>
    </w:lvl>
    <w:lvl w:ilvl="4" w15:tentative="1">
      <w:start w:val="1"/>
      <w:numFmt w:val="bullet"/>
      <w:lvlText w:val="–"/>
      <w:lvlJc w:val="left"/>
      <w:pPr>
        <w:ind w:left="19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  <w:lvl w:ilvl="1" w15:tentative="1">
      <w:start w:val="1"/>
      <w:numFmt w:val="decimal"/>
      <w:lvlText w:val="%2."/>
      <w:lvlJc w:val="left"/>
      <w:pPr>
        <w:ind w:left="780" w:hanging="280"/>
      </w:pPr>
    </w:lvl>
    <w:lvl w:ilvl="2" w15:tentative="1">
      <w:start w:val="1"/>
      <w:numFmt w:val="decimal"/>
      <w:lvlText w:val="%3."/>
      <w:lvlJc w:val="left"/>
      <w:pPr>
        <w:ind w:left="1160" w:hanging="280"/>
      </w:pPr>
    </w:lvl>
    <w:lvl w:ilvl="3" w15:tentative="1">
      <w:start w:val="1"/>
      <w:numFmt w:val="decimal"/>
      <w:lvlText w:val="%4."/>
      <w:lvlJc w:val="left"/>
      <w:pPr>
        <w:ind w:left="1540" w:hanging="280"/>
      </w:pPr>
    </w:lvl>
    <w:lvl w:ilvl="4" w15:tentative="1">
      <w:start w:val="1"/>
      <w:numFmt w:val="decimal"/>
      <w:lvlText w:val="%5."/>
      <w:lvlJc w:val="left"/>
      <w:pPr>
        <w:ind w:left="19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3"/>
    <w:lvlOverride w:ilvl="0">
      <w:startOverride w:val="1"/>
    </w:lvlOverride>
  </w:num>
  <w:num w:numId="17">
    <w:abstractNumId w:val="3"/>
    <w:lvlOverride w:ilvl="0">
      <w:startOverride w:val="1"/>
    </w:lvlOverride>
  </w:num>
  <w:num w:numId="18">
    <w:abstractNumId w:val="3"/>
    <w:lvlOverride w:ilvl="0">
      <w:startOverride w:val="1"/>
    </w:lvlOverride>
  </w:num>
  <w:num w:numId="19">
    <w:abstractNumId w:val="3"/>
    <w:lvlOverride w:ilvl="0">
      <w:startOverride w:val="1"/>
    </w:lvlOverride>
  </w:num>
  <w:num w:numId="20">
    <w:abstractNumId w:val="3"/>
    <w:lvlOverride w:ilvl="0">
      <w:startOverride w:val="1"/>
    </w:lvlOverride>
  </w:num>
  <w:num w:numId="21">
    <w:abstractNumId w:val="3"/>
    <w:lvlOverride w:ilvl="0">
      <w:startOverride w:val="1"/>
    </w:lvlOverride>
  </w:num>
  <w:num w:numId="22">
    <w:abstractNumId w:val="3"/>
    <w:lvlOverride w:ilvl="0">
      <w:startOverride w:val="1"/>
    </w:lvlOverride>
  </w:num>
  <w:num w:numId="23">
    <w:abstractNumId w:val="3"/>
    <w:lvlOverride w:ilvl="0">
      <w:startOverride w:val="1"/>
    </w:lvlOverride>
  </w:num>
  <w:num w:numId="24">
    <w:abstractNumId w:val="3"/>
    <w:lvlOverride w:ilvl="0">
      <w:startOverride w:val="1"/>
    </w:lvlOverride>
  </w:num>
  <w:num w:numId="25">
    <w:abstractNumId w:val="3"/>
    <w:lvlOverride w:ilvl="0">
      <w:startOverride w:val="1"/>
    </w:lvlOverride>
  </w:num>
  <w:num w:numId="26">
    <w:abstractNumId w:val="3"/>
    <w:lvlOverride w:ilvl="0">
      <w:startOverride w:val="1"/>
    </w:lvlOverride>
  </w:num>
  <w:num w:numId="27">
    <w:abstractNumId w:val="3"/>
    <w:lvlOverride w:ilvl="0">
      <w:startOverride w:val="1"/>
    </w:lvlOverride>
  </w:num>
  <w:num w:numId="28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0"/>
        <w:szCs w:val="20"/>
      </w:rPr>
    </w:rPrDefault>
    <w:pPrDefault>
      <w:pPr>
        <w:spacing w:after="110"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60" w:before="0"/>
    </w:pPr>
    <w:rPr>
      <w:rFonts w:ascii="Arial" w:cs="Arial" w:eastAsia="Arial" w:hAnsi="Arial"/>
      <w:b/>
      <w:bCs/>
      <w:color w:val="1A42A8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320"/>
    </w:pPr>
    <w:rPr>
      <w:rFonts w:ascii="Arial" w:cs="Arial" w:eastAsia="Arial" w:hAnsi="Arial"/>
      <w:b/>
      <w:bCs/>
      <w:color w:val="1A42A8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90" w:before="240"/>
    </w:pPr>
    <w:rPr>
      <w:rFonts w:ascii="Arial" w:cs="Arial" w:eastAsia="Arial" w:hAnsi="Arial"/>
      <w:b/>
      <w:bCs/>
      <w:color w:val="111827"/>
      <w:sz w:val="23"/>
      <w:szCs w:val="23"/>
    </w:rPr>
  </w:style>
  <w:style w:type="paragraph" w:styleId="Heading4">
    <w:name w:val="Heading 4"/>
    <w:basedOn w:val="Normal"/>
    <w:next w:val="Normal"/>
    <w:qFormat/>
    <w:pPr>
      <w:keepNext/>
      <w:spacing w:after="80" w:before="200"/>
    </w:pPr>
    <w:rPr>
      <w:rFonts w:ascii="Arial" w:cs="Arial" w:eastAsia="Arial" w:hAnsi="Arial"/>
      <w:b/>
      <w:bCs/>
      <w:color w:val="111827"/>
      <w:sz w:val="21"/>
      <w:szCs w:val="21"/>
    </w:rPr>
  </w:style>
  <w:style w:type="paragraph" w:styleId="Heading5">
    <w:name w:val="Heading 5"/>
    <w:basedOn w:val="Normal"/>
    <w:next w:val="Normal"/>
    <w:qFormat/>
    <w:pPr>
      <w:keepNext/>
      <w:spacing w:after="60" w:before="160"/>
    </w:pPr>
    <w:rPr>
      <w:rFonts w:ascii="Arial" w:cs="Arial" w:eastAsia="Arial" w:hAnsi="Arial"/>
      <w:b/>
      <w:bCs/>
      <w:i/>
      <w:iCs/>
      <w:color w:val="111827"/>
      <w:sz w:val="20"/>
      <w:szCs w:val="20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1A42A8"/>
      <w:u w:val="single" w:color="1A42A8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ption">
    <w:name w:val="Caption"/>
    <w:basedOn w:val="Normal"/>
    <w:next w:val="Normal"/>
    <w:pPr>
      <w:spacing w:after="220" w:before="40"/>
    </w:pPr>
    <w:rPr>
      <w:i/>
      <w:iCs/>
      <w:color w:val="6B7280"/>
      <w:sz w:val="17"/>
      <w:szCs w:val="17"/>
    </w:rPr>
  </w:style>
  <w:style w:type="paragraph" w:styleId="TOC1">
    <w:name w:val="toc 1"/>
    <w:basedOn w:val="Normal"/>
    <w:next w:val="Normal"/>
    <w:pPr>
      <w:tabs>
        <w:tab w:val="right" w:pos="9638" w:leader="dot"/>
      </w:tabs>
      <w:spacing w:after="30" w:before="100"/>
    </w:pPr>
    <w:rPr>
      <w:b/>
      <w:bCs/>
      <w:color w:val="111827"/>
      <w:sz w:val="20"/>
      <w:szCs w:val="20"/>
    </w:rPr>
  </w:style>
  <w:style w:type="paragraph" w:styleId="TOC2">
    <w:name w:val="toc 2"/>
    <w:basedOn w:val="Normal"/>
    <w:next w:val="Normal"/>
    <w:pPr>
      <w:tabs>
        <w:tab w:val="right" w:pos="9638" w:leader="dot"/>
      </w:tabs>
      <w:spacing w:after="20" w:before="0"/>
      <w:ind w:left="360"/>
    </w:pPr>
    <w:rPr>
      <w:color w:val="1F2937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header" Target="header4.xml"/><Relationship Id="rId13" Type="http://schemas.openxmlformats.org/officeDocument/2006/relationships/footer" Target="footer3.xml"/><Relationship Id="rId14" Type="http://schemas.openxmlformats.org/officeDocument/2006/relationships/footer" Target="footer4.xml"/><Relationship Id="rIdof0ocnmfpfkhkvfwib0ln" Type="http://schemas.openxmlformats.org/officeDocument/2006/relationships/hyperlink" Target="https://github.com/jordanbarnesceo88-tech/hackaton" TargetMode="External"/><Relationship Id="rId6ppsa1nuqv2if4wqor586" Type="http://schemas.openxmlformats.org/officeDocument/2006/relationships/hyperlink" Target="https://github.com/jordanbarnesceo88-tech/hackaton" TargetMode="External"/><Relationship Id="rIdcaoqxg5bp5bki52g2ortj" Type="http://schemas.openxmlformats.org/officeDocument/2006/relationships/hyperlink" Target="https://nextjs.org" TargetMode="External"/><Relationship Id="rId8futj5ug_2l6tybxhnf1i" Type="http://schemas.openxmlformats.org/officeDocument/2006/relationships/hyperlink" Target="https://react.dev" TargetMode="External"/><Relationship Id="rIdd3tpgish9wbp5k_aba-he" Type="http://schemas.openxmlformats.org/officeDocument/2006/relationships/hyperlink" Target="https://www.prisma.io" TargetMode="External"/><Relationship Id="rIdh9g_iww6wpnel5_fx9-n-" Type="http://schemas.openxmlformats.org/officeDocument/2006/relationships/hyperlink" Target="https://node-postgres.com" TargetMode="External"/><Relationship Id="rIdtu59c5fh8vlsiek8kbuk1" Type="http://schemas.openxmlformats.org/officeDocument/2006/relationships/hyperlink" Target="https://authjs.dev" TargetMode="External"/><Relationship Id="rIdepy7ujbpwuqppd4ewrm6g" Type="http://schemas.openxmlformats.org/officeDocument/2006/relationships/hyperlink" Target="https://github.com/dcodeIO/bcrypt.js" TargetMode="External"/><Relationship Id="rIdyp5dx6qcn5838hzrco7wb" Type="http://schemas.openxmlformats.org/officeDocument/2006/relationships/hyperlink" Target="https://github.com/exceljs/exceljs" TargetMode="External"/><Relationship Id="rIdwym_cp7hq6szvxaia1zvh" Type="http://schemas.openxmlformats.org/officeDocument/2006/relationships/hyperlink" Target="https://tailwindcss.com" TargetMode="External"/><Relationship Id="rIdfrbuxf4g5nio6apjxbgqh" Type="http://schemas.openxmlformats.org/officeDocument/2006/relationships/hyperlink" Target="https://ui.shadcn.com" TargetMode="External"/><Relationship Id="rIdjjmhnlr_6quaemg9fbcde" Type="http://schemas.openxmlformats.org/officeDocument/2006/relationships/hyperlink" Target="https://base-ui.com" TargetMode="External"/><Relationship Id="rIdwvyrrq5h1mzv6t-d6dw3o" Type="http://schemas.openxmlformats.org/officeDocument/2006/relationships/hyperlink" Target="https://lucide.dev" TargetMode="External"/><Relationship Id="rIdkmdbo_aptui1tgt0-f6hv" Type="http://schemas.openxmlformats.org/officeDocument/2006/relationships/hyperlink" Target="https://cva.style" TargetMode="External"/><Relationship Id="rIdgvfrlgivgd6xu_ctv7iyl" Type="http://schemas.openxmlformats.org/officeDocument/2006/relationships/hyperlink" Target="https://www.npmjs.com/package/clsx" TargetMode="External"/><Relationship Id="rIdzqas4dfcq4yy9kl-ijcyu" Type="http://schemas.openxmlformats.org/officeDocument/2006/relationships/hyperlink" Target="https://www.npmjs.com/package/tailwind-merge" TargetMode="External"/><Relationship Id="rIdt1qi5cc7hb_qtxtltetsx" Type="http://schemas.openxmlformats.org/officeDocument/2006/relationships/hyperlink" Target="https://www.npmjs.com/package/tw-animate-css" TargetMode="External"/><Relationship Id="rId-r5c3fxrb5lwyhsmaj8l3" Type="http://schemas.openxmlformats.org/officeDocument/2006/relationships/hyperlink" Target="https://www.typescriptlang.org" TargetMode="External"/><Relationship Id="rIdlsd53stq2wbfxqq12fqzf" Type="http://schemas.openxmlformats.org/officeDocument/2006/relationships/hyperlink" Target="https://vitest.dev" TargetMode="External"/><Relationship Id="rIdbv_ytsta464x5pa2heqod" Type="http://schemas.openxmlformats.org/officeDocument/2006/relationships/hyperlink" Target="https://playwright.dev" TargetMode="External"/><Relationship Id="rIdzar8bgiczpnjjwttng0ze" Type="http://schemas.openxmlformats.org/officeDocument/2006/relationships/hyperlink" Target="https://tsx.is" TargetMode="External"/><Relationship Id="rIdprn6coy3lrxtcqjk3ukq5" Type="http://schemas.openxmlformats.org/officeDocument/2006/relationships/hyperlink" Target="https://eslint.org" TargetMode="External"/><Relationship Id="rIde5gtlhrtiop_-ehlrbsek" Type="http://schemas.openxmlformats.org/officeDocument/2006/relationships/hyperlink" Target="https://github.com/motdotla/dotenv" TargetMode="External"/><Relationship Id="rIdkbq58sfvofzvlzndixcii" Type="http://schemas.openxmlformats.org/officeDocument/2006/relationships/hyperlink" Target="https://www.postgresql.org" TargetMode="External"/><Relationship Id="rIdtv517a9os5xmecuwaolfk" Type="http://schemas.openxmlformats.org/officeDocument/2006/relationships/hyperlink" Target="https://ronavi-robotics.ru/software-information" TargetMode="External"/><Relationship Id="rIdnmofu-54iiwudng957ang" Type="http://schemas.openxmlformats.org/officeDocument/2006/relationships/hyperlink" Target="https://ronavi-robotics.ru/media/tpost/l8s0fty3m1-kak-schitat-stoimost-vladeniya-tco-logis" TargetMode="External"/><Relationship Id="rIdagkgbxl33samzkghspgne" Type="http://schemas.openxmlformats.org/officeDocument/2006/relationships/hyperlink" Target="https://waybotrobotics.com/buy-rent" TargetMode="External"/><Relationship Id="rId0lzekhftemd8irtn0wnah" Type="http://schemas.openxmlformats.org/officeDocument/2006/relationships/hyperlink" Target="https://stellmart.ru/logisticheskie-roboty/ronavi-h1500/" TargetMode="External"/><Relationship Id="rId-gmnyf0mau9jthdrdfdwp" Type="http://schemas.openxmlformats.org/officeDocument/2006/relationships/hyperlink" Target="https://ronavi-robotics.ru/media/tpost/l8s0fty3m1-kak-schitat-stoimost-vladeniya-tco-logis" TargetMode="External"/><Relationship Id="rId2ia2ceglej5pux_heusvm" Type="http://schemas.openxmlformats.org/officeDocument/2006/relationships/hyperlink" Target="https://stellmart.ru/logisticheskie-roboty/ronavi-h1500/" TargetMode="External"/><Relationship Id="rIdvwblrf-vhcfzrihyakhbo" Type="http://schemas.openxmlformats.org/officeDocument/2006/relationships/hyperlink" Target="https://r2b.company/blog/promyshlennyy-robot-uborschik-zachem-on-nuzhen-i-kak-rasschitat-okupaemost" TargetMode="External"/><Relationship Id="rIdfqvxlq4fujoorzfjx3scg" Type="http://schemas.openxmlformats.org/officeDocument/2006/relationships/hyperlink" Target="https://waybotrobotics.com/guarantee" TargetMode="External"/><Relationship Id="rIdbp2uqv56eurtpbjfpvqll" Type="http://schemas.openxmlformats.org/officeDocument/2006/relationships/hyperlink" Target="https://ronavi-robotics.ru/media/tpost/l8s0fty3m1-kak-schitat-stoimost-vladeniya-tco-logis" TargetMode="External"/><Relationship Id="rIdspx2_8rybdpvxeusqv939" Type="http://schemas.openxmlformats.org/officeDocument/2006/relationships/hyperlink" Target="https://robotrends.ru/robopedia/ronavi-robotics" TargetMode="External"/><Relationship Id="rId7o0z5hbmyx5kpmrepssly" Type="http://schemas.openxmlformats.org/officeDocument/2006/relationships/hyperlink" Target="https://r2b.company/blog/promyshlennyy-robot-uborschik-zachem-on-nuzhen-i-kak-rasschitat-okupaemost" TargetMode="External"/><Relationship Id="rId4_egc8z3wmgfvjnxeezkk" Type="http://schemas.openxmlformats.org/officeDocument/2006/relationships/hyperlink" Target="https://r2b.company/rent" TargetMode="External"/><Relationship Id="rId7kzqzbvujxt988tp0los4" Type="http://schemas.openxmlformats.org/officeDocument/2006/relationships/hyperlink" Target="https://waybotrobotics.com/buy-rent" TargetMode="External"/><Relationship Id="rId-eon_vo8cfmi4jscccmps" Type="http://schemas.openxmlformats.org/officeDocument/2006/relationships/hyperlink" Target="http://localhost:3000" TargetMode="External"/><Relationship Id="rIdx3tr2qpkvitx5nmchdk0t" Type="http://schemas.openxmlformats.org/officeDocument/2006/relationships/hyperlink" Target="http://localhost:3001" TargetMode="External"/><Relationship Id="rIdxisqijwmghabocarkomfm" Type="http://schemas.openxmlformats.org/officeDocument/2006/relationships/hyperlink" Target="http://localhost:3000" TargetMode="External"/><Relationship Id="rIdmv4mchuwmr5uecvijdubi" Type="http://schemas.openxmlformats.org/officeDocument/2006/relationships/hyperlink" Target="https://github.com/jordanbarnesceo88-tech/hackaton" TargetMode="External"/><Relationship Id="rId15" Type="http://schemas.openxmlformats.org/officeDocument/2006/relationships/image" Target="media/1d391ad216a221a496a54567a50e688a749c878a.png"/><Relationship Id="rId16" Type="http://schemas.openxmlformats.org/officeDocument/2006/relationships/image" Target="media/59b4b92c70230b84d044370bbe9e1f738d464a8b.png"/><Relationship Id="rId17" Type="http://schemas.openxmlformats.org/officeDocument/2006/relationships/image" Target="media/91ebed47d9fb1e7acc25dc4174be32dd9d540ae7.png"/><Relationship Id="rId18" Type="http://schemas.openxmlformats.org/officeDocument/2006/relationships/image" Target="media/184f5a70ea213b31172b6e0fc07657c35d11a76d.png"/><Relationship Id="rId19" Type="http://schemas.openxmlformats.org/officeDocument/2006/relationships/image" Target="media/6a5f0526a7d495ebe0a7de23762a3e18dc9ee08c.png"/><Relationship Id="rId20" Type="http://schemas.openxmlformats.org/officeDocument/2006/relationships/image" Target="media/1bc25b2011dc096be8ee490fbfffaaed6f15a08a.png"/><Relationship Id="rId21" Type="http://schemas.openxmlformats.org/officeDocument/2006/relationships/image" Target="media/0f61cc8df45f6dffc695ff5cd70245a633e094b1.png"/><Relationship Id="rId22" Type="http://schemas.openxmlformats.org/officeDocument/2006/relationships/image" Target="media/888c4cc6b78add6b37414a0f5511925d26a12d67.png"/><Relationship Id="rId23" Type="http://schemas.openxmlformats.org/officeDocument/2006/relationships/image" Target="media/ed36e77d9775e65e701fba589299573488f457f1.png"/><Relationship Id="rId24" Type="http://schemas.openxmlformats.org/officeDocument/2006/relationships/image" Target="media/26dfd4c74de16316ec7ae858a268a52ff85cc8a9.png"/><Relationship Id="rId25" Type="http://schemas.openxmlformats.org/officeDocument/2006/relationships/image" Target="media/afefbbc78ad9cd06acd0aa6d11e79407d2d11176.png"/><Relationship Id="rId26" Type="http://schemas.openxmlformats.org/officeDocument/2006/relationships/image" Target="media/15dc83ecb47b91c0f6a09c1cde3f7a7c9ded8738.png"/><Relationship Id="rId27" Type="http://schemas.openxmlformats.org/officeDocument/2006/relationships/image" Target="media/b780cac449c74085f30c5060067225638b0e3ce5.png"/><Relationship Id="rId28" Type="http://schemas.openxmlformats.org/officeDocument/2006/relationships/image" Target="media/b8bd65e8a0b64059b0cc4dcf16c59dae31a923cc.png"/><Relationship Id="rId29" Type="http://schemas.openxmlformats.org/officeDocument/2006/relationships/image" Target="media/6644502d42af8ebb0f44570c18ffc52fa0b3d4dc.png"/><Relationship Id="rId30" Type="http://schemas.openxmlformats.org/officeDocument/2006/relationships/image" Target="media/51697a24927646c153ef5c40ae24c6ee337a6a1c.png"/><Relationship Id="rId31" Type="http://schemas.openxmlformats.org/officeDocument/2006/relationships/image" Target="media/db4a53a3a754e3a59826efaa43ee9e28c46f6048.png"/><Relationship Id="rId7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Платформа оценки роботизации — сопроводительная документация</dc:title>
  <dc:creator>Платформа оценки роботизации</dc:creator>
  <dc:description>Сопроводительная документация по ТЗ §6.1–6.10</dc:description>
  <cp:lastModifiedBy>Un-named</cp:lastModifiedBy>
  <cp:revision>1</cp:revision>
  <dcterms:created xsi:type="dcterms:W3CDTF">2026-09-25T16:00:32.777Z</dcterms:created>
  <dcterms:modified xsi:type="dcterms:W3CDTF">2026-09-25T16:00:32.778Z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