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06DAE"/>
          <w:sz w:val="16"/>
          <w:szCs w:val="16"/>
        </w:rPr>
        <w:t xml:space="preserve">EXAM DELIVERY TEAM</w:t>
      </w:r>
    </w:p>
    <w:p>
      <w:pPr>
        <w:spacing w:after="80"/>
      </w:pPr>
      <w:r>
        <w:rPr>
          <w:rFonts w:ascii="Calibri" w:cs="Calibri" w:eastAsia="Calibri" w:hAnsi="Calibri"/>
          <w:b/>
          <w:bCs/>
          <w:color w:val="004165"/>
          <w:sz w:val="40"/>
          <w:szCs w:val="40"/>
        </w:rPr>
        <w:t xml:space="preserve">Authorised Materials QC</w:t>
      </w:r>
    </w:p>
    <w:p>
      <w:pPr>
        <w:spacing w:after="240" w:before="0"/>
      </w:pPr>
      <w:r>
        <w:rPr>
          <w:rFonts w:ascii="Calibri" w:cs="Calibri" w:eastAsia="Calibri" w:hAnsi="Calibri"/>
          <w:color w:val="6B7780"/>
          <w:sz w:val="26"/>
          <w:szCs w:val="26"/>
        </w:rPr>
        <w:t xml:space="preserve">Decisions needed before the training guide is finished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fill="F4F8FB" w:color="auto" w:val="clear"/>
            <w:tcMar>
              <w:top w:type="dxa" w:w="80"/>
              <w:left w:type="dxa" w:w="120"/>
              <w:bottom w:type="dxa" w:w="80"/>
              <w:right w:type="dxa" w:w="120"/>
            </w:tcMar>
          </w:tcPr>
          <w:p>
            <w:pPr>
              <w:spacing w:after="0" w:before="0"/>
            </w:pPr>
            <w:r>
              <w:rPr>
                <w:rFonts w:ascii="Calibri" w:cs="Calibri" w:eastAsia="Calibri" w:hAnsi="Calibri"/>
                <w:b/>
                <w:bCs/>
                <w:color w:val="1A1A1A"/>
                <w:sz w:val="20"/>
                <w:szCs w:val="20"/>
              </w:rPr>
              <w:t xml:space="preserve">Prepared</w:t>
            </w:r>
          </w:p>
        </w:tc>
        <w:tc>
          <w:tcPr>
            <w:tcW w:type="dxa" w:w="6826"/>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11 September 2026, against build 2026-09-11.234939</w:t>
            </w:r>
          </w:p>
        </w:tc>
      </w:tr>
      <w:tr>
        <w:tc>
          <w:tcPr>
            <w:tcW w:type="dxa" w:w="2200"/>
            <w:shd w:fill="F4F8FB" w:color="auto" w:val="clear"/>
            <w:tcMar>
              <w:top w:type="dxa" w:w="80"/>
              <w:left w:type="dxa" w:w="120"/>
              <w:bottom w:type="dxa" w:w="80"/>
              <w:right w:type="dxa" w:w="120"/>
            </w:tcMar>
          </w:tcPr>
          <w:p>
            <w:pPr>
              <w:spacing w:after="0" w:before="0"/>
            </w:pPr>
            <w:r>
              <w:rPr>
                <w:rFonts w:ascii="Calibri" w:cs="Calibri" w:eastAsia="Calibri" w:hAnsi="Calibri"/>
                <w:b/>
                <w:bCs/>
                <w:color w:val="1A1A1A"/>
                <w:sz w:val="20"/>
                <w:szCs w:val="20"/>
              </w:rPr>
              <w:t xml:space="preserve">For</w:t>
            </w:r>
          </w:p>
        </w:tc>
        <w:tc>
          <w:tcPr>
            <w:tcW w:type="dxa" w:w="6826"/>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Senior Delivery, as process owner</w:t>
            </w:r>
          </w:p>
        </w:tc>
      </w:tr>
      <w:tr>
        <w:tc>
          <w:tcPr>
            <w:tcW w:type="dxa" w:w="2200"/>
            <w:shd w:fill="F4F8FB" w:color="auto" w:val="clear"/>
            <w:tcMar>
              <w:top w:type="dxa" w:w="80"/>
              <w:left w:type="dxa" w:w="120"/>
              <w:bottom w:type="dxa" w:w="80"/>
              <w:right w:type="dxa" w:w="120"/>
            </w:tcMar>
          </w:tcPr>
          <w:p>
            <w:pPr>
              <w:spacing w:after="0" w:before="0"/>
            </w:pPr>
            <w:r>
              <w:rPr>
                <w:rFonts w:ascii="Calibri" w:cs="Calibri" w:eastAsia="Calibri" w:hAnsi="Calibri"/>
                <w:b/>
                <w:bCs/>
                <w:color w:val="1A1A1A"/>
                <w:sz w:val="20"/>
                <w:szCs w:val="20"/>
              </w:rPr>
              <w:t xml:space="preserve">Answered by</w:t>
            </w:r>
          </w:p>
        </w:tc>
        <w:tc>
          <w:tcPr>
            <w:tcW w:type="dxa" w:w="6826"/>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 </w:t>
            </w:r>
          </w:p>
        </w:tc>
      </w:tr>
      <w:tr>
        <w:tc>
          <w:tcPr>
            <w:tcW w:type="dxa" w:w="2200"/>
            <w:shd w:fill="F4F8FB" w:color="auto" w:val="clear"/>
            <w:tcMar>
              <w:top w:type="dxa" w:w="80"/>
              <w:left w:type="dxa" w:w="120"/>
              <w:bottom w:type="dxa" w:w="80"/>
              <w:right w:type="dxa" w:w="120"/>
            </w:tcMar>
          </w:tcPr>
          <w:p>
            <w:pPr>
              <w:spacing w:after="0" w:before="0"/>
            </w:pPr>
            <w:r>
              <w:rPr>
                <w:rFonts w:ascii="Calibri" w:cs="Calibri" w:eastAsia="Calibri" w:hAnsi="Calibri"/>
                <w:b/>
                <w:bCs/>
                <w:color w:val="1A1A1A"/>
                <w:sz w:val="20"/>
                <w:szCs w:val="20"/>
              </w:rPr>
              <w:t xml:space="preserve">Date</w:t>
            </w:r>
          </w:p>
        </w:tc>
        <w:tc>
          <w:tcPr>
            <w:tcW w:type="dxa" w:w="6826"/>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 </w:t>
            </w:r>
          </w:p>
        </w:tc>
      </w:tr>
    </w:tbl>
    <w:p>
      <w:pPr>
        <w:spacing w:after="120" w:before="0"/>
      </w:pPr>
      <w:r>
        <w:rPr>
          <w:rFonts w:ascii="Calibri" w:cs="Calibri" w:eastAsia="Calibri" w:hAnsi="Calibri"/>
          <w:color w:val="1A1A1A"/>
          <w:sz w:val="20"/>
          <w:szCs w:val="20"/>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6E5" w:color="auto" w:val="clear"/>
            <w:tcMar>
              <w:top w:type="dxa" w:w="80"/>
              <w:left w:type="dxa" w:w="120"/>
              <w:bottom w:type="dxa" w:w="80"/>
              <w:right w:type="dxa" w:w="120"/>
            </w:tcMar>
          </w:tcPr>
          <w:p>
            <w:pPr>
              <w:spacing w:after="120" w:before="0"/>
            </w:pPr>
            <w:r>
              <w:rPr>
                <w:rFonts w:ascii="Calibri" w:cs="Calibri" w:eastAsia="Calibri" w:hAnsi="Calibri"/>
                <w:b/>
                <w:bCs/>
                <w:color w:val="004165"/>
                <w:sz w:val="20"/>
                <w:szCs w:val="20"/>
              </w:rPr>
              <w:t xml:space="preserve">How to use this</w:t>
            </w:r>
          </w:p>
          <w:p>
            <w:pPr>
              <w:spacing w:after="120" w:before="0"/>
            </w:pPr>
            <w:r>
              <w:rPr>
                <w:rFonts w:ascii="Calibri" w:cs="Calibri" w:eastAsia="Calibri" w:hAnsi="Calibri"/>
                <w:color w:val="1A1A1A"/>
                <w:sz w:val="20"/>
                <w:szCs w:val="20"/>
              </w:rPr>
              <w:t xml:space="preserve">Thirteen questions. Each one changes an instruction or a scored self-test answer in the Authorised Materials QC guide, so the guide should not be treated as finished until they are settled.</w:t>
            </w:r>
          </w:p>
          <w:p>
            <w:pPr>
              <w:spacing w:after="120" w:before="0"/>
            </w:pPr>
            <w:r>
              <w:rPr>
                <w:rFonts w:ascii="Calibri" w:cs="Calibri" w:eastAsia="Calibri" w:hAnsi="Calibri"/>
                <w:color w:val="1A1A1A"/>
                <w:sz w:val="20"/>
                <w:szCs w:val="20"/>
              </w:rPr>
              <w:t xml:space="preserve">Every item says what the question is, what in the guide depends on it, and what the existing source documents do and do not say. Type into the Answer box under each one and send the document back. Where a question has parts (a), (b) and so on, please answer each part.</w:t>
            </w:r>
          </w:p>
          <w:p>
            <w:pPr>
              <w:spacing w:after="0" w:before="0"/>
            </w:pPr>
            <w:r>
              <w:rPr>
                <w:rFonts w:ascii="Calibri" w:cs="Calibri" w:eastAsia="Calibri" w:hAnsi="Calibri"/>
                <w:color w:val="1A1A1A"/>
                <w:sz w:val="20"/>
                <w:szCs w:val="20"/>
              </w:rPr>
              <w:t xml:space="preserve">Where an answer is not known yet, say so rather than leaving it blank, so the gap is deliberate.</w:t>
            </w:r>
          </w:p>
        </w:tc>
      </w:tr>
    </w:tbl>
    <w:p>
      <w:pPr>
        <w:spacing w:after="200" w:before="0"/>
      </w:pPr>
      <w:r>
        <w:rPr>
          <w:rFonts w:ascii="Calibri" w:cs="Calibri" w:eastAsia="Calibri" w:hAnsi="Calibri"/>
          <w:color w:val="1A1A1A"/>
          <w:sz w:val="20"/>
          <w:szCs w:val="20"/>
        </w:rPr>
        <w:t xml:space="preserve"> </w:t>
      </w:r>
    </w:p>
    <w:p>
      <w:pPr>
        <w:spacing w:after="120" w:before="0"/>
      </w:pPr>
      <w:r>
        <w:rPr>
          <w:rFonts w:ascii="Calibri" w:cs="Calibri" w:eastAsia="Calibri" w:hAnsi="Calibri"/>
          <w:b/>
          <w:bCs/>
          <w:color w:val="004165"/>
          <w:sz w:val="26"/>
          <w:szCs w:val="26"/>
        </w:rPr>
        <w:t xml:space="preserve">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026"/>
        <w:gridCol w:w="1400"/>
      </w:tblGrid>
      <w:tr>
        <w:trPr>
          <w:tblHeader/>
        </w:trPr>
        <w:tc>
          <w:tcPr>
            <w:tcW w:type="dxa" w:w="600"/>
            <w:shd w:fill="004165"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w:t>
            </w:r>
          </w:p>
        </w:tc>
        <w:tc>
          <w:tcPr>
            <w:tcW w:type="dxa" w:w="7026"/>
            <w:shd w:fill="004165"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Decision</w:t>
            </w:r>
          </w:p>
        </w:tc>
        <w:tc>
          <w:tcPr>
            <w:tcW w:type="dxa" w:w="1400"/>
            <w:shd w:fill="004165"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Priority</w:t>
            </w:r>
          </w:p>
        </w:tc>
      </w:tr>
      <w:tr>
        <w:tc>
          <w:tcPr>
            <w:tcW w:type="dxa" w:w="600"/>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1</w:t>
            </w:r>
          </w:p>
        </w:tc>
        <w:tc>
          <w:tcPr>
            <w:tcW w:type="dxa" w:w="7026"/>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Where are answer sheet counts actually read?</w:t>
            </w:r>
          </w:p>
        </w:tc>
        <w:tc>
          <w:tcPr>
            <w:tcW w:type="dxa" w:w="1400"/>
            <w:tcMar>
              <w:top w:type="dxa" w:w="80"/>
              <w:left w:type="dxa" w:w="120"/>
              <w:bottom w:type="dxa" w:w="80"/>
              <w:right w:type="dxa" w:w="120"/>
            </w:tcMar>
          </w:tcPr>
          <w:p>
            <w:pPr>
              <w:spacing w:after="0" w:before="0"/>
            </w:pPr>
            <w:r>
              <w:rPr>
                <w:rFonts w:ascii="Calibri" w:cs="Calibri" w:eastAsia="Calibri" w:hAnsi="Calibri"/>
                <w:b/>
                <w:bCs/>
                <w:color w:val="1A1A1A"/>
                <w:sz w:val="20"/>
                <w:szCs w:val="20"/>
              </w:rPr>
              <w:t xml:space="preserve">High</w:t>
            </w:r>
          </w:p>
        </w:tc>
      </w:tr>
      <w:tr>
        <w:tc>
          <w:tcPr>
            <w:tcW w:type="dxa" w:w="600"/>
            <w:shd w:fill="F4F8FB" w:color="auto" w:val="clear"/>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2</w:t>
            </w:r>
          </w:p>
        </w:tc>
        <w:tc>
          <w:tcPr>
            <w:tcW w:type="dxa" w:w="7026"/>
            <w:shd w:fill="F4F8FB" w:color="auto" w:val="clear"/>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Which rows may a checker take, and column C</w:t>
            </w:r>
          </w:p>
        </w:tc>
        <w:tc>
          <w:tcPr>
            <w:tcW w:type="dxa" w:w="1400"/>
            <w:shd w:fill="F4F8FB" w:color="auto" w:val="clear"/>
            <w:tcMar>
              <w:top w:type="dxa" w:w="80"/>
              <w:left w:type="dxa" w:w="120"/>
              <w:bottom w:type="dxa" w:w="80"/>
              <w:right w:type="dxa" w:w="120"/>
            </w:tcMar>
          </w:tcPr>
          <w:p>
            <w:pPr>
              <w:spacing w:after="0" w:before="0"/>
            </w:pPr>
            <w:r>
              <w:rPr>
                <w:rFonts w:ascii="Calibri" w:cs="Calibri" w:eastAsia="Calibri" w:hAnsi="Calibri"/>
                <w:b/>
                <w:bCs/>
                <w:color w:val="1A1A1A"/>
                <w:sz w:val="20"/>
                <w:szCs w:val="20"/>
              </w:rPr>
              <w:t xml:space="preserve">High</w:t>
            </w:r>
          </w:p>
        </w:tc>
      </w:tr>
      <w:tr>
        <w:tc>
          <w:tcPr>
            <w:tcW w:type="dxa" w:w="600"/>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3</w:t>
            </w:r>
          </w:p>
        </w:tc>
        <w:tc>
          <w:tcPr>
            <w:tcW w:type="dxa" w:w="7026"/>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Outcome precedence</w:t>
            </w:r>
          </w:p>
        </w:tc>
        <w:tc>
          <w:tcPr>
            <w:tcW w:type="dxa" w:w="1400"/>
            <w:tcMar>
              <w:top w:type="dxa" w:w="80"/>
              <w:left w:type="dxa" w:w="120"/>
              <w:bottom w:type="dxa" w:w="80"/>
              <w:right w:type="dxa" w:w="120"/>
            </w:tcMar>
          </w:tcPr>
          <w:p>
            <w:pPr>
              <w:spacing w:after="0" w:before="0"/>
            </w:pPr>
            <w:r>
              <w:rPr>
                <w:rFonts w:ascii="Calibri" w:cs="Calibri" w:eastAsia="Calibri" w:hAnsi="Calibri"/>
                <w:b/>
                <w:bCs/>
                <w:color w:val="1A1A1A"/>
                <w:sz w:val="20"/>
                <w:szCs w:val="20"/>
              </w:rPr>
              <w:t xml:space="preserve">High</w:t>
            </w:r>
          </w:p>
        </w:tc>
      </w:tr>
      <w:tr>
        <w:tc>
          <w:tcPr>
            <w:tcW w:type="dxa" w:w="600"/>
            <w:shd w:fill="F4F8FB" w:color="auto" w:val="clear"/>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4</w:t>
            </w:r>
          </w:p>
        </w:tc>
        <w:tc>
          <w:tcPr>
            <w:tcW w:type="dxa" w:w="7026"/>
            <w:shd w:fill="F4F8FB" w:color="auto" w:val="clear"/>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Access prerequisites</w:t>
            </w:r>
          </w:p>
        </w:tc>
        <w:tc>
          <w:tcPr>
            <w:tcW w:type="dxa" w:w="1400"/>
            <w:shd w:fill="F4F8FB" w:color="auto" w:val="clear"/>
            <w:tcMar>
              <w:top w:type="dxa" w:w="80"/>
              <w:left w:type="dxa" w:w="120"/>
              <w:bottom w:type="dxa" w:w="80"/>
              <w:right w:type="dxa" w:w="120"/>
            </w:tcMar>
          </w:tcPr>
          <w:p>
            <w:pPr>
              <w:spacing w:after="0" w:before="0"/>
            </w:pPr>
            <w:r>
              <w:rPr>
                <w:rFonts w:ascii="Calibri" w:cs="Calibri" w:eastAsia="Calibri" w:hAnsi="Calibri"/>
                <w:b/>
                <w:bCs/>
                <w:color w:val="1A1A1A"/>
                <w:sz w:val="20"/>
                <w:szCs w:val="20"/>
              </w:rPr>
              <w:t xml:space="preserve">High</w:t>
            </w:r>
          </w:p>
        </w:tc>
      </w:tr>
      <w:tr>
        <w:tc>
          <w:tcPr>
            <w:tcW w:type="dxa" w:w="600"/>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5</w:t>
            </w:r>
          </w:p>
        </w:tc>
        <w:tc>
          <w:tcPr>
            <w:tcW w:type="dxa" w:w="7026"/>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Material differences between sittings and cohorts</w:t>
            </w:r>
          </w:p>
        </w:tc>
        <w:tc>
          <w:tcPr>
            <w:tcW w:type="dxa" w:w="1400"/>
            <w:tcMar>
              <w:top w:type="dxa" w:w="80"/>
              <w:left w:type="dxa" w:w="120"/>
              <w:bottom w:type="dxa" w:w="80"/>
              <w:right w:type="dxa" w:w="120"/>
            </w:tcMar>
          </w:tcPr>
          <w:p>
            <w:pPr>
              <w:spacing w:after="0" w:before="0"/>
            </w:pPr>
            <w:r>
              <w:rPr>
                <w:rFonts w:ascii="Calibri" w:cs="Calibri" w:eastAsia="Calibri" w:hAnsi="Calibri"/>
                <w:b/>
                <w:bCs/>
                <w:color w:val="1A1A1A"/>
                <w:sz w:val="20"/>
                <w:szCs w:val="20"/>
              </w:rPr>
              <w:t xml:space="preserve">High</w:t>
            </w:r>
          </w:p>
        </w:tc>
      </w:tr>
      <w:tr>
        <w:tc>
          <w:tcPr>
            <w:tcW w:type="dxa" w:w="600"/>
            <w:shd w:fill="F4F8FB" w:color="auto" w:val="clear"/>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6</w:t>
            </w:r>
          </w:p>
        </w:tc>
        <w:tc>
          <w:tcPr>
            <w:tcW w:type="dxa" w:w="7026"/>
            <w:shd w:fill="F4F8FB" w:color="auto" w:val="clear"/>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One source contradicting itself</w:t>
            </w:r>
          </w:p>
        </w:tc>
        <w:tc>
          <w:tcPr>
            <w:tcW w:type="dxa" w:w="1400"/>
            <w:shd w:fill="F4F8FB" w:color="auto"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Medium</w:t>
            </w:r>
          </w:p>
        </w:tc>
      </w:tr>
      <w:tr>
        <w:tc>
          <w:tcPr>
            <w:tcW w:type="dxa" w:w="600"/>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7</w:t>
            </w:r>
          </w:p>
        </w:tc>
        <w:tc>
          <w:tcPr>
            <w:tcW w:type="dxa" w:w="7026"/>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Two addresses for the Lookup Tool</w:t>
            </w:r>
          </w:p>
        </w:tc>
        <w:tc>
          <w:tcPr>
            <w:tcW w:type="dxa" w:w="1400"/>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Medium</w:t>
            </w:r>
          </w:p>
        </w:tc>
      </w:tr>
      <w:tr>
        <w:tc>
          <w:tcPr>
            <w:tcW w:type="dxa" w:w="600"/>
            <w:shd w:fill="F4F8FB" w:color="auto" w:val="clear"/>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8</w:t>
            </w:r>
          </w:p>
        </w:tc>
        <w:tc>
          <w:tcPr>
            <w:tcW w:type="dxa" w:w="7026"/>
            <w:shd w:fill="F4F8FB" w:color="auto" w:val="clear"/>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Open Book with Additional Device, internet access</w:t>
            </w:r>
          </w:p>
        </w:tc>
        <w:tc>
          <w:tcPr>
            <w:tcW w:type="dxa" w:w="1400"/>
            <w:shd w:fill="F4F8FB" w:color="auto"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Medium</w:t>
            </w:r>
          </w:p>
        </w:tc>
      </w:tr>
      <w:tr>
        <w:tc>
          <w:tcPr>
            <w:tcW w:type="dxa" w:w="600"/>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9</w:t>
            </w:r>
          </w:p>
        </w:tc>
        <w:tc>
          <w:tcPr>
            <w:tcW w:type="dxa" w:w="7026"/>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Three conventions the guide was teaching without a source</w:t>
            </w:r>
          </w:p>
        </w:tc>
        <w:tc>
          <w:tcPr>
            <w:tcW w:type="dxa" w:w="1400"/>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Medium</w:t>
            </w:r>
          </w:p>
        </w:tc>
      </w:tr>
      <w:tr>
        <w:tc>
          <w:tcPr>
            <w:tcW w:type="dxa" w:w="600"/>
            <w:shd w:fill="F4F8FB" w:color="auto" w:val="clear"/>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10</w:t>
            </w:r>
          </w:p>
        </w:tc>
        <w:tc>
          <w:tcPr>
            <w:tcW w:type="dxa" w:w="7026"/>
            <w:shd w:fill="F4F8FB" w:color="auto" w:val="clear"/>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Reminder and escalation triggers</w:t>
            </w:r>
          </w:p>
        </w:tc>
        <w:tc>
          <w:tcPr>
            <w:tcW w:type="dxa" w:w="1400"/>
            <w:shd w:fill="F4F8FB" w:color="auto"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Medium</w:t>
            </w:r>
          </w:p>
        </w:tc>
      </w:tr>
      <w:tr>
        <w:tc>
          <w:tcPr>
            <w:tcW w:type="dxa" w:w="600"/>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11</w:t>
            </w:r>
          </w:p>
        </w:tc>
        <w:tc>
          <w:tcPr>
            <w:tcW w:type="dxa" w:w="7026"/>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Practice before live work</w:t>
            </w:r>
          </w:p>
        </w:tc>
        <w:tc>
          <w:tcPr>
            <w:tcW w:type="dxa" w:w="1400"/>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Medium</w:t>
            </w:r>
          </w:p>
        </w:tc>
      </w:tr>
      <w:tr>
        <w:tc>
          <w:tcPr>
            <w:tcW w:type="dxa" w:w="600"/>
            <w:shd w:fill="F4F8FB" w:color="auto" w:val="clear"/>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12</w:t>
            </w:r>
          </w:p>
        </w:tc>
        <w:tc>
          <w:tcPr>
            <w:tcW w:type="dxa" w:w="7026"/>
            <w:shd w:fill="F4F8FB" w:color="auto" w:val="clear"/>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Timing expectations</w:t>
            </w:r>
          </w:p>
        </w:tc>
        <w:tc>
          <w:tcPr>
            <w:tcW w:type="dxa" w:w="1400"/>
            <w:shd w:fill="F4F8FB" w:color="auto" w:val="clear"/>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Low</w:t>
            </w:r>
          </w:p>
        </w:tc>
      </w:tr>
      <w:tr>
        <w:tc>
          <w:tcPr>
            <w:tcW w:type="dxa" w:w="600"/>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13</w:t>
            </w:r>
          </w:p>
        </w:tc>
        <w:tc>
          <w:tcPr>
            <w:tcW w:type="dxa" w:w="7026"/>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Worksheet tab name</w:t>
            </w:r>
          </w:p>
        </w:tc>
        <w:tc>
          <w:tcPr>
            <w:tcW w:type="dxa" w:w="1400"/>
            <w:tcMar>
              <w:top w:type="dxa" w:w="80"/>
              <w:left w:type="dxa" w:w="120"/>
              <w:bottom w:type="dxa" w:w="80"/>
              <w:right w:type="dxa" w:w="120"/>
            </w:tcMar>
          </w:tcPr>
          <w:p>
            <w:pPr>
              <w:spacing w:after="0" w:before="0"/>
            </w:pPr>
            <w:r>
              <w:rPr>
                <w:rFonts w:ascii="Calibri" w:cs="Calibri" w:eastAsia="Calibri" w:hAnsi="Calibri"/>
                <w:b w:val="false"/>
                <w:bCs w:val="false"/>
                <w:color w:val="1A1A1A"/>
                <w:sz w:val="20"/>
                <w:szCs w:val="20"/>
              </w:rPr>
              <w:t xml:space="preserve">Low</w:t>
            </w:r>
          </w:p>
        </w:tc>
      </w:tr>
    </w:tbl>
    <w:p>
      <w:r>
        <w:br w:type="page"/>
      </w:r>
    </w:p>
    <w:p>
      <w:pPr>
        <w:pStyle w:val="Heading2"/>
        <w:spacing w:after="100" w:before="0"/>
      </w:pPr>
      <w:r>
        <w:rPr>
          <w:rFonts w:ascii="Calibri" w:cs="Calibri" w:eastAsia="Calibri" w:hAnsi="Calibri"/>
          <w:b/>
          <w:bCs/>
          <w:color w:val="004165"/>
          <w:sz w:val="26"/>
          <w:szCs w:val="26"/>
        </w:rPr>
        <w:t xml:space="preserve">1. Where are answer sheet counts actually read?</w:t>
      </w:r>
    </w:p>
    <w:p>
      <w:pPr>
        <w:spacing w:after="140" w:before="0"/>
      </w:pPr>
      <w:r>
        <w:rPr>
          <w:rFonts w:ascii="Calibri" w:cs="Calibri" w:eastAsia="Calibri" w:hAnsi="Calibri"/>
          <w:b/>
          <w:bCs/>
          <w:color w:val="6B7780"/>
          <w:sz w:val="20"/>
          <w:szCs w:val="20"/>
        </w:rPr>
        <w:t xml:space="preserve">Priority: </w:t>
      </w:r>
      <w:r>
        <w:rPr>
          <w:rFonts w:ascii="Calibri" w:cs="Calibri" w:eastAsia="Calibri" w:hAnsi="Calibri"/>
          <w:color w:val="6B7780"/>
          <w:sz w:val="20"/>
          <w:szCs w:val="20"/>
        </w:rPr>
        <w:t xml:space="preserve">High</w:t>
      </w:r>
    </w:p>
    <w:p>
      <w:pPr>
        <w:spacing w:after="60" w:before="0"/>
      </w:pPr>
      <w:r>
        <w:rPr>
          <w:rFonts w:ascii="Calibri" w:cs="Calibri" w:eastAsia="Calibri" w:hAnsi="Calibri"/>
          <w:b/>
          <w:bCs/>
          <w:color w:val="006DAE"/>
          <w:sz w:val="20"/>
          <w:szCs w:val="20"/>
        </w:rPr>
        <w:t xml:space="preserve">The question</w:t>
      </w:r>
    </w:p>
    <w:p>
      <w:pPr>
        <w:spacing w:after="160" w:before="0"/>
      </w:pPr>
      <w:r>
        <w:rPr>
          <w:rFonts w:ascii="Calibri" w:cs="Calibri" w:eastAsia="Calibri" w:hAnsi="Calibri"/>
          <w:color w:val="1A1A1A"/>
          <w:sz w:val="20"/>
          <w:szCs w:val="20"/>
        </w:rPr>
        <w:t xml:space="preserve">In each of the three sources, where does a checker read a number of answer sheets that can be compared against another source?</w:t>
      </w:r>
    </w:p>
    <w:p>
      <w:pPr>
        <w:spacing w:after="60" w:before="0"/>
      </w:pPr>
      <w:r>
        <w:rPr>
          <w:rFonts w:ascii="Calibri" w:cs="Calibri" w:eastAsia="Calibri" w:hAnsi="Calibri"/>
          <w:b/>
          <w:bCs/>
          <w:color w:val="006DAE"/>
          <w:sz w:val="20"/>
          <w:szCs w:val="20"/>
        </w:rPr>
        <w:t xml:space="preserve">What depends on it</w:t>
      </w:r>
    </w:p>
    <w:p>
      <w:pPr>
        <w:spacing w:after="160" w:before="0"/>
      </w:pPr>
      <w:r>
        <w:rPr>
          <w:rFonts w:ascii="Calibri" w:cs="Calibri" w:eastAsia="Calibri" w:hAnsi="Calibri"/>
          <w:color w:val="1A1A1A"/>
          <w:sz w:val="20"/>
          <w:szCs w:val="20"/>
        </w:rPr>
        <w:t xml:space="preserve">Section 8 now tells checkers that the eVigilation Hybrid field is a yes or no, that it is not a count, and that it cannot agree or disagree with a number. If eVigilation does in fact carry an answer sheet count, that instruction is wrong and every hybrid exam is being checked against the wrong field.</w:t>
      </w:r>
    </w:p>
    <w:p>
      <w:pPr>
        <w:spacing w:after="60" w:before="0"/>
      </w:pPr>
      <w:r>
        <w:rPr>
          <w:rFonts w:ascii="Calibri" w:cs="Calibri" w:eastAsia="Calibri" w:hAnsi="Calibri"/>
          <w:b/>
          <w:bCs/>
          <w:color w:val="006DAE"/>
          <w:sz w:val="20"/>
          <w:szCs w:val="20"/>
        </w:rPr>
        <w:t xml:space="preserve">What the sources say</w:t>
      </w:r>
    </w:p>
    <w:p>
      <w:pPr>
        <w:spacing w:after="160" w:before="0"/>
      </w:pPr>
      <w:r>
        <w:rPr>
          <w:rFonts w:ascii="Calibri" w:cs="Calibri" w:eastAsia="Calibri" w:hAnsi="Calibri"/>
          <w:color w:val="1A1A1A"/>
          <w:sz w:val="20"/>
          <w:szCs w:val="20"/>
        </w:rPr>
        <w:t xml:space="preserve">kayla_process.txt says: "Answer Sheets Discrepancy | Does the number of eVig match the number on eAssessment, flag a discrepancy if not." That implies eVigilation carries a number. The guide describes only a Hybrid yes/no flag. Both cannot be right.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shd w:fill="F4F8FB" w:color="auto" w:val="clear"/>
            <w:tcMar>
              <w:top w:type="dxa" w:w="80"/>
              <w:left w:type="dxa" w:w="120"/>
              <w:bottom w:type="dxa" w:w="80"/>
              <w:right w:type="dxa" w:w="120"/>
            </w:tcMar>
          </w:tcPr>
          <w:p>
            <w:pPr>
              <w:spacing w:after="0" w:before="0"/>
            </w:pPr>
            <w:r>
              <w:rPr>
                <w:rFonts w:ascii="Calibri" w:cs="Calibri" w:eastAsia="Calibri" w:hAnsi="Calibri"/>
                <w:b/>
                <w:bCs/>
                <w:color w:val="004165"/>
                <w:sz w:val="20"/>
                <w:szCs w:val="20"/>
              </w:rPr>
              <w:t xml:space="preserve">Answer</w:t>
            </w:r>
          </w:p>
        </w:tc>
        <w:tc>
          <w:tcPr>
            <w:tcW w:type="dxa" w:w="7526"/>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 </w:t>
            </w:r>
          </w:p>
          <w:p>
            <w:pPr>
              <w:spacing w:after="0" w:before="0"/>
            </w:pPr>
            <w:r>
              <w:rPr>
                <w:rFonts w:ascii="Calibri" w:cs="Calibri" w:eastAsia="Calibri" w:hAnsi="Calibri"/>
                <w:color w:val="1A1A1A"/>
                <w:sz w:val="20"/>
                <w:szCs w:val="20"/>
              </w:rPr>
              <w:t xml:space="preserve"> </w:t>
            </w:r>
          </w:p>
        </w:tc>
      </w:tr>
    </w:tbl>
    <w:p>
      <w:pPr>
        <w:pBdr>
          <w:bottom w:val="single" w:color="C9D6E0" w:sz="6"/>
        </w:pBdr>
        <w:spacing w:after="200" w:before="80"/>
      </w:pPr>
    </w:p>
    <w:p>
      <w:pPr>
        <w:pStyle w:val="Heading2"/>
        <w:spacing w:after="100" w:before="320"/>
      </w:pPr>
      <w:r>
        <w:rPr>
          <w:rFonts w:ascii="Calibri" w:cs="Calibri" w:eastAsia="Calibri" w:hAnsi="Calibri"/>
          <w:b/>
          <w:bCs/>
          <w:color w:val="004165"/>
          <w:sz w:val="26"/>
          <w:szCs w:val="26"/>
        </w:rPr>
        <w:t xml:space="preserve">2. Which rows may a checker take, and column C</w:t>
      </w:r>
    </w:p>
    <w:p>
      <w:pPr>
        <w:spacing w:after="140" w:before="0"/>
      </w:pPr>
      <w:r>
        <w:rPr>
          <w:rFonts w:ascii="Calibri" w:cs="Calibri" w:eastAsia="Calibri" w:hAnsi="Calibri"/>
          <w:b/>
          <w:bCs/>
          <w:color w:val="6B7780"/>
          <w:sz w:val="20"/>
          <w:szCs w:val="20"/>
        </w:rPr>
        <w:t xml:space="preserve">Priority: </w:t>
      </w:r>
      <w:r>
        <w:rPr>
          <w:rFonts w:ascii="Calibri" w:cs="Calibri" w:eastAsia="Calibri" w:hAnsi="Calibri"/>
          <w:color w:val="6B7780"/>
          <w:sz w:val="20"/>
          <w:szCs w:val="20"/>
        </w:rPr>
        <w:t xml:space="preserve">High</w:t>
      </w:r>
    </w:p>
    <w:p>
      <w:pPr>
        <w:spacing w:after="60" w:before="0"/>
      </w:pPr>
      <w:r>
        <w:rPr>
          <w:rFonts w:ascii="Calibri" w:cs="Calibri" w:eastAsia="Calibri" w:hAnsi="Calibri"/>
          <w:b/>
          <w:bCs/>
          <w:color w:val="006DAE"/>
          <w:sz w:val="20"/>
          <w:szCs w:val="20"/>
        </w:rPr>
        <w:t xml:space="preserve">The question</w:t>
      </w:r>
    </w:p>
    <w:p>
      <w:pPr>
        <w:spacing w:after="160" w:before="0"/>
      </w:pPr>
      <w:r>
        <w:rPr>
          <w:rFonts w:ascii="Calibri" w:cs="Calibri" w:eastAsia="Calibri" w:hAnsi="Calibri"/>
          <w:color w:val="1A1A1A"/>
          <w:sz w:val="20"/>
          <w:szCs w:val="20"/>
        </w:rPr>
        <w:t xml:space="preserve">Four parts. (a) Is 04.Handed over for QC in column C required alongside Enrolled and Synced in column F, or is column F sufficient on its own? (b) Who assigns a checker their rows or dates? (c) What should a checker do with a row that already has an entry in G, H or I? (d) How is a recheck recorded, as distinct from a first check?</w:t>
      </w:r>
    </w:p>
    <w:p>
      <w:pPr>
        <w:spacing w:after="60" w:before="0"/>
      </w:pPr>
      <w:r>
        <w:rPr>
          <w:rFonts w:ascii="Calibri" w:cs="Calibri" w:eastAsia="Calibri" w:hAnsi="Calibri"/>
          <w:b/>
          <w:bCs/>
          <w:color w:val="006DAE"/>
          <w:sz w:val="20"/>
          <w:szCs w:val="20"/>
        </w:rPr>
        <w:t xml:space="preserve">What depends on it</w:t>
      </w:r>
    </w:p>
    <w:p>
      <w:pPr>
        <w:spacing w:after="160" w:before="0"/>
      </w:pPr>
      <w:r>
        <w:rPr>
          <w:rFonts w:ascii="Calibri" w:cs="Calibri" w:eastAsia="Calibri" w:hAnsi="Calibri"/>
          <w:color w:val="1A1A1A"/>
          <w:sz w:val="20"/>
          <w:szCs w:val="20"/>
        </w:rPr>
        <w:t xml:space="preserve">Section 7 currently tells the reader to ask Senior Delivery before starting and to stop and ask if G, H or I already has content. That is honest but it is not a process, and it puts a new starter in a queue on their first morning.</w:t>
      </w:r>
    </w:p>
    <w:p>
      <w:pPr>
        <w:spacing w:after="60" w:before="0"/>
      </w:pPr>
      <w:r>
        <w:rPr>
          <w:rFonts w:ascii="Calibri" w:cs="Calibri" w:eastAsia="Calibri" w:hAnsi="Calibri"/>
          <w:b/>
          <w:bCs/>
          <w:color w:val="006DAE"/>
          <w:sz w:val="20"/>
          <w:szCs w:val="20"/>
        </w:rPr>
        <w:t xml:space="preserve">What the sources say</w:t>
      </w:r>
    </w:p>
    <w:p>
      <w:pPr>
        <w:spacing w:after="160" w:before="0"/>
      </w:pPr>
      <w:r>
        <w:rPr>
          <w:rFonts w:ascii="Calibri" w:cs="Calibri" w:eastAsia="Calibri" w:hAnsi="Calibri"/>
          <w:color w:val="1A1A1A"/>
          <w:sz w:val="20"/>
          <w:szCs w:val="20"/>
        </w:rPr>
        <w:t xml:space="preserve">Column C does not appear in the authoritative column reference in kaylas_process.xlsx at all, yet the guide documents 04.Handed over for QC as its meaningful value. Nothing in any source covers allocation, existing entries or rechecks.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shd w:fill="F4F8FB" w:color="auto" w:val="clear"/>
            <w:tcMar>
              <w:top w:type="dxa" w:w="80"/>
              <w:left w:type="dxa" w:w="120"/>
              <w:bottom w:type="dxa" w:w="80"/>
              <w:right w:type="dxa" w:w="120"/>
            </w:tcMar>
          </w:tcPr>
          <w:p>
            <w:pPr>
              <w:spacing w:after="0" w:before="0"/>
            </w:pPr>
            <w:r>
              <w:rPr>
                <w:rFonts w:ascii="Calibri" w:cs="Calibri" w:eastAsia="Calibri" w:hAnsi="Calibri"/>
                <w:b/>
                <w:bCs/>
                <w:color w:val="004165"/>
                <w:sz w:val="20"/>
                <w:szCs w:val="20"/>
              </w:rPr>
              <w:t xml:space="preserve">Answer</w:t>
            </w:r>
          </w:p>
        </w:tc>
        <w:tc>
          <w:tcPr>
            <w:tcW w:type="dxa" w:w="7526"/>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 </w:t>
            </w:r>
          </w:p>
          <w:p>
            <w:pPr>
              <w:spacing w:after="0" w:before="0"/>
            </w:pPr>
            <w:r>
              <w:rPr>
                <w:rFonts w:ascii="Calibri" w:cs="Calibri" w:eastAsia="Calibri" w:hAnsi="Calibri"/>
                <w:color w:val="1A1A1A"/>
                <w:sz w:val="20"/>
                <w:szCs w:val="20"/>
              </w:rPr>
              <w:t xml:space="preserve"> </w:t>
            </w:r>
          </w:p>
        </w:tc>
      </w:tr>
    </w:tbl>
    <w:p>
      <w:pPr>
        <w:pBdr>
          <w:bottom w:val="single" w:color="C9D6E0" w:sz="6"/>
        </w:pBdr>
        <w:spacing w:after="200" w:before="80"/>
      </w:pPr>
    </w:p>
    <w:p>
      <w:pPr>
        <w:pStyle w:val="Heading2"/>
        <w:spacing w:after="100" w:before="320"/>
      </w:pPr>
      <w:r>
        <w:rPr>
          <w:rFonts w:ascii="Calibri" w:cs="Calibri" w:eastAsia="Calibri" w:hAnsi="Calibri"/>
          <w:b/>
          <w:bCs/>
          <w:color w:val="004165"/>
          <w:sz w:val="26"/>
          <w:szCs w:val="26"/>
        </w:rPr>
        <w:t xml:space="preserve">3. Outcome precedence</w:t>
      </w:r>
    </w:p>
    <w:p>
      <w:pPr>
        <w:spacing w:after="140" w:before="0"/>
      </w:pPr>
      <w:r>
        <w:rPr>
          <w:rFonts w:ascii="Calibri" w:cs="Calibri" w:eastAsia="Calibri" w:hAnsi="Calibri"/>
          <w:b/>
          <w:bCs/>
          <w:color w:val="6B7780"/>
          <w:sz w:val="20"/>
          <w:szCs w:val="20"/>
        </w:rPr>
        <w:t xml:space="preserve">Priority: </w:t>
      </w:r>
      <w:r>
        <w:rPr>
          <w:rFonts w:ascii="Calibri" w:cs="Calibri" w:eastAsia="Calibri" w:hAnsi="Calibri"/>
          <w:color w:val="6B7780"/>
          <w:sz w:val="20"/>
          <w:szCs w:val="20"/>
        </w:rPr>
        <w:t xml:space="preserve">High</w:t>
      </w:r>
    </w:p>
    <w:p>
      <w:pPr>
        <w:spacing w:after="60" w:before="0"/>
      </w:pPr>
      <w:r>
        <w:rPr>
          <w:rFonts w:ascii="Calibri" w:cs="Calibri" w:eastAsia="Calibri" w:hAnsi="Calibri"/>
          <w:b/>
          <w:bCs/>
          <w:color w:val="006DAE"/>
          <w:sz w:val="20"/>
          <w:szCs w:val="20"/>
        </w:rPr>
        <w:t xml:space="preserve">The question</w:t>
      </w:r>
    </w:p>
    <w:p>
      <w:pPr>
        <w:spacing w:after="160" w:before="0"/>
      </w:pPr>
      <w:r>
        <w:rPr>
          <w:rFonts w:ascii="Calibri" w:cs="Calibri" w:eastAsia="Calibri" w:hAnsi="Calibri"/>
          <w:color w:val="1A1A1A"/>
          <w:sz w:val="20"/>
          <w:szCs w:val="20"/>
        </w:rPr>
        <w:t xml:space="preserve">Where a unit has both a discrepancy between sources and a condition that needs a faculty decision, which value goes in column H?</w:t>
      </w:r>
    </w:p>
    <w:p>
      <w:pPr>
        <w:spacing w:after="60" w:before="0"/>
      </w:pPr>
      <w:r>
        <w:rPr>
          <w:rFonts w:ascii="Calibri" w:cs="Calibri" w:eastAsia="Calibri" w:hAnsi="Calibri"/>
          <w:b/>
          <w:bCs/>
          <w:color w:val="006DAE"/>
          <w:sz w:val="20"/>
          <w:szCs w:val="20"/>
        </w:rPr>
        <w:t xml:space="preserve">What depends on it</w:t>
      </w:r>
    </w:p>
    <w:p>
      <w:pPr>
        <w:spacing w:after="160" w:before="0"/>
      </w:pPr>
      <w:r>
        <w:rPr>
          <w:rFonts w:ascii="Calibri" w:cs="Calibri" w:eastAsia="Calibri" w:hAnsi="Calibri"/>
          <w:color w:val="1A1A1A"/>
          <w:sz w:val="20"/>
          <w:szCs w:val="20"/>
        </w:rPr>
        <w:t xml:space="preserve">Column H takes one value. Section 5 now carries a Not yet settled note telling the checker to record both in Comments and pick the more serious problem, which means two people can record the same unit differently.</w:t>
      </w:r>
    </w:p>
    <w:p>
      <w:pPr>
        <w:spacing w:after="60" w:before="0"/>
      </w:pPr>
      <w:r>
        <w:rPr>
          <w:rFonts w:ascii="Calibri" w:cs="Calibri" w:eastAsia="Calibri" w:hAnsi="Calibri"/>
          <w:b/>
          <w:bCs/>
          <w:color w:val="006DAE"/>
          <w:sz w:val="20"/>
          <w:szCs w:val="20"/>
        </w:rPr>
        <w:t xml:space="preserve">What the sources say</w:t>
      </w:r>
    </w:p>
    <w:p>
      <w:pPr>
        <w:spacing w:after="160" w:before="0"/>
      </w:pPr>
      <w:r>
        <w:rPr>
          <w:rFonts w:ascii="Calibri" w:cs="Calibri" w:eastAsia="Calibri" w:hAnsi="Calibri"/>
          <w:color w:val="1A1A1A"/>
          <w:sz w:val="20"/>
          <w:szCs w:val="20"/>
        </w:rPr>
        <w:t xml:space="preserve">No source addresses the combination. The Legend tab defines each value on its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shd w:fill="F4F8FB" w:color="auto" w:val="clear"/>
            <w:tcMar>
              <w:top w:type="dxa" w:w="80"/>
              <w:left w:type="dxa" w:w="120"/>
              <w:bottom w:type="dxa" w:w="80"/>
              <w:right w:type="dxa" w:w="120"/>
            </w:tcMar>
          </w:tcPr>
          <w:p>
            <w:pPr>
              <w:spacing w:after="0" w:before="0"/>
            </w:pPr>
            <w:r>
              <w:rPr>
                <w:rFonts w:ascii="Calibri" w:cs="Calibri" w:eastAsia="Calibri" w:hAnsi="Calibri"/>
                <w:b/>
                <w:bCs/>
                <w:color w:val="004165"/>
                <w:sz w:val="20"/>
                <w:szCs w:val="20"/>
              </w:rPr>
              <w:t xml:space="preserve">Answer</w:t>
            </w:r>
          </w:p>
        </w:tc>
        <w:tc>
          <w:tcPr>
            <w:tcW w:type="dxa" w:w="7526"/>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 </w:t>
            </w:r>
          </w:p>
          <w:p>
            <w:pPr>
              <w:spacing w:after="0" w:before="0"/>
            </w:pPr>
            <w:r>
              <w:rPr>
                <w:rFonts w:ascii="Calibri" w:cs="Calibri" w:eastAsia="Calibri" w:hAnsi="Calibri"/>
                <w:color w:val="1A1A1A"/>
                <w:sz w:val="20"/>
                <w:szCs w:val="20"/>
              </w:rPr>
              <w:t xml:space="preserve"> </w:t>
            </w:r>
          </w:p>
        </w:tc>
      </w:tr>
    </w:tbl>
    <w:p>
      <w:pPr>
        <w:pBdr>
          <w:bottom w:val="single" w:color="C9D6E0" w:sz="6"/>
        </w:pBdr>
        <w:spacing w:after="200" w:before="80"/>
      </w:pPr>
    </w:p>
    <w:p>
      <w:pPr>
        <w:pStyle w:val="Heading2"/>
        <w:spacing w:after="100" w:before="320"/>
      </w:pPr>
      <w:r>
        <w:rPr>
          <w:rFonts w:ascii="Calibri" w:cs="Calibri" w:eastAsia="Calibri" w:hAnsi="Calibri"/>
          <w:b/>
          <w:bCs/>
          <w:color w:val="004165"/>
          <w:sz w:val="26"/>
          <w:szCs w:val="26"/>
        </w:rPr>
        <w:t xml:space="preserve">4. Access prerequisites</w:t>
      </w:r>
    </w:p>
    <w:p>
      <w:pPr>
        <w:spacing w:after="140" w:before="0"/>
      </w:pPr>
      <w:r>
        <w:rPr>
          <w:rFonts w:ascii="Calibri" w:cs="Calibri" w:eastAsia="Calibri" w:hAnsi="Calibri"/>
          <w:b/>
          <w:bCs/>
          <w:color w:val="6B7780"/>
          <w:sz w:val="20"/>
          <w:szCs w:val="20"/>
        </w:rPr>
        <w:t xml:space="preserve">Priority: </w:t>
      </w:r>
      <w:r>
        <w:rPr>
          <w:rFonts w:ascii="Calibri" w:cs="Calibri" w:eastAsia="Calibri" w:hAnsi="Calibri"/>
          <w:color w:val="6B7780"/>
          <w:sz w:val="20"/>
          <w:szCs w:val="20"/>
        </w:rPr>
        <w:t xml:space="preserve">High</w:t>
      </w:r>
    </w:p>
    <w:p>
      <w:pPr>
        <w:spacing w:after="60" w:before="0"/>
      </w:pPr>
      <w:r>
        <w:rPr>
          <w:rFonts w:ascii="Calibri" w:cs="Calibri" w:eastAsia="Calibri" w:hAnsi="Calibri"/>
          <w:b/>
          <w:bCs/>
          <w:color w:val="006DAE"/>
          <w:sz w:val="20"/>
          <w:szCs w:val="20"/>
        </w:rPr>
        <w:t xml:space="preserve">The question</w:t>
      </w:r>
    </w:p>
    <w:p>
      <w:pPr>
        <w:spacing w:after="160" w:before="0"/>
      </w:pPr>
      <w:r>
        <w:rPr>
          <w:rFonts w:ascii="Calibri" w:cs="Calibri" w:eastAsia="Calibri" w:hAnsi="Calibri"/>
          <w:color w:val="1A1A1A"/>
          <w:sz w:val="20"/>
          <w:szCs w:val="20"/>
        </w:rPr>
        <w:t xml:space="preserve">What accounts and permissions does a new checker need before their first day, and what is the request route for each?</w:t>
      </w:r>
    </w:p>
    <w:p>
      <w:pPr>
        <w:spacing w:after="60" w:before="0"/>
      </w:pPr>
      <w:r>
        <w:rPr>
          <w:rFonts w:ascii="Calibri" w:cs="Calibri" w:eastAsia="Calibri" w:hAnsi="Calibri"/>
          <w:b/>
          <w:bCs/>
          <w:color w:val="006DAE"/>
          <w:sz w:val="20"/>
          <w:szCs w:val="20"/>
        </w:rPr>
        <w:t xml:space="preserve">What depends on it</w:t>
      </w:r>
    </w:p>
    <w:p>
      <w:pPr>
        <w:spacing w:after="160" w:before="0"/>
      </w:pPr>
      <w:r>
        <w:rPr>
          <w:rFonts w:ascii="Calibri" w:cs="Calibri" w:eastAsia="Calibri" w:hAnsi="Calibri"/>
          <w:color w:val="1A1A1A"/>
          <w:sz w:val="20"/>
          <w:szCs w:val="20"/>
        </w:rPr>
        <w:t xml:space="preserve">The guide links eAssessment, eVigilation and the QC sheet, and names two Slack channels. It cannot tell a newcomer how to get into any of them. This is the single most likely thing to stop a first check.</w:t>
      </w:r>
    </w:p>
    <w:p>
      <w:pPr>
        <w:spacing w:after="60" w:before="0"/>
      </w:pPr>
      <w:r>
        <w:rPr>
          <w:rFonts w:ascii="Calibri" w:cs="Calibri" w:eastAsia="Calibri" w:hAnsi="Calibri"/>
          <w:b/>
          <w:bCs/>
          <w:color w:val="006DAE"/>
          <w:sz w:val="20"/>
          <w:szCs w:val="20"/>
        </w:rPr>
        <w:t xml:space="preserve">What the sources say</w:t>
      </w:r>
    </w:p>
    <w:p>
      <w:pPr>
        <w:spacing w:after="160" w:before="0"/>
      </w:pPr>
      <w:r>
        <w:rPr>
          <w:rFonts w:ascii="Calibri" w:cs="Calibri" w:eastAsia="Calibri" w:hAnsi="Calibri"/>
          <w:color w:val="1A1A1A"/>
          <w:sz w:val="20"/>
          <w:szCs w:val="20"/>
        </w:rPr>
        <w:t xml:space="preserve">No source lists prerequisites.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shd w:fill="F4F8FB" w:color="auto" w:val="clear"/>
            <w:tcMar>
              <w:top w:type="dxa" w:w="80"/>
              <w:left w:type="dxa" w:w="120"/>
              <w:bottom w:type="dxa" w:w="80"/>
              <w:right w:type="dxa" w:w="120"/>
            </w:tcMar>
          </w:tcPr>
          <w:p>
            <w:pPr>
              <w:spacing w:after="0" w:before="0"/>
            </w:pPr>
            <w:r>
              <w:rPr>
                <w:rFonts w:ascii="Calibri" w:cs="Calibri" w:eastAsia="Calibri" w:hAnsi="Calibri"/>
                <w:b/>
                <w:bCs/>
                <w:color w:val="004165"/>
                <w:sz w:val="20"/>
                <w:szCs w:val="20"/>
              </w:rPr>
              <w:t xml:space="preserve">Answer</w:t>
            </w:r>
          </w:p>
        </w:tc>
        <w:tc>
          <w:tcPr>
            <w:tcW w:type="dxa" w:w="7526"/>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 </w:t>
            </w:r>
          </w:p>
          <w:p>
            <w:pPr>
              <w:spacing w:after="0" w:before="0"/>
            </w:pPr>
            <w:r>
              <w:rPr>
                <w:rFonts w:ascii="Calibri" w:cs="Calibri" w:eastAsia="Calibri" w:hAnsi="Calibri"/>
                <w:color w:val="1A1A1A"/>
                <w:sz w:val="20"/>
                <w:szCs w:val="20"/>
              </w:rPr>
              <w:t xml:space="preserve"> </w:t>
            </w:r>
          </w:p>
        </w:tc>
      </w:tr>
    </w:tbl>
    <w:p>
      <w:pPr>
        <w:pBdr>
          <w:bottom w:val="single" w:color="C9D6E0" w:sz="6"/>
        </w:pBdr>
        <w:spacing w:after="200" w:before="80"/>
      </w:pPr>
    </w:p>
    <w:p>
      <w:pPr>
        <w:pStyle w:val="Heading2"/>
        <w:spacing w:after="100" w:before="320"/>
      </w:pPr>
      <w:r>
        <w:rPr>
          <w:rFonts w:ascii="Calibri" w:cs="Calibri" w:eastAsia="Calibri" w:hAnsi="Calibri"/>
          <w:b/>
          <w:bCs/>
          <w:color w:val="004165"/>
          <w:sz w:val="26"/>
          <w:szCs w:val="26"/>
        </w:rPr>
        <w:t xml:space="preserve">5. Material differences between sittings and cohorts</w:t>
      </w:r>
    </w:p>
    <w:p>
      <w:pPr>
        <w:spacing w:after="140" w:before="0"/>
      </w:pPr>
      <w:r>
        <w:rPr>
          <w:rFonts w:ascii="Calibri" w:cs="Calibri" w:eastAsia="Calibri" w:hAnsi="Calibri"/>
          <w:b/>
          <w:bCs/>
          <w:color w:val="6B7780"/>
          <w:sz w:val="20"/>
          <w:szCs w:val="20"/>
        </w:rPr>
        <w:t xml:space="preserve">Priority: </w:t>
      </w:r>
      <w:r>
        <w:rPr>
          <w:rFonts w:ascii="Calibri" w:cs="Calibri" w:eastAsia="Calibri" w:hAnsi="Calibri"/>
          <w:color w:val="6B7780"/>
          <w:sz w:val="20"/>
          <w:szCs w:val="20"/>
        </w:rPr>
        <w:t xml:space="preserve">High</w:t>
      </w:r>
    </w:p>
    <w:p>
      <w:pPr>
        <w:spacing w:after="60" w:before="0"/>
      </w:pPr>
      <w:r>
        <w:rPr>
          <w:rFonts w:ascii="Calibri" w:cs="Calibri" w:eastAsia="Calibri" w:hAnsi="Calibri"/>
          <w:b/>
          <w:bCs/>
          <w:color w:val="006DAE"/>
          <w:sz w:val="20"/>
          <w:szCs w:val="20"/>
        </w:rPr>
        <w:t xml:space="preserve">The question</w:t>
      </w:r>
    </w:p>
    <w:p>
      <w:pPr>
        <w:spacing w:after="160" w:before="0"/>
      </w:pPr>
      <w:r>
        <w:rPr>
          <w:rFonts w:ascii="Calibri" w:cs="Calibri" w:eastAsia="Calibri" w:hAnsi="Calibri"/>
          <w:color w:val="1A1A1A"/>
          <w:sz w:val="20"/>
          <w:szCs w:val="20"/>
        </w:rPr>
        <w:t xml:space="preserve">Where two sittings of the same unit are each internally consistent but permit different materials, is that recorded as a Discrepancy, as a Comment on an otherwise matching row, or not at all?</w:t>
      </w:r>
    </w:p>
    <w:p>
      <w:pPr>
        <w:spacing w:after="60" w:before="0"/>
      </w:pPr>
      <w:r>
        <w:rPr>
          <w:rFonts w:ascii="Calibri" w:cs="Calibri" w:eastAsia="Calibri" w:hAnsi="Calibri"/>
          <w:b/>
          <w:bCs/>
          <w:color w:val="006DAE"/>
          <w:sz w:val="20"/>
          <w:szCs w:val="20"/>
        </w:rPr>
        <w:t xml:space="preserve">What depends on it</w:t>
      </w:r>
    </w:p>
    <w:p>
      <w:pPr>
        <w:spacing w:after="160" w:before="0"/>
      </w:pPr>
      <w:r>
        <w:rPr>
          <w:rFonts w:ascii="Calibri" w:cs="Calibri" w:eastAsia="Calibri" w:hAnsi="Calibri"/>
          <w:color w:val="1A1A1A"/>
          <w:sz w:val="20"/>
          <w:szCs w:val="20"/>
        </w:rPr>
        <w:t xml:space="preserve">Section 3 says sittings can legitimately differ and each shell is checked independently. Section 7's path B says the difference is worth recording even where each is internally consistent. Worked case 11 has been rewritten to score only the unambiguous half, that an AAA shell existing is not itself a discrepancy, and carries the open question in its explanation.</w:t>
      </w:r>
    </w:p>
    <w:p>
      <w:pPr>
        <w:spacing w:after="60" w:before="0"/>
      </w:pPr>
      <w:r>
        <w:rPr>
          <w:rFonts w:ascii="Calibri" w:cs="Calibri" w:eastAsia="Calibri" w:hAnsi="Calibri"/>
          <w:b/>
          <w:bCs/>
          <w:color w:val="006DAE"/>
          <w:sz w:val="20"/>
          <w:szCs w:val="20"/>
        </w:rPr>
        <w:t xml:space="preserve">What the sources say</w:t>
      </w:r>
    </w:p>
    <w:p>
      <w:pPr>
        <w:spacing w:after="160" w:before="0"/>
      </w:pPr>
      <w:r>
        <w:rPr>
          <w:rFonts w:ascii="Calibri" w:cs="Calibri" w:eastAsia="Calibri" w:hAnsi="Calibri"/>
          <w:color w:val="1A1A1A"/>
          <w:sz w:val="20"/>
          <w:szCs w:val="20"/>
        </w:rPr>
        <w:t xml:space="preserve">kayla_process.txt says "The same unit for Australia and Malaysia can have variation so it is important to check both independantly, not assuming that they will automatically permit the same authorised materials." That says check both. It does not say what to record when they differ.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shd w:fill="F4F8FB" w:color="auto" w:val="clear"/>
            <w:tcMar>
              <w:top w:type="dxa" w:w="80"/>
              <w:left w:type="dxa" w:w="120"/>
              <w:bottom w:type="dxa" w:w="80"/>
              <w:right w:type="dxa" w:w="120"/>
            </w:tcMar>
          </w:tcPr>
          <w:p>
            <w:pPr>
              <w:spacing w:after="0" w:before="0"/>
            </w:pPr>
            <w:r>
              <w:rPr>
                <w:rFonts w:ascii="Calibri" w:cs="Calibri" w:eastAsia="Calibri" w:hAnsi="Calibri"/>
                <w:b/>
                <w:bCs/>
                <w:color w:val="004165"/>
                <w:sz w:val="20"/>
                <w:szCs w:val="20"/>
              </w:rPr>
              <w:t xml:space="preserve">Answer</w:t>
            </w:r>
          </w:p>
        </w:tc>
        <w:tc>
          <w:tcPr>
            <w:tcW w:type="dxa" w:w="7526"/>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 </w:t>
            </w:r>
          </w:p>
          <w:p>
            <w:pPr>
              <w:spacing w:after="0" w:before="0"/>
            </w:pPr>
            <w:r>
              <w:rPr>
                <w:rFonts w:ascii="Calibri" w:cs="Calibri" w:eastAsia="Calibri" w:hAnsi="Calibri"/>
                <w:color w:val="1A1A1A"/>
                <w:sz w:val="20"/>
                <w:szCs w:val="20"/>
              </w:rPr>
              <w:t xml:space="preserve"> </w:t>
            </w:r>
          </w:p>
        </w:tc>
      </w:tr>
    </w:tbl>
    <w:p>
      <w:pPr>
        <w:pBdr>
          <w:bottom w:val="single" w:color="C9D6E0" w:sz="6"/>
        </w:pBdr>
        <w:spacing w:after="200" w:before="80"/>
      </w:pPr>
    </w:p>
    <w:p>
      <w:pPr>
        <w:pStyle w:val="Heading2"/>
        <w:spacing w:after="100" w:before="320"/>
      </w:pPr>
      <w:r>
        <w:rPr>
          <w:rFonts w:ascii="Calibri" w:cs="Calibri" w:eastAsia="Calibri" w:hAnsi="Calibri"/>
          <w:b/>
          <w:bCs/>
          <w:color w:val="004165"/>
          <w:sz w:val="26"/>
          <w:szCs w:val="26"/>
        </w:rPr>
        <w:t xml:space="preserve">6. One source contradicting itself</w:t>
      </w:r>
    </w:p>
    <w:p>
      <w:pPr>
        <w:spacing w:after="140" w:before="0"/>
      </w:pPr>
      <w:r>
        <w:rPr>
          <w:rFonts w:ascii="Calibri" w:cs="Calibri" w:eastAsia="Calibri" w:hAnsi="Calibri"/>
          <w:b/>
          <w:bCs/>
          <w:color w:val="6B7780"/>
          <w:sz w:val="20"/>
          <w:szCs w:val="20"/>
        </w:rPr>
        <w:t xml:space="preserve">Priority: </w:t>
      </w:r>
      <w:r>
        <w:rPr>
          <w:rFonts w:ascii="Calibri" w:cs="Calibri" w:eastAsia="Calibri" w:hAnsi="Calibri"/>
          <w:color w:val="6B7780"/>
          <w:sz w:val="20"/>
          <w:szCs w:val="20"/>
        </w:rPr>
        <w:t xml:space="preserve">Medium</w:t>
      </w:r>
    </w:p>
    <w:p>
      <w:pPr>
        <w:spacing w:after="60" w:before="0"/>
      </w:pPr>
      <w:r>
        <w:rPr>
          <w:rFonts w:ascii="Calibri" w:cs="Calibri" w:eastAsia="Calibri" w:hAnsi="Calibri"/>
          <w:b/>
          <w:bCs/>
          <w:color w:val="006DAE"/>
          <w:sz w:val="20"/>
          <w:szCs w:val="20"/>
        </w:rPr>
        <w:t xml:space="preserve">The question</w:t>
      </w:r>
    </w:p>
    <w:p>
      <w:pPr>
        <w:spacing w:after="160" w:before="0"/>
      </w:pPr>
      <w:r>
        <w:rPr>
          <w:rFonts w:ascii="Calibri" w:cs="Calibri" w:eastAsia="Calibri" w:hAnsi="Calibri"/>
          <w:color w:val="1A1A1A"/>
          <w:sz w:val="20"/>
          <w:szCs w:val="20"/>
        </w:rPr>
        <w:t xml:space="preserve">When one source contradicts itself and the other sources agree with each other, what goes in column H?</w:t>
      </w:r>
    </w:p>
    <w:p>
      <w:pPr>
        <w:spacing w:after="60" w:before="0"/>
      </w:pPr>
      <w:r>
        <w:rPr>
          <w:rFonts w:ascii="Calibri" w:cs="Calibri" w:eastAsia="Calibri" w:hAnsi="Calibri"/>
          <w:b/>
          <w:bCs/>
          <w:color w:val="006DAE"/>
          <w:sz w:val="20"/>
          <w:szCs w:val="20"/>
        </w:rPr>
        <w:t xml:space="preserve">What depends on it</w:t>
      </w:r>
    </w:p>
    <w:p>
      <w:pPr>
        <w:spacing w:after="160" w:before="0"/>
      </w:pPr>
      <w:r>
        <w:rPr>
          <w:rFonts w:ascii="Calibri" w:cs="Calibri" w:eastAsia="Calibri" w:hAnsi="Calibri"/>
          <w:color w:val="1A1A1A"/>
          <w:sz w:val="20"/>
          <w:szCs w:val="20"/>
        </w:rPr>
        <w:t xml:space="preserve">Section 8's first row calls a page that contradicts itself a discrepancy on its own. The earlier worked case 10 treated the same situation as All Match but Escalation Required. The scored case has been rewritten to a source-against-source disagreement so the two no longer clash, but section 8 still asserts one answer and nothing confirms it.</w:t>
      </w:r>
    </w:p>
    <w:p>
      <w:pPr>
        <w:spacing w:after="60" w:before="0"/>
      </w:pPr>
      <w:r>
        <w:rPr>
          <w:rFonts w:ascii="Calibri" w:cs="Calibri" w:eastAsia="Calibri" w:hAnsi="Calibri"/>
          <w:b/>
          <w:bCs/>
          <w:color w:val="006DAE"/>
          <w:sz w:val="20"/>
          <w:szCs w:val="20"/>
        </w:rPr>
        <w:t xml:space="preserve">What the sources say</w:t>
      </w:r>
    </w:p>
    <w:p>
      <w:pPr>
        <w:spacing w:after="160" w:before="0"/>
      </w:pPr>
      <w:r>
        <w:rPr>
          <w:rFonts w:ascii="Calibri" w:cs="Calibri" w:eastAsia="Calibri" w:hAnsi="Calibri"/>
          <w:color w:val="1A1A1A"/>
          <w:sz w:val="20"/>
          <w:szCs w:val="20"/>
        </w:rPr>
        <w:t xml:space="preserve">kayla_process.txt requires checking eAssessment against itself. It does not say which outcome that produces.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shd w:fill="F4F8FB" w:color="auto" w:val="clear"/>
            <w:tcMar>
              <w:top w:type="dxa" w:w="80"/>
              <w:left w:type="dxa" w:w="120"/>
              <w:bottom w:type="dxa" w:w="80"/>
              <w:right w:type="dxa" w:w="120"/>
            </w:tcMar>
          </w:tcPr>
          <w:p>
            <w:pPr>
              <w:spacing w:after="0" w:before="0"/>
            </w:pPr>
            <w:r>
              <w:rPr>
                <w:rFonts w:ascii="Calibri" w:cs="Calibri" w:eastAsia="Calibri" w:hAnsi="Calibri"/>
                <w:b/>
                <w:bCs/>
                <w:color w:val="004165"/>
                <w:sz w:val="20"/>
                <w:szCs w:val="20"/>
              </w:rPr>
              <w:t xml:space="preserve">Answer</w:t>
            </w:r>
          </w:p>
        </w:tc>
        <w:tc>
          <w:tcPr>
            <w:tcW w:type="dxa" w:w="7526"/>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 </w:t>
            </w:r>
          </w:p>
          <w:p>
            <w:pPr>
              <w:spacing w:after="0" w:before="0"/>
            </w:pPr>
            <w:r>
              <w:rPr>
                <w:rFonts w:ascii="Calibri" w:cs="Calibri" w:eastAsia="Calibri" w:hAnsi="Calibri"/>
                <w:color w:val="1A1A1A"/>
                <w:sz w:val="20"/>
                <w:szCs w:val="20"/>
              </w:rPr>
              <w:t xml:space="preserve"> </w:t>
            </w:r>
          </w:p>
        </w:tc>
      </w:tr>
    </w:tbl>
    <w:p>
      <w:pPr>
        <w:pBdr>
          <w:bottom w:val="single" w:color="C9D6E0" w:sz="6"/>
        </w:pBdr>
        <w:spacing w:after="200" w:before="80"/>
      </w:pPr>
    </w:p>
    <w:p>
      <w:pPr>
        <w:pStyle w:val="Heading2"/>
        <w:spacing w:after="100" w:before="320"/>
      </w:pPr>
      <w:r>
        <w:rPr>
          <w:rFonts w:ascii="Calibri" w:cs="Calibri" w:eastAsia="Calibri" w:hAnsi="Calibri"/>
          <w:b/>
          <w:bCs/>
          <w:color w:val="004165"/>
          <w:sz w:val="26"/>
          <w:szCs w:val="26"/>
        </w:rPr>
        <w:t xml:space="preserve">7. Two addresses for the Lookup Tool</w:t>
      </w:r>
    </w:p>
    <w:p>
      <w:pPr>
        <w:spacing w:after="140" w:before="0"/>
      </w:pPr>
      <w:r>
        <w:rPr>
          <w:rFonts w:ascii="Calibri" w:cs="Calibri" w:eastAsia="Calibri" w:hAnsi="Calibri"/>
          <w:b/>
          <w:bCs/>
          <w:color w:val="6B7780"/>
          <w:sz w:val="20"/>
          <w:szCs w:val="20"/>
        </w:rPr>
        <w:t xml:space="preserve">Priority: </w:t>
      </w:r>
      <w:r>
        <w:rPr>
          <w:rFonts w:ascii="Calibri" w:cs="Calibri" w:eastAsia="Calibri" w:hAnsi="Calibri"/>
          <w:color w:val="6B7780"/>
          <w:sz w:val="20"/>
          <w:szCs w:val="20"/>
        </w:rPr>
        <w:t xml:space="preserve">Medium</w:t>
      </w:r>
    </w:p>
    <w:p>
      <w:pPr>
        <w:spacing w:after="60" w:before="0"/>
      </w:pPr>
      <w:r>
        <w:rPr>
          <w:rFonts w:ascii="Calibri" w:cs="Calibri" w:eastAsia="Calibri" w:hAnsi="Calibri"/>
          <w:b/>
          <w:bCs/>
          <w:color w:val="006DAE"/>
          <w:sz w:val="20"/>
          <w:szCs w:val="20"/>
        </w:rPr>
        <w:t xml:space="preserve">The question</w:t>
      </w:r>
    </w:p>
    <w:p>
      <w:pPr>
        <w:spacing w:after="160" w:before="0"/>
      </w:pPr>
      <w:r>
        <w:rPr>
          <w:rFonts w:ascii="Calibri" w:cs="Calibri" w:eastAsia="Calibri" w:hAnsi="Calibri"/>
          <w:color w:val="1A1A1A"/>
          <w:sz w:val="20"/>
          <w:szCs w:val="20"/>
        </w:rPr>
        <w:t xml:space="preserve">Which address is current for the Authorised Materials Search?</w:t>
      </w:r>
    </w:p>
    <w:p>
      <w:pPr>
        <w:spacing w:after="60" w:before="0"/>
      </w:pPr>
      <w:r>
        <w:rPr>
          <w:rFonts w:ascii="Calibri" w:cs="Calibri" w:eastAsia="Calibri" w:hAnsi="Calibri"/>
          <w:b/>
          <w:bCs/>
          <w:color w:val="006DAE"/>
          <w:sz w:val="20"/>
          <w:szCs w:val="20"/>
        </w:rPr>
        <w:t xml:space="preserve">What depends on it</w:t>
      </w:r>
    </w:p>
    <w:p>
      <w:pPr>
        <w:spacing w:after="160" w:before="0"/>
      </w:pPr>
      <w:r>
        <w:rPr>
          <w:rFonts w:ascii="Calibri" w:cs="Calibri" w:eastAsia="Calibri" w:hAnsi="Calibri"/>
          <w:color w:val="1A1A1A"/>
          <w:sz w:val="20"/>
          <w:szCs w:val="20"/>
        </w:rPr>
        <w:t xml:space="preserve">The guide names the tool but does not link it, because I will not pick between two addresses. Every other system is now a working link.</w:t>
      </w:r>
    </w:p>
    <w:p>
      <w:pPr>
        <w:spacing w:after="60" w:before="0"/>
      </w:pPr>
      <w:r>
        <w:rPr>
          <w:rFonts w:ascii="Calibri" w:cs="Calibri" w:eastAsia="Calibri" w:hAnsi="Calibri"/>
          <w:b/>
          <w:bCs/>
          <w:color w:val="006DAE"/>
          <w:sz w:val="20"/>
          <w:szCs w:val="20"/>
        </w:rPr>
        <w:t xml:space="preserve">What the sources say</w:t>
      </w:r>
    </w:p>
    <w:p>
      <w:pPr>
        <w:spacing w:after="160" w:before="0"/>
      </w:pPr>
      <w:r>
        <w:rPr>
          <w:rFonts w:ascii="Calibri" w:cs="Calibri" w:eastAsia="Calibri" w:hAnsi="Calibri"/>
          <w:color w:val="1A1A1A"/>
          <w:sz w:val="20"/>
          <w:szCs w:val="20"/>
        </w:rPr>
        <w:t xml:space="preserve">kayla_process.txt gives authmats.evigilation.monash.edu. content.py gives https://sites.google.com/monash.edu/exam-authorised-materials.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shd w:fill="F4F8FB" w:color="auto" w:val="clear"/>
            <w:tcMar>
              <w:top w:type="dxa" w:w="80"/>
              <w:left w:type="dxa" w:w="120"/>
              <w:bottom w:type="dxa" w:w="80"/>
              <w:right w:type="dxa" w:w="120"/>
            </w:tcMar>
          </w:tcPr>
          <w:p>
            <w:pPr>
              <w:spacing w:after="0" w:before="0"/>
            </w:pPr>
            <w:r>
              <w:rPr>
                <w:rFonts w:ascii="Calibri" w:cs="Calibri" w:eastAsia="Calibri" w:hAnsi="Calibri"/>
                <w:b/>
                <w:bCs/>
                <w:color w:val="004165"/>
                <w:sz w:val="20"/>
                <w:szCs w:val="20"/>
              </w:rPr>
              <w:t xml:space="preserve">Answer</w:t>
            </w:r>
          </w:p>
        </w:tc>
        <w:tc>
          <w:tcPr>
            <w:tcW w:type="dxa" w:w="7526"/>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 </w:t>
            </w:r>
          </w:p>
          <w:p>
            <w:pPr>
              <w:spacing w:after="0" w:before="0"/>
            </w:pPr>
            <w:r>
              <w:rPr>
                <w:rFonts w:ascii="Calibri" w:cs="Calibri" w:eastAsia="Calibri" w:hAnsi="Calibri"/>
                <w:color w:val="1A1A1A"/>
                <w:sz w:val="20"/>
                <w:szCs w:val="20"/>
              </w:rPr>
              <w:t xml:space="preserve"> </w:t>
            </w:r>
          </w:p>
        </w:tc>
      </w:tr>
    </w:tbl>
    <w:p>
      <w:pPr>
        <w:pBdr>
          <w:bottom w:val="single" w:color="C9D6E0" w:sz="6"/>
        </w:pBdr>
        <w:spacing w:after="200" w:before="80"/>
      </w:pPr>
    </w:p>
    <w:p>
      <w:pPr>
        <w:pStyle w:val="Heading2"/>
        <w:spacing w:after="100" w:before="320"/>
      </w:pPr>
      <w:r>
        <w:rPr>
          <w:rFonts w:ascii="Calibri" w:cs="Calibri" w:eastAsia="Calibri" w:hAnsi="Calibri"/>
          <w:b/>
          <w:bCs/>
          <w:color w:val="004165"/>
          <w:sz w:val="26"/>
          <w:szCs w:val="26"/>
        </w:rPr>
        <w:t xml:space="preserve">8. Open Book with Additional Device, internet access</w:t>
      </w:r>
    </w:p>
    <w:p>
      <w:pPr>
        <w:spacing w:after="140" w:before="0"/>
      </w:pPr>
      <w:r>
        <w:rPr>
          <w:rFonts w:ascii="Calibri" w:cs="Calibri" w:eastAsia="Calibri" w:hAnsi="Calibri"/>
          <w:b/>
          <w:bCs/>
          <w:color w:val="6B7780"/>
          <w:sz w:val="20"/>
          <w:szCs w:val="20"/>
        </w:rPr>
        <w:t xml:space="preserve">Priority: </w:t>
      </w:r>
      <w:r>
        <w:rPr>
          <w:rFonts w:ascii="Calibri" w:cs="Calibri" w:eastAsia="Calibri" w:hAnsi="Calibri"/>
          <w:color w:val="6B7780"/>
          <w:sz w:val="20"/>
          <w:szCs w:val="20"/>
        </w:rPr>
        <w:t xml:space="preserve">Medium</w:t>
      </w:r>
    </w:p>
    <w:p>
      <w:pPr>
        <w:spacing w:after="60" w:before="0"/>
      </w:pPr>
      <w:r>
        <w:rPr>
          <w:rFonts w:ascii="Calibri" w:cs="Calibri" w:eastAsia="Calibri" w:hAnsi="Calibri"/>
          <w:b/>
          <w:bCs/>
          <w:color w:val="006DAE"/>
          <w:sz w:val="20"/>
          <w:szCs w:val="20"/>
        </w:rPr>
        <w:t xml:space="preserve">The question</w:t>
      </w:r>
    </w:p>
    <w:p>
      <w:pPr>
        <w:spacing w:after="160" w:before="0"/>
      </w:pPr>
      <w:r>
        <w:rPr>
          <w:rFonts w:ascii="Calibri" w:cs="Calibri" w:eastAsia="Calibri" w:hAnsi="Calibri"/>
          <w:color w:val="1A1A1A"/>
          <w:sz w:val="20"/>
          <w:szCs w:val="20"/>
        </w:rPr>
        <w:t xml:space="preserve">The category definition says the device is "in most cases" not connected to the internet. When is a connected device under Open Book a finding rather than an accepted variation?</w:t>
      </w:r>
    </w:p>
    <w:p>
      <w:pPr>
        <w:spacing w:after="60" w:before="0"/>
      </w:pPr>
      <w:r>
        <w:rPr>
          <w:rFonts w:ascii="Calibri" w:cs="Calibri" w:eastAsia="Calibri" w:hAnsi="Calibri"/>
          <w:b/>
          <w:bCs/>
          <w:color w:val="006DAE"/>
          <w:sz w:val="20"/>
          <w:szCs w:val="20"/>
        </w:rPr>
        <w:t xml:space="preserve">What depends on it</w:t>
      </w:r>
    </w:p>
    <w:p>
      <w:pPr>
        <w:spacing w:after="160" w:before="0"/>
      </w:pPr>
      <w:r>
        <w:rPr>
          <w:rFonts w:ascii="Calibri" w:cs="Calibri" w:eastAsia="Calibri" w:hAnsi="Calibri"/>
          <w:color w:val="1A1A1A"/>
          <w:sz w:val="20"/>
          <w:szCs w:val="20"/>
        </w:rPr>
        <w:t xml:space="preserve">Section 4 matches the source wording. Worked case 1 previously said the device "may not be connected", which is stronger, and has been corrected. As it stands a checker has a tendency rather than a test.</w:t>
      </w:r>
    </w:p>
    <w:p>
      <w:pPr>
        <w:spacing w:after="60" w:before="0"/>
      </w:pPr>
      <w:r>
        <w:rPr>
          <w:rFonts w:ascii="Calibri" w:cs="Calibri" w:eastAsia="Calibri" w:hAnsi="Calibri"/>
          <w:b/>
          <w:bCs/>
          <w:color w:val="006DAE"/>
          <w:sz w:val="20"/>
          <w:szCs w:val="20"/>
        </w:rPr>
        <w:t xml:space="preserve">What the sources say</w:t>
      </w:r>
    </w:p>
    <w:p>
      <w:pPr>
        <w:spacing w:after="160" w:before="0"/>
      </w:pPr>
      <w:r>
        <w:rPr>
          <w:rFonts w:ascii="Calibri" w:cs="Calibri" w:eastAsia="Calibri" w:hAnsi="Calibri"/>
          <w:color w:val="1A1A1A"/>
          <w:sz w:val="20"/>
          <w:szCs w:val="20"/>
        </w:rPr>
        <w:t xml:space="preserve">kaylas_process.xlsx, Legend - Categories: "In most cases this secondary device is not connected to the internet and can only access soft copy resources."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shd w:fill="F4F8FB" w:color="auto" w:val="clear"/>
            <w:tcMar>
              <w:top w:type="dxa" w:w="80"/>
              <w:left w:type="dxa" w:w="120"/>
              <w:bottom w:type="dxa" w:w="80"/>
              <w:right w:type="dxa" w:w="120"/>
            </w:tcMar>
          </w:tcPr>
          <w:p>
            <w:pPr>
              <w:spacing w:after="0" w:before="0"/>
            </w:pPr>
            <w:r>
              <w:rPr>
                <w:rFonts w:ascii="Calibri" w:cs="Calibri" w:eastAsia="Calibri" w:hAnsi="Calibri"/>
                <w:b/>
                <w:bCs/>
                <w:color w:val="004165"/>
                <w:sz w:val="20"/>
                <w:szCs w:val="20"/>
              </w:rPr>
              <w:t xml:space="preserve">Answer</w:t>
            </w:r>
          </w:p>
        </w:tc>
        <w:tc>
          <w:tcPr>
            <w:tcW w:type="dxa" w:w="7526"/>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 </w:t>
            </w:r>
          </w:p>
          <w:p>
            <w:pPr>
              <w:spacing w:after="0" w:before="0"/>
            </w:pPr>
            <w:r>
              <w:rPr>
                <w:rFonts w:ascii="Calibri" w:cs="Calibri" w:eastAsia="Calibri" w:hAnsi="Calibri"/>
                <w:color w:val="1A1A1A"/>
                <w:sz w:val="20"/>
                <w:szCs w:val="20"/>
              </w:rPr>
              <w:t xml:space="preserve"> </w:t>
            </w:r>
          </w:p>
        </w:tc>
      </w:tr>
    </w:tbl>
    <w:p>
      <w:pPr>
        <w:pBdr>
          <w:bottom w:val="single" w:color="C9D6E0" w:sz="6"/>
        </w:pBdr>
        <w:spacing w:after="200" w:before="80"/>
      </w:pPr>
    </w:p>
    <w:p>
      <w:pPr>
        <w:pStyle w:val="Heading2"/>
        <w:spacing w:after="100" w:before="320"/>
      </w:pPr>
      <w:r>
        <w:rPr>
          <w:rFonts w:ascii="Calibri" w:cs="Calibri" w:eastAsia="Calibri" w:hAnsi="Calibri"/>
          <w:b/>
          <w:bCs/>
          <w:color w:val="004165"/>
          <w:sz w:val="26"/>
          <w:szCs w:val="26"/>
        </w:rPr>
        <w:t xml:space="preserve">9. Three conventions the guide was teaching without a source</w:t>
      </w:r>
    </w:p>
    <w:p>
      <w:pPr>
        <w:spacing w:after="140" w:before="0"/>
      </w:pPr>
      <w:r>
        <w:rPr>
          <w:rFonts w:ascii="Calibri" w:cs="Calibri" w:eastAsia="Calibri" w:hAnsi="Calibri"/>
          <w:b/>
          <w:bCs/>
          <w:color w:val="6B7780"/>
          <w:sz w:val="20"/>
          <w:szCs w:val="20"/>
        </w:rPr>
        <w:t xml:space="preserve">Priority: </w:t>
      </w:r>
      <w:r>
        <w:rPr>
          <w:rFonts w:ascii="Calibri" w:cs="Calibri" w:eastAsia="Calibri" w:hAnsi="Calibri"/>
          <w:color w:val="6B7780"/>
          <w:sz w:val="20"/>
          <w:szCs w:val="20"/>
        </w:rPr>
        <w:t xml:space="preserve">Medium</w:t>
      </w:r>
    </w:p>
    <w:p>
      <w:pPr>
        <w:spacing w:after="60" w:before="0"/>
      </w:pPr>
      <w:r>
        <w:rPr>
          <w:rFonts w:ascii="Calibri" w:cs="Calibri" w:eastAsia="Calibri" w:hAnsi="Calibri"/>
          <w:b/>
          <w:bCs/>
          <w:color w:val="006DAE"/>
          <w:sz w:val="20"/>
          <w:szCs w:val="20"/>
        </w:rPr>
        <w:t xml:space="preserve">The question</w:t>
      </w:r>
    </w:p>
    <w:p>
      <w:pPr>
        <w:spacing w:after="160" w:before="0"/>
      </w:pPr>
      <w:r>
        <w:rPr>
          <w:rFonts w:ascii="Calibri" w:cs="Calibri" w:eastAsia="Calibri" w:hAnsi="Calibri"/>
          <w:color w:val="1A1A1A"/>
          <w:sz w:val="20"/>
          <w:szCs w:val="20"/>
        </w:rPr>
        <w:t xml:space="preserve">Three parts. (a) Is there a documented faculty convention for "open notes" in Nursing units, and where can a checker read it? (b) May students use pre-existing content in their own Excel files, or must they start from a blank workbook? (c) Do printed formula sheets brought in by a student count against a permitted notes limit?</w:t>
      </w:r>
    </w:p>
    <w:p>
      <w:pPr>
        <w:spacing w:after="60" w:before="0"/>
      </w:pPr>
      <w:r>
        <w:rPr>
          <w:rFonts w:ascii="Calibri" w:cs="Calibri" w:eastAsia="Calibri" w:hAnsi="Calibri"/>
          <w:b/>
          <w:bCs/>
          <w:color w:val="006DAE"/>
          <w:sz w:val="20"/>
          <w:szCs w:val="20"/>
        </w:rPr>
        <w:t xml:space="preserve">What depends on it</w:t>
      </w:r>
    </w:p>
    <w:p>
      <w:pPr>
        <w:spacing w:after="160" w:before="0"/>
      </w:pPr>
      <w:r>
        <w:rPr>
          <w:rFonts w:ascii="Calibri" w:cs="Calibri" w:eastAsia="Calibri" w:hAnsi="Calibri"/>
          <w:color w:val="1A1A1A"/>
          <w:sz w:val="20"/>
          <w:szCs w:val="20"/>
        </w:rPr>
        <w:t xml:space="preserve">All three were being taught as rules. Each is now described as undefined, and the checker is told to record the wording rather than apply a convention. Worked case 6 is unscored as a result, which is one of the two reference-only cases.</w:t>
      </w:r>
    </w:p>
    <w:p>
      <w:pPr>
        <w:spacing w:after="60" w:before="0"/>
      </w:pPr>
      <w:r>
        <w:rPr>
          <w:rFonts w:ascii="Calibri" w:cs="Calibri" w:eastAsia="Calibri" w:hAnsi="Calibri"/>
          <w:b/>
          <w:bCs/>
          <w:color w:val="006DAE"/>
          <w:sz w:val="20"/>
          <w:szCs w:val="20"/>
        </w:rPr>
        <w:t xml:space="preserve">What the sources say</w:t>
      </w:r>
    </w:p>
    <w:p>
      <w:pPr>
        <w:spacing w:after="160" w:before="0"/>
      </w:pPr>
      <w:r>
        <w:rPr>
          <w:rFonts w:ascii="Calibri" w:cs="Calibri" w:eastAsia="Calibri" w:hAnsi="Calibri"/>
          <w:color w:val="1A1A1A"/>
          <w:sz w:val="20"/>
          <w:szCs w:val="20"/>
        </w:rPr>
        <w:t xml:space="preserve">No source supports any of the three.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shd w:fill="F4F8FB" w:color="auto" w:val="clear"/>
            <w:tcMar>
              <w:top w:type="dxa" w:w="80"/>
              <w:left w:type="dxa" w:w="120"/>
              <w:bottom w:type="dxa" w:w="80"/>
              <w:right w:type="dxa" w:w="120"/>
            </w:tcMar>
          </w:tcPr>
          <w:p>
            <w:pPr>
              <w:spacing w:after="0" w:before="0"/>
            </w:pPr>
            <w:r>
              <w:rPr>
                <w:rFonts w:ascii="Calibri" w:cs="Calibri" w:eastAsia="Calibri" w:hAnsi="Calibri"/>
                <w:b/>
                <w:bCs/>
                <w:color w:val="004165"/>
                <w:sz w:val="20"/>
                <w:szCs w:val="20"/>
              </w:rPr>
              <w:t xml:space="preserve">Answer</w:t>
            </w:r>
          </w:p>
        </w:tc>
        <w:tc>
          <w:tcPr>
            <w:tcW w:type="dxa" w:w="7526"/>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 </w:t>
            </w:r>
          </w:p>
          <w:p>
            <w:pPr>
              <w:spacing w:after="0" w:before="0"/>
            </w:pPr>
            <w:r>
              <w:rPr>
                <w:rFonts w:ascii="Calibri" w:cs="Calibri" w:eastAsia="Calibri" w:hAnsi="Calibri"/>
                <w:color w:val="1A1A1A"/>
                <w:sz w:val="20"/>
                <w:szCs w:val="20"/>
              </w:rPr>
              <w:t xml:space="preserve"> </w:t>
            </w:r>
          </w:p>
        </w:tc>
      </w:tr>
    </w:tbl>
    <w:p>
      <w:pPr>
        <w:pBdr>
          <w:bottom w:val="single" w:color="C9D6E0" w:sz="6"/>
        </w:pBdr>
        <w:spacing w:after="200" w:before="80"/>
      </w:pPr>
    </w:p>
    <w:p>
      <w:pPr>
        <w:pStyle w:val="Heading2"/>
        <w:spacing w:after="100" w:before="320"/>
      </w:pPr>
      <w:r>
        <w:rPr>
          <w:rFonts w:ascii="Calibri" w:cs="Calibri" w:eastAsia="Calibri" w:hAnsi="Calibri"/>
          <w:b/>
          <w:bCs/>
          <w:color w:val="004165"/>
          <w:sz w:val="26"/>
          <w:szCs w:val="26"/>
        </w:rPr>
        <w:t xml:space="preserve">10. Reminder and escalation triggers</w:t>
      </w:r>
    </w:p>
    <w:p>
      <w:pPr>
        <w:spacing w:after="140" w:before="0"/>
      </w:pPr>
      <w:r>
        <w:rPr>
          <w:rFonts w:ascii="Calibri" w:cs="Calibri" w:eastAsia="Calibri" w:hAnsi="Calibri"/>
          <w:b/>
          <w:bCs/>
          <w:color w:val="6B7780"/>
          <w:sz w:val="20"/>
          <w:szCs w:val="20"/>
        </w:rPr>
        <w:t xml:space="preserve">Priority: </w:t>
      </w:r>
      <w:r>
        <w:rPr>
          <w:rFonts w:ascii="Calibri" w:cs="Calibri" w:eastAsia="Calibri" w:hAnsi="Calibri"/>
          <w:color w:val="6B7780"/>
          <w:sz w:val="20"/>
          <w:szCs w:val="20"/>
        </w:rPr>
        <w:t xml:space="preserve">Medium</w:t>
      </w:r>
    </w:p>
    <w:p>
      <w:pPr>
        <w:spacing w:after="60" w:before="0"/>
      </w:pPr>
      <w:r>
        <w:rPr>
          <w:rFonts w:ascii="Calibri" w:cs="Calibri" w:eastAsia="Calibri" w:hAnsi="Calibri"/>
          <w:b/>
          <w:bCs/>
          <w:color w:val="006DAE"/>
          <w:sz w:val="20"/>
          <w:szCs w:val="20"/>
        </w:rPr>
        <w:t xml:space="preserve">The question</w:t>
      </w:r>
    </w:p>
    <w:p>
      <w:pPr>
        <w:spacing w:after="160" w:before="0"/>
      </w:pPr>
      <w:r>
        <w:rPr>
          <w:rFonts w:ascii="Calibri" w:cs="Calibri" w:eastAsia="Calibri" w:hAnsi="Calibri"/>
          <w:color w:val="1A1A1A"/>
          <w:sz w:val="20"/>
          <w:szCs w:val="20"/>
        </w:rPr>
        <w:t xml:space="preserve">Confirm the trigger for column K Reminder Required, the exact trigger for column L Escalated?, and whether the First QC Outcome value list in the guide is complete.</w:t>
      </w:r>
    </w:p>
    <w:p>
      <w:pPr>
        <w:spacing w:after="60" w:before="0"/>
      </w:pPr>
      <w:r>
        <w:rPr>
          <w:rFonts w:ascii="Calibri" w:cs="Calibri" w:eastAsia="Calibri" w:hAnsi="Calibri"/>
          <w:b/>
          <w:bCs/>
          <w:color w:val="006DAE"/>
          <w:sz w:val="20"/>
          <w:szCs w:val="20"/>
        </w:rPr>
        <w:t xml:space="preserve">What depends on it</w:t>
      </w:r>
    </w:p>
    <w:p>
      <w:pPr>
        <w:spacing w:after="160" w:before="0"/>
      </w:pPr>
      <w:r>
        <w:rPr>
          <w:rFonts w:ascii="Calibri" w:cs="Calibri" w:eastAsia="Calibri" w:hAnsi="Calibri"/>
          <w:color w:val="1A1A1A"/>
          <w:sz w:val="20"/>
          <w:szCs w:val="20"/>
        </w:rPr>
        <w:t xml:space="preserve">Section 10 lists two reminder situations, Open Access with Additional Device and generative AI permitted, and worked case 13 scores a question on that list being exhaustive. If the trigger is broader, that answer is wrong.</w:t>
      </w:r>
    </w:p>
    <w:p>
      <w:pPr>
        <w:spacing w:after="60" w:before="0"/>
      </w:pPr>
      <w:r>
        <w:rPr>
          <w:rFonts w:ascii="Calibri" w:cs="Calibri" w:eastAsia="Calibri" w:hAnsi="Calibri"/>
          <w:b/>
          <w:bCs/>
          <w:color w:val="006DAE"/>
          <w:sz w:val="20"/>
          <w:szCs w:val="20"/>
        </w:rPr>
        <w:t xml:space="preserve">What the sources say</w:t>
      </w:r>
    </w:p>
    <w:p>
      <w:pPr>
        <w:spacing w:after="160" w:before="0"/>
      </w:pPr>
      <w:r>
        <w:rPr>
          <w:rFonts w:ascii="Calibri" w:cs="Calibri" w:eastAsia="Calibri" w:hAnsi="Calibri"/>
          <w:color w:val="1A1A1A"/>
          <w:sz w:val="20"/>
          <w:szCs w:val="20"/>
        </w:rPr>
        <w:t xml:space="preserve">kaylas_process.xlsx, Sheet columns, marks all three "TEAM TO CONFIRM" in the source itself.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shd w:fill="F4F8FB" w:color="auto" w:val="clear"/>
            <w:tcMar>
              <w:top w:type="dxa" w:w="80"/>
              <w:left w:type="dxa" w:w="120"/>
              <w:bottom w:type="dxa" w:w="80"/>
              <w:right w:type="dxa" w:w="120"/>
            </w:tcMar>
          </w:tcPr>
          <w:p>
            <w:pPr>
              <w:spacing w:after="0" w:before="0"/>
            </w:pPr>
            <w:r>
              <w:rPr>
                <w:rFonts w:ascii="Calibri" w:cs="Calibri" w:eastAsia="Calibri" w:hAnsi="Calibri"/>
                <w:b/>
                <w:bCs/>
                <w:color w:val="004165"/>
                <w:sz w:val="20"/>
                <w:szCs w:val="20"/>
              </w:rPr>
              <w:t xml:space="preserve">Answer</w:t>
            </w:r>
          </w:p>
        </w:tc>
        <w:tc>
          <w:tcPr>
            <w:tcW w:type="dxa" w:w="7526"/>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 </w:t>
            </w:r>
          </w:p>
          <w:p>
            <w:pPr>
              <w:spacing w:after="0" w:before="0"/>
            </w:pPr>
            <w:r>
              <w:rPr>
                <w:rFonts w:ascii="Calibri" w:cs="Calibri" w:eastAsia="Calibri" w:hAnsi="Calibri"/>
                <w:color w:val="1A1A1A"/>
                <w:sz w:val="20"/>
                <w:szCs w:val="20"/>
              </w:rPr>
              <w:t xml:space="preserve"> </w:t>
            </w:r>
          </w:p>
        </w:tc>
      </w:tr>
    </w:tbl>
    <w:p>
      <w:pPr>
        <w:pBdr>
          <w:bottom w:val="single" w:color="C9D6E0" w:sz="6"/>
        </w:pBdr>
        <w:spacing w:after="200" w:before="80"/>
      </w:pPr>
    </w:p>
    <w:p>
      <w:pPr>
        <w:pStyle w:val="Heading2"/>
        <w:spacing w:after="100" w:before="320"/>
      </w:pPr>
      <w:r>
        <w:rPr>
          <w:rFonts w:ascii="Calibri" w:cs="Calibri" w:eastAsia="Calibri" w:hAnsi="Calibri"/>
          <w:b/>
          <w:bCs/>
          <w:color w:val="004165"/>
          <w:sz w:val="26"/>
          <w:szCs w:val="26"/>
        </w:rPr>
        <w:t xml:space="preserve">11. Practice before live work</w:t>
      </w:r>
    </w:p>
    <w:p>
      <w:pPr>
        <w:spacing w:after="140" w:before="0"/>
      </w:pPr>
      <w:r>
        <w:rPr>
          <w:rFonts w:ascii="Calibri" w:cs="Calibri" w:eastAsia="Calibri" w:hAnsi="Calibri"/>
          <w:b/>
          <w:bCs/>
          <w:color w:val="6B7780"/>
          <w:sz w:val="20"/>
          <w:szCs w:val="20"/>
        </w:rPr>
        <w:t xml:space="preserve">Priority: </w:t>
      </w:r>
      <w:r>
        <w:rPr>
          <w:rFonts w:ascii="Calibri" w:cs="Calibri" w:eastAsia="Calibri" w:hAnsi="Calibri"/>
          <w:color w:val="6B7780"/>
          <w:sz w:val="20"/>
          <w:szCs w:val="20"/>
        </w:rPr>
        <w:t xml:space="preserve">Medium</w:t>
      </w:r>
    </w:p>
    <w:p>
      <w:pPr>
        <w:spacing w:after="60" w:before="0"/>
      </w:pPr>
      <w:r>
        <w:rPr>
          <w:rFonts w:ascii="Calibri" w:cs="Calibri" w:eastAsia="Calibri" w:hAnsi="Calibri"/>
          <w:b/>
          <w:bCs/>
          <w:color w:val="006DAE"/>
          <w:sz w:val="20"/>
          <w:szCs w:val="20"/>
        </w:rPr>
        <w:t xml:space="preserve">The question</w:t>
      </w:r>
    </w:p>
    <w:p>
      <w:pPr>
        <w:spacing w:after="160" w:before="0"/>
      </w:pPr>
      <w:r>
        <w:rPr>
          <w:rFonts w:ascii="Calibri" w:cs="Calibri" w:eastAsia="Calibri" w:hAnsi="Calibri"/>
          <w:color w:val="1A1A1A"/>
          <w:sz w:val="20"/>
          <w:szCs w:val="20"/>
        </w:rPr>
        <w:t xml:space="preserve">Is there an assigned practice exam, or a requirement that a first check be reviewed before it counts?</w:t>
      </w:r>
    </w:p>
    <w:p>
      <w:pPr>
        <w:spacing w:after="60" w:before="0"/>
      </w:pPr>
      <w:r>
        <w:rPr>
          <w:rFonts w:ascii="Calibri" w:cs="Calibri" w:eastAsia="Calibri" w:hAnsi="Calibri"/>
          <w:b/>
          <w:bCs/>
          <w:color w:val="006DAE"/>
          <w:sz w:val="20"/>
          <w:szCs w:val="20"/>
        </w:rPr>
        <w:t xml:space="preserve">What depends on it</w:t>
      </w:r>
    </w:p>
    <w:p>
      <w:pPr>
        <w:spacing w:after="160" w:before="0"/>
      </w:pPr>
      <w:r>
        <w:rPr>
          <w:rFonts w:ascii="Calibri" w:cs="Calibri" w:eastAsia="Calibri" w:hAnsi="Calibri"/>
          <w:color w:val="1A1A1A"/>
          <w:sz w:val="20"/>
          <w:szCs w:val="20"/>
        </w:rPr>
        <w:t xml:space="preserve">The completion panel now says to ask Senior Delivery before a first live row. The training records that someone has read the material and passed the self-test, which is not the same as a supervised check.</w:t>
      </w:r>
    </w:p>
    <w:p>
      <w:pPr>
        <w:spacing w:after="60" w:before="0"/>
      </w:pPr>
      <w:r>
        <w:rPr>
          <w:rFonts w:ascii="Calibri" w:cs="Calibri" w:eastAsia="Calibri" w:hAnsi="Calibri"/>
          <w:b/>
          <w:bCs/>
          <w:color w:val="006DAE"/>
          <w:sz w:val="20"/>
          <w:szCs w:val="20"/>
        </w:rPr>
        <w:t xml:space="preserve">What the sources say</w:t>
      </w:r>
    </w:p>
    <w:p>
      <w:pPr>
        <w:spacing w:after="160" w:before="0"/>
      </w:pPr>
      <w:r>
        <w:rPr>
          <w:rFonts w:ascii="Calibri" w:cs="Calibri" w:eastAsia="Calibri" w:hAnsi="Calibri"/>
          <w:color w:val="1A1A1A"/>
          <w:sz w:val="20"/>
          <w:szCs w:val="20"/>
        </w:rPr>
        <w:t xml:space="preserve">No source describes a practice exercise.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shd w:fill="F4F8FB" w:color="auto" w:val="clear"/>
            <w:tcMar>
              <w:top w:type="dxa" w:w="80"/>
              <w:left w:type="dxa" w:w="120"/>
              <w:bottom w:type="dxa" w:w="80"/>
              <w:right w:type="dxa" w:w="120"/>
            </w:tcMar>
          </w:tcPr>
          <w:p>
            <w:pPr>
              <w:spacing w:after="0" w:before="0"/>
            </w:pPr>
            <w:r>
              <w:rPr>
                <w:rFonts w:ascii="Calibri" w:cs="Calibri" w:eastAsia="Calibri" w:hAnsi="Calibri"/>
                <w:b/>
                <w:bCs/>
                <w:color w:val="004165"/>
                <w:sz w:val="20"/>
                <w:szCs w:val="20"/>
              </w:rPr>
              <w:t xml:space="preserve">Answer</w:t>
            </w:r>
          </w:p>
        </w:tc>
        <w:tc>
          <w:tcPr>
            <w:tcW w:type="dxa" w:w="7526"/>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 </w:t>
            </w:r>
          </w:p>
          <w:p>
            <w:pPr>
              <w:spacing w:after="0" w:before="0"/>
            </w:pPr>
            <w:r>
              <w:rPr>
                <w:rFonts w:ascii="Calibri" w:cs="Calibri" w:eastAsia="Calibri" w:hAnsi="Calibri"/>
                <w:color w:val="1A1A1A"/>
                <w:sz w:val="20"/>
                <w:szCs w:val="20"/>
              </w:rPr>
              <w:t xml:space="preserve"> </w:t>
            </w:r>
          </w:p>
        </w:tc>
      </w:tr>
    </w:tbl>
    <w:p>
      <w:pPr>
        <w:pBdr>
          <w:bottom w:val="single" w:color="C9D6E0" w:sz="6"/>
        </w:pBdr>
        <w:spacing w:after="200" w:before="80"/>
      </w:pPr>
    </w:p>
    <w:p>
      <w:pPr>
        <w:pStyle w:val="Heading2"/>
        <w:spacing w:after="100" w:before="320"/>
      </w:pPr>
      <w:r>
        <w:rPr>
          <w:rFonts w:ascii="Calibri" w:cs="Calibri" w:eastAsia="Calibri" w:hAnsi="Calibri"/>
          <w:b/>
          <w:bCs/>
          <w:color w:val="004165"/>
          <w:sz w:val="26"/>
          <w:szCs w:val="26"/>
        </w:rPr>
        <w:t xml:space="preserve">12. Timing expectations</w:t>
      </w:r>
    </w:p>
    <w:p>
      <w:pPr>
        <w:spacing w:after="140" w:before="0"/>
      </w:pPr>
      <w:r>
        <w:rPr>
          <w:rFonts w:ascii="Calibri" w:cs="Calibri" w:eastAsia="Calibri" w:hAnsi="Calibri"/>
          <w:b/>
          <w:bCs/>
          <w:color w:val="6B7780"/>
          <w:sz w:val="20"/>
          <w:szCs w:val="20"/>
        </w:rPr>
        <w:t xml:space="preserve">Priority: </w:t>
      </w:r>
      <w:r>
        <w:rPr>
          <w:rFonts w:ascii="Calibri" w:cs="Calibri" w:eastAsia="Calibri" w:hAnsi="Calibri"/>
          <w:color w:val="6B7780"/>
          <w:sz w:val="20"/>
          <w:szCs w:val="20"/>
        </w:rPr>
        <w:t xml:space="preserve">Low</w:t>
      </w:r>
    </w:p>
    <w:p>
      <w:pPr>
        <w:spacing w:after="60" w:before="0"/>
      </w:pPr>
      <w:r>
        <w:rPr>
          <w:rFonts w:ascii="Calibri" w:cs="Calibri" w:eastAsia="Calibri" w:hAnsi="Calibri"/>
          <w:b/>
          <w:bCs/>
          <w:color w:val="006DAE"/>
          <w:sz w:val="20"/>
          <w:szCs w:val="20"/>
        </w:rPr>
        <w:t xml:space="preserve">The question</w:t>
      </w:r>
    </w:p>
    <w:p>
      <w:pPr>
        <w:spacing w:after="160" w:before="0"/>
      </w:pPr>
      <w:r>
        <w:rPr>
          <w:rFonts w:ascii="Calibri" w:cs="Calibri" w:eastAsia="Calibri" w:hAnsi="Calibri"/>
          <w:color w:val="1A1A1A"/>
          <w:sz w:val="20"/>
          <w:szCs w:val="20"/>
        </w:rPr>
        <w:t xml:space="preserve">Is there an agreed point before an exam date at which an unchecked or unresolved unit must be raised, and a target date for a first QC relative to the exam?</w:t>
      </w:r>
    </w:p>
    <w:p>
      <w:pPr>
        <w:spacing w:after="60" w:before="0"/>
      </w:pPr>
      <w:r>
        <w:rPr>
          <w:rFonts w:ascii="Calibri" w:cs="Calibri" w:eastAsia="Calibri" w:hAnsi="Calibri"/>
          <w:b/>
          <w:bCs/>
          <w:color w:val="006DAE"/>
          <w:sz w:val="20"/>
          <w:szCs w:val="20"/>
        </w:rPr>
        <w:t xml:space="preserve">What depends on it</w:t>
      </w:r>
    </w:p>
    <w:p>
      <w:pPr>
        <w:spacing w:after="160" w:before="0"/>
      </w:pPr>
      <w:r>
        <w:rPr>
          <w:rFonts w:ascii="Calibri" w:cs="Calibri" w:eastAsia="Calibri" w:hAnsi="Calibri"/>
          <w:color w:val="1A1A1A"/>
          <w:sz w:val="20"/>
          <w:szCs w:val="20"/>
        </w:rPr>
        <w:t xml:space="preserve">Worked case 12 previously said to raise an unexplained missing unit "if the exam is within a week". That was the only timing figure anywhere in the guide, no source supported it, and it has been removed. Section 11 now says only to start early enough that both passes fit.</w:t>
      </w:r>
    </w:p>
    <w:p>
      <w:pPr>
        <w:spacing w:after="60" w:before="0"/>
      </w:pPr>
      <w:r>
        <w:rPr>
          <w:rFonts w:ascii="Calibri" w:cs="Calibri" w:eastAsia="Calibri" w:hAnsi="Calibri"/>
          <w:b/>
          <w:bCs/>
          <w:color w:val="006DAE"/>
          <w:sz w:val="20"/>
          <w:szCs w:val="20"/>
        </w:rPr>
        <w:t xml:space="preserve">What the sources say</w:t>
      </w:r>
    </w:p>
    <w:p>
      <w:pPr>
        <w:spacing w:after="160" w:before="0"/>
      </w:pPr>
      <w:r>
        <w:rPr>
          <w:rFonts w:ascii="Calibri" w:cs="Calibri" w:eastAsia="Calibri" w:hAnsi="Calibri"/>
          <w:color w:val="1A1A1A"/>
          <w:sz w:val="20"/>
          <w:szCs w:val="20"/>
        </w:rPr>
        <w:t xml:space="preserve">kayla_process.txt records from the S1 2026 retro that QC ran too late for a thorough second pass. It sets no threshold.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shd w:fill="F4F8FB" w:color="auto" w:val="clear"/>
            <w:tcMar>
              <w:top w:type="dxa" w:w="80"/>
              <w:left w:type="dxa" w:w="120"/>
              <w:bottom w:type="dxa" w:w="80"/>
              <w:right w:type="dxa" w:w="120"/>
            </w:tcMar>
          </w:tcPr>
          <w:p>
            <w:pPr>
              <w:spacing w:after="0" w:before="0"/>
            </w:pPr>
            <w:r>
              <w:rPr>
                <w:rFonts w:ascii="Calibri" w:cs="Calibri" w:eastAsia="Calibri" w:hAnsi="Calibri"/>
                <w:b/>
                <w:bCs/>
                <w:color w:val="004165"/>
                <w:sz w:val="20"/>
                <w:szCs w:val="20"/>
              </w:rPr>
              <w:t xml:space="preserve">Answer</w:t>
            </w:r>
          </w:p>
        </w:tc>
        <w:tc>
          <w:tcPr>
            <w:tcW w:type="dxa" w:w="7526"/>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 </w:t>
            </w:r>
          </w:p>
          <w:p>
            <w:pPr>
              <w:spacing w:after="0" w:before="0"/>
            </w:pPr>
            <w:r>
              <w:rPr>
                <w:rFonts w:ascii="Calibri" w:cs="Calibri" w:eastAsia="Calibri" w:hAnsi="Calibri"/>
                <w:color w:val="1A1A1A"/>
                <w:sz w:val="20"/>
                <w:szCs w:val="20"/>
              </w:rPr>
              <w:t xml:space="preserve"> </w:t>
            </w:r>
          </w:p>
        </w:tc>
      </w:tr>
    </w:tbl>
    <w:p>
      <w:pPr>
        <w:pBdr>
          <w:bottom w:val="single" w:color="C9D6E0" w:sz="6"/>
        </w:pBdr>
        <w:spacing w:after="200" w:before="80"/>
      </w:pPr>
    </w:p>
    <w:p>
      <w:pPr>
        <w:pStyle w:val="Heading2"/>
        <w:spacing w:after="100" w:before="320"/>
      </w:pPr>
      <w:r>
        <w:rPr>
          <w:rFonts w:ascii="Calibri" w:cs="Calibri" w:eastAsia="Calibri" w:hAnsi="Calibri"/>
          <w:b/>
          <w:bCs/>
          <w:color w:val="004165"/>
          <w:sz w:val="26"/>
          <w:szCs w:val="26"/>
        </w:rPr>
        <w:t xml:space="preserve">13. Worksheet tab name</w:t>
      </w:r>
    </w:p>
    <w:p>
      <w:pPr>
        <w:spacing w:after="140" w:before="0"/>
      </w:pPr>
      <w:r>
        <w:rPr>
          <w:rFonts w:ascii="Calibri" w:cs="Calibri" w:eastAsia="Calibri" w:hAnsi="Calibri"/>
          <w:b/>
          <w:bCs/>
          <w:color w:val="6B7780"/>
          <w:sz w:val="20"/>
          <w:szCs w:val="20"/>
        </w:rPr>
        <w:t xml:space="preserve">Priority: </w:t>
      </w:r>
      <w:r>
        <w:rPr>
          <w:rFonts w:ascii="Calibri" w:cs="Calibri" w:eastAsia="Calibri" w:hAnsi="Calibri"/>
          <w:color w:val="6B7780"/>
          <w:sz w:val="20"/>
          <w:szCs w:val="20"/>
        </w:rPr>
        <w:t xml:space="preserve">Low</w:t>
      </w:r>
    </w:p>
    <w:p>
      <w:pPr>
        <w:spacing w:after="60" w:before="0"/>
      </w:pPr>
      <w:r>
        <w:rPr>
          <w:rFonts w:ascii="Calibri" w:cs="Calibri" w:eastAsia="Calibri" w:hAnsi="Calibri"/>
          <w:b/>
          <w:bCs/>
          <w:color w:val="006DAE"/>
          <w:sz w:val="20"/>
          <w:szCs w:val="20"/>
        </w:rPr>
        <w:t xml:space="preserve">The question</w:t>
      </w:r>
    </w:p>
    <w:p>
      <w:pPr>
        <w:spacing w:after="160" w:before="0"/>
      </w:pPr>
      <w:r>
        <w:rPr>
          <w:rFonts w:ascii="Calibri" w:cs="Calibri" w:eastAsia="Calibri" w:hAnsi="Calibri"/>
          <w:color w:val="1A1A1A"/>
          <w:sz w:val="20"/>
          <w:szCs w:val="20"/>
        </w:rPr>
        <w:t xml:space="preserve">What is the name of the worksheet tab a checker works in?</w:t>
      </w:r>
    </w:p>
    <w:p>
      <w:pPr>
        <w:spacing w:after="60" w:before="0"/>
      </w:pPr>
      <w:r>
        <w:rPr>
          <w:rFonts w:ascii="Calibri" w:cs="Calibri" w:eastAsia="Calibri" w:hAnsi="Calibri"/>
          <w:b/>
          <w:bCs/>
          <w:color w:val="006DAE"/>
          <w:sz w:val="20"/>
          <w:szCs w:val="20"/>
        </w:rPr>
        <w:t xml:space="preserve">What depends on it</w:t>
      </w:r>
    </w:p>
    <w:p>
      <w:pPr>
        <w:spacing w:after="160" w:before="0"/>
      </w:pPr>
      <w:r>
        <w:rPr>
          <w:rFonts w:ascii="Calibri" w:cs="Calibri" w:eastAsia="Calibri" w:hAnsi="Calibri"/>
          <w:color w:val="1A1A1A"/>
          <w:sz w:val="20"/>
          <w:szCs w:val="20"/>
        </w:rPr>
        <w:t xml:space="preserve">The QC sheet link carries gid=533733026 but no tab name, so the guide cannot say "open the X tab".</w:t>
      </w:r>
    </w:p>
    <w:p>
      <w:pPr>
        <w:spacing w:after="60" w:before="0"/>
      </w:pPr>
      <w:r>
        <w:rPr>
          <w:rFonts w:ascii="Calibri" w:cs="Calibri" w:eastAsia="Calibri" w:hAnsi="Calibri"/>
          <w:b/>
          <w:bCs/>
          <w:color w:val="006DAE"/>
          <w:sz w:val="20"/>
          <w:szCs w:val="20"/>
        </w:rPr>
        <w:t xml:space="preserve">What the sources say</w:t>
      </w:r>
    </w:p>
    <w:p>
      <w:pPr>
        <w:spacing w:after="160" w:before="0"/>
      </w:pPr>
      <w:r>
        <w:rPr>
          <w:rFonts w:ascii="Calibri" w:cs="Calibri" w:eastAsia="Calibri" w:hAnsi="Calibri"/>
          <w:color w:val="1A1A1A"/>
          <w:sz w:val="20"/>
          <w:szCs w:val="20"/>
        </w:rPr>
        <w:t xml:space="preserve">content.py carries the gid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shd w:fill="F4F8FB" w:color="auto" w:val="clear"/>
            <w:tcMar>
              <w:top w:type="dxa" w:w="80"/>
              <w:left w:type="dxa" w:w="120"/>
              <w:bottom w:type="dxa" w:w="80"/>
              <w:right w:type="dxa" w:w="120"/>
            </w:tcMar>
          </w:tcPr>
          <w:p>
            <w:pPr>
              <w:spacing w:after="0" w:before="0"/>
            </w:pPr>
            <w:r>
              <w:rPr>
                <w:rFonts w:ascii="Calibri" w:cs="Calibri" w:eastAsia="Calibri" w:hAnsi="Calibri"/>
                <w:b/>
                <w:bCs/>
                <w:color w:val="004165"/>
                <w:sz w:val="20"/>
                <w:szCs w:val="20"/>
              </w:rPr>
              <w:t xml:space="preserve">Answer</w:t>
            </w:r>
          </w:p>
        </w:tc>
        <w:tc>
          <w:tcPr>
            <w:tcW w:type="dxa" w:w="7526"/>
            <w:tcMar>
              <w:top w:type="dxa" w:w="80"/>
              <w:left w:type="dxa" w:w="120"/>
              <w:bottom w:type="dxa" w:w="80"/>
              <w:right w:type="dxa" w:w="120"/>
            </w:tcMar>
          </w:tcPr>
          <w:p>
            <w:pPr>
              <w:spacing w:after="0" w:before="0"/>
            </w:pPr>
            <w:r>
              <w:rPr>
                <w:rFonts w:ascii="Calibri" w:cs="Calibri" w:eastAsia="Calibri" w:hAnsi="Calibri"/>
                <w:color w:val="1A1A1A"/>
                <w:sz w:val="20"/>
                <w:szCs w:val="20"/>
              </w:rPr>
              <w:t xml:space="preserve"> </w:t>
            </w:r>
          </w:p>
          <w:p>
            <w:pPr>
              <w:spacing w:after="0" w:before="0"/>
            </w:pPr>
            <w:r>
              <w:rPr>
                <w:rFonts w:ascii="Calibri" w:cs="Calibri" w:eastAsia="Calibri" w:hAnsi="Calibri"/>
                <w:color w:val="1A1A1A"/>
                <w:sz w:val="20"/>
                <w:szCs w:val="20"/>
              </w:rPr>
              <w:t xml:space="preserve"> </w:t>
            </w:r>
          </w:p>
        </w:tc>
      </w:tr>
    </w:tbl>
    <w:p>
      <w:r>
        <w:br w:type="page"/>
      </w:r>
    </w:p>
    <w:p>
      <w:pPr>
        <w:spacing w:after="120" w:before="0"/>
      </w:pPr>
      <w:r>
        <w:rPr>
          <w:rFonts w:ascii="Calibri" w:cs="Calibri" w:eastAsia="Calibri" w:hAnsi="Calibri"/>
          <w:b/>
          <w:bCs/>
          <w:color w:val="004165"/>
          <w:sz w:val="26"/>
          <w:szCs w:val="26"/>
        </w:rPr>
        <w:t xml:space="preserve">Anything else</w:t>
      </w:r>
    </w:p>
    <w:p>
      <w:pPr>
        <w:spacing w:after="160" w:before="0"/>
      </w:pPr>
      <w:r>
        <w:rPr>
          <w:rFonts w:ascii="Calibri" w:cs="Calibri" w:eastAsia="Calibri" w:hAnsi="Calibri"/>
          <w:color w:val="1A1A1A"/>
          <w:sz w:val="20"/>
          <w:szCs w:val="20"/>
        </w:rPr>
        <w:t xml:space="preserve">If reading this has surfaced something the guide gets wrong that is not on the list, please note it here with the section it appears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80"/>
              <w:left w:type="dxa" w:w="120"/>
              <w:bottom w:type="dxa" w:w="80"/>
              <w:right w:type="dxa" w:w="120"/>
            </w:tcMar>
          </w:tcPr>
          <w:p>
            <w:pPr>
              <w:spacing w:after="120" w:before="0"/>
            </w:pPr>
            <w:r>
              <w:rPr>
                <w:rFonts w:ascii="Calibri" w:cs="Calibri" w:eastAsia="Calibri" w:hAnsi="Calibri"/>
                <w:color w:val="1A1A1A"/>
                <w:sz w:val="20"/>
                <w:szCs w:val="20"/>
              </w:rPr>
              <w:t xml:space="preserve"> </w:t>
            </w:r>
          </w:p>
          <w:p>
            <w:pPr>
              <w:spacing w:after="120" w:before="0"/>
            </w:pPr>
            <w:r>
              <w:rPr>
                <w:rFonts w:ascii="Calibri" w:cs="Calibri" w:eastAsia="Calibri" w:hAnsi="Calibri"/>
                <w:color w:val="1A1A1A"/>
                <w:sz w:val="20"/>
                <w:szCs w:val="20"/>
              </w:rPr>
              <w:t xml:space="preserve"> </w:t>
            </w:r>
          </w:p>
          <w:p>
            <w:pPr>
              <w:spacing w:after="120" w:before="0"/>
            </w:pPr>
            <w:r>
              <w:rPr>
                <w:rFonts w:ascii="Calibri" w:cs="Calibri" w:eastAsia="Calibri" w:hAnsi="Calibri"/>
                <w:color w:val="1A1A1A"/>
                <w:sz w:val="20"/>
                <w:szCs w:val="20"/>
              </w:rPr>
              <w:t xml:space="preserve"> </w:t>
            </w:r>
          </w:p>
          <w:p>
            <w:pPr>
              <w:spacing w:after="120" w:before="0"/>
            </w:pPr>
            <w:r>
              <w:rPr>
                <w:rFonts w:ascii="Calibri" w:cs="Calibri" w:eastAsia="Calibri" w:hAnsi="Calibri"/>
                <w:color w:val="1A1A1A"/>
                <w:sz w:val="20"/>
                <w:szCs w:val="20"/>
              </w:rPr>
              <w:t xml:space="preserve"> </w:t>
            </w:r>
          </w:p>
          <w:p>
            <w:pPr>
              <w:spacing w:after="0" w:before="0"/>
            </w:pPr>
            <w:r>
              <w:rPr>
                <w:rFonts w:ascii="Calibri" w:cs="Calibri" w:eastAsia="Calibri" w:hAnsi="Calibri"/>
                <w:color w:val="1A1A1A"/>
                <w:sz w:val="20"/>
                <w:szCs w:val="20"/>
              </w:rPr>
              <w:t xml:space="preserve"> </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Authorised Materials QC: decisions needed</dc:title>
  <dc:creator>Exam Delivery Team</dc:creator>
  <dc:description>Open questions that affect instructions and scored answers in the QC training guide</dc:description>
  <cp:lastModifiedBy>Un-named</cp:lastModifiedBy>
  <cp:revision>1</cp:revision>
  <dcterms:created xsi:type="dcterms:W3CDTF">2026-09-11T02:06:24.193Z</dcterms:created>
  <dcterms:modified xsi:type="dcterms:W3CDTF">2026-09-11T02:06:24.193Z</dcterms:modified>
</cp:coreProperties>
</file>

<file path=docProps/custom.xml><?xml version="1.0" encoding="utf-8"?>
<Properties xmlns="http://schemas.openxmlformats.org/officeDocument/2006/custom-properties" xmlns:vt="http://schemas.openxmlformats.org/officeDocument/2006/docPropsVTypes"/>
</file>