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77777777"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510B45" w:rsidRDefault="00233ED4" w:rsidP="003C5DCA">
      <w:pPr>
        <w:jc w:val="center"/>
        <w:rPr>
          <w:b/>
          <w:sz w:val="120"/>
          <w:szCs w:val="120"/>
          <w:lang w:val="en-US"/>
        </w:rPr>
      </w:pPr>
      <w:r w:rsidRPr="00510B45">
        <w:rPr>
          <w:b/>
          <w:sz w:val="120"/>
          <w:szCs w:val="120"/>
          <w:lang w:val="en-US"/>
        </w:rPr>
        <w:t>H</w:t>
      </w:r>
      <w:r w:rsidR="00EC49D3" w:rsidRPr="00510B45">
        <w:rPr>
          <w:b/>
          <w:sz w:val="120"/>
          <w:szCs w:val="120"/>
          <w:lang w:val="en-US"/>
        </w:rPr>
        <w:t>ERisk</w:t>
      </w:r>
      <w:r w:rsidRPr="00510B45">
        <w:rPr>
          <w:b/>
          <w:sz w:val="120"/>
          <w:szCs w:val="120"/>
          <w:lang w:val="en-US"/>
        </w:rPr>
        <w:t xml:space="preserve"> Guide</w:t>
      </w:r>
    </w:p>
    <w:p w14:paraId="58404EC9" w14:textId="08A17DF6" w:rsidR="003C5DCA" w:rsidRPr="00510B45" w:rsidRDefault="003C5DCA" w:rsidP="003C5DCA">
      <w:pPr>
        <w:jc w:val="center"/>
        <w:rPr>
          <w:sz w:val="52"/>
          <w:lang w:val="en-US"/>
        </w:rPr>
      </w:pPr>
    </w:p>
    <w:p w14:paraId="3669FAE5" w14:textId="77777777" w:rsidR="00EC49D3" w:rsidRPr="00510B45" w:rsidRDefault="00EC49D3" w:rsidP="003C5DCA">
      <w:pPr>
        <w:jc w:val="center"/>
        <w:rPr>
          <w:sz w:val="72"/>
          <w:lang w:val="en-US"/>
        </w:rPr>
      </w:pPr>
    </w:p>
    <w:p w14:paraId="361B5E5F" w14:textId="77777777" w:rsidR="003C5DCA" w:rsidRPr="00510B45" w:rsidRDefault="003C5DCA" w:rsidP="003C5DCA">
      <w:pPr>
        <w:jc w:val="center"/>
        <w:rPr>
          <w:sz w:val="72"/>
          <w:lang w:val="en-US"/>
        </w:rPr>
      </w:pPr>
    </w:p>
    <w:p w14:paraId="530024D3" w14:textId="77777777" w:rsidR="003C5DCA" w:rsidRPr="00510B45" w:rsidRDefault="003C5DCA" w:rsidP="003C5DCA">
      <w:pPr>
        <w:jc w:val="center"/>
        <w:rPr>
          <w:sz w:val="72"/>
          <w:lang w:val="en-US"/>
        </w:rPr>
      </w:pPr>
    </w:p>
    <w:p w14:paraId="479182FA" w14:textId="77777777" w:rsidR="003C5DCA" w:rsidRPr="00510B45" w:rsidRDefault="003C5DCA" w:rsidP="003C5DCA">
      <w:pPr>
        <w:jc w:val="center"/>
        <w:rPr>
          <w:sz w:val="48"/>
          <w:lang w:val="en-US"/>
        </w:rPr>
      </w:pPr>
      <w:r w:rsidRPr="00510B45">
        <w:rPr>
          <w:sz w:val="48"/>
          <w:lang w:val="en-US"/>
        </w:rPr>
        <w:t xml:space="preserve">Jordan </w:t>
      </w:r>
      <w:proofErr w:type="spellStart"/>
      <w:r w:rsidRPr="00510B45">
        <w:rPr>
          <w:sz w:val="48"/>
          <w:lang w:val="en-US"/>
        </w:rPr>
        <w:t>Brizi</w:t>
      </w:r>
      <w:proofErr w:type="spellEnd"/>
      <w:r w:rsidRPr="00510B45">
        <w:rPr>
          <w:sz w:val="48"/>
          <w:lang w:val="en-US"/>
        </w:rPr>
        <w:t xml:space="preserve"> </w:t>
      </w:r>
      <w:proofErr w:type="spellStart"/>
      <w:r w:rsidRPr="00510B45">
        <w:rPr>
          <w:sz w:val="48"/>
          <w:lang w:val="en-US"/>
        </w:rPr>
        <w:t>Neris</w:t>
      </w:r>
      <w:proofErr w:type="spellEnd"/>
    </w:p>
    <w:p w14:paraId="345A7FDF" w14:textId="77777777" w:rsidR="003C5DCA" w:rsidRPr="00510B45" w:rsidRDefault="00657F8F" w:rsidP="003C5DCA">
      <w:pPr>
        <w:jc w:val="center"/>
        <w:rPr>
          <w:sz w:val="48"/>
          <w:lang w:val="en-US"/>
        </w:rPr>
      </w:pPr>
      <w:proofErr w:type="spellStart"/>
      <w:r w:rsidRPr="00510B45">
        <w:rPr>
          <w:sz w:val="48"/>
          <w:lang w:val="en-US"/>
        </w:rPr>
        <w:t>Diango</w:t>
      </w:r>
      <w:proofErr w:type="spellEnd"/>
      <w:r w:rsidRPr="00510B45">
        <w:rPr>
          <w:sz w:val="48"/>
          <w:lang w:val="en-US"/>
        </w:rPr>
        <w:t xml:space="preserve"> Manuel </w:t>
      </w:r>
      <w:proofErr w:type="spellStart"/>
      <w:r w:rsidRPr="00510B45">
        <w:rPr>
          <w:sz w:val="48"/>
          <w:lang w:val="en-US"/>
        </w:rPr>
        <w:t>Montalván</w:t>
      </w:r>
      <w:proofErr w:type="spellEnd"/>
      <w:r w:rsidRPr="00510B45">
        <w:rPr>
          <w:sz w:val="48"/>
          <w:lang w:val="en-US"/>
        </w:rPr>
        <w:t xml:space="preserve"> Olivares</w:t>
      </w:r>
    </w:p>
    <w:p w14:paraId="0EE859B1" w14:textId="77777777" w:rsidR="003C5DCA" w:rsidRPr="00510B45" w:rsidRDefault="003C5DCA" w:rsidP="003C5DCA">
      <w:pPr>
        <w:jc w:val="center"/>
        <w:rPr>
          <w:sz w:val="48"/>
          <w:lang w:val="en-US"/>
        </w:rPr>
      </w:pPr>
    </w:p>
    <w:p w14:paraId="02C5A050" w14:textId="77777777" w:rsidR="003C5DCA" w:rsidRPr="00510B45" w:rsidRDefault="003C5DCA" w:rsidP="003C5DCA">
      <w:pPr>
        <w:jc w:val="center"/>
        <w:rPr>
          <w:sz w:val="48"/>
          <w:lang w:val="en-US"/>
        </w:rPr>
      </w:pPr>
    </w:p>
    <w:p w14:paraId="5A40A746" w14:textId="77777777" w:rsidR="007108AD" w:rsidRPr="00510B45" w:rsidRDefault="007108AD" w:rsidP="003C5DCA">
      <w:pPr>
        <w:jc w:val="center"/>
        <w:rPr>
          <w:sz w:val="48"/>
          <w:lang w:val="en-US"/>
        </w:rPr>
      </w:pPr>
    </w:p>
    <w:p w14:paraId="13305C8A" w14:textId="77777777" w:rsidR="00233ED4" w:rsidRPr="00510B45" w:rsidRDefault="00233ED4" w:rsidP="003C5DCA">
      <w:pPr>
        <w:jc w:val="center"/>
        <w:rPr>
          <w:sz w:val="48"/>
          <w:lang w:val="en-US"/>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r w:rsidR="003F31FE">
        <w:rPr>
          <w:rStyle w:val="tlid-translation"/>
          <w:sz w:val="22"/>
          <w:szCs w:val="22"/>
          <w:lang w:val="en"/>
        </w:rPr>
        <w:t>HERisk</w:t>
      </w:r>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r w:rsidR="003F31FE">
        <w:rPr>
          <w:rStyle w:val="tlid-translation"/>
          <w:sz w:val="22"/>
          <w:szCs w:val="22"/>
          <w:lang w:val="en"/>
        </w:rPr>
        <w:t>HERisk</w:t>
      </w:r>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r w:rsidR="003F31FE">
        <w:rPr>
          <w:rStyle w:val="tlid-translation"/>
          <w:sz w:val="22"/>
          <w:szCs w:val="22"/>
          <w:lang w:val="en"/>
        </w:rPr>
        <w:t>HERisk</w:t>
      </w:r>
      <w:r w:rsidRPr="0049101C">
        <w:rPr>
          <w:rStyle w:val="tlid-translation"/>
          <w:sz w:val="22"/>
          <w:szCs w:val="22"/>
          <w:lang w:val="en"/>
        </w:rPr>
        <w:t xml:space="preserve"> for ecological risk calculations</w:t>
      </w:r>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r w:rsidR="003F31FE">
        <w:rPr>
          <w:rStyle w:val="tlid-translation"/>
          <w:b/>
          <w:sz w:val="32"/>
          <w:szCs w:val="32"/>
          <w:lang w:val="en"/>
        </w:rPr>
        <w:t>HERisk</w:t>
      </w:r>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34E1756F"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r w:rsidR="003F31FE">
        <w:rPr>
          <w:rFonts w:eastAsia="Times New Roman"/>
          <w:kern w:val="36"/>
          <w:sz w:val="28"/>
          <w:lang w:val="en-US" w:eastAsia="pt-BR"/>
        </w:rPr>
        <w:t>HERisk</w:t>
      </w:r>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D17512">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Agency","id":"ITEM-2","issue":"540/R/99/005","issued":{"date-parts":[["2004"]]},"title":"Risk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5B7930"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Soil ingestion rate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Exposure frequency</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w:t>
            </w:r>
            <w:proofErr w:type="spellStart"/>
            <w:r w:rsidRPr="00E55C4E">
              <w:rPr>
                <w:b/>
                <w:bCs/>
                <w:i/>
                <w:sz w:val="18"/>
                <w:szCs w:val="18"/>
                <w:lang w:val="en-US"/>
              </w:rPr>
              <w:t>Δt</w:t>
            </w:r>
            <w:proofErr w:type="spellEnd"/>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5B7930"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proofErr w:type="spellStart"/>
            <w:r w:rsidRPr="00E55C4E">
              <w:rPr>
                <w:b/>
                <w:bCs/>
                <w:i/>
                <w:sz w:val="18"/>
                <w:szCs w:val="18"/>
                <w:lang w:val="en-US"/>
              </w:rPr>
              <w:t>C</w:t>
            </w:r>
            <w:r>
              <w:rPr>
                <w:b/>
                <w:bCs/>
                <w:i/>
                <w:sz w:val="18"/>
                <w:szCs w:val="18"/>
                <w:vertAlign w:val="subscript"/>
                <w:lang w:val="en-US"/>
              </w:rPr>
              <w:t>w</w:t>
            </w:r>
            <w:proofErr w:type="spellEnd"/>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5B7930"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w:t>
            </w:r>
            <w:proofErr w:type="spellStart"/>
            <w:r w:rsidRPr="001C51AF">
              <w:rPr>
                <w:b/>
                <w:bCs/>
                <w:i/>
                <w:sz w:val="18"/>
                <w:szCs w:val="18"/>
                <w:lang w:val="en-US"/>
              </w:rPr>
              <w:t>i</w:t>
            </w:r>
            <w:proofErr w:type="spellEnd"/>
            <w:r w:rsidRPr="001C51AF">
              <w:rPr>
                <w:b/>
                <w:bCs/>
                <w:i/>
                <w:sz w:val="18"/>
                <w:szCs w:val="18"/>
                <w:lang w:val="en-US"/>
              </w:rPr>
              <w:t>)</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w:t>
            </w:r>
            <w:proofErr w:type="spellStart"/>
            <w:r w:rsidRPr="001C51AF">
              <w:rPr>
                <w:b/>
                <w:bCs/>
                <w:i/>
                <w:sz w:val="18"/>
                <w:szCs w:val="18"/>
                <w:lang w:val="en-US"/>
              </w:rPr>
              <w:t>i</w:t>
            </w:r>
            <w:proofErr w:type="spellEnd"/>
            <w:r w:rsidRPr="001C51AF">
              <w:rPr>
                <w:b/>
                <w:bCs/>
                <w:i/>
                <w:sz w:val="18"/>
                <w:szCs w:val="18"/>
                <w:lang w:val="en-US"/>
              </w:rPr>
              <w:t>)</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w:t>
            </w:r>
            <w:proofErr w:type="spellStart"/>
            <w:r w:rsidRPr="001C51AF">
              <w:rPr>
                <w:b/>
                <w:bCs/>
                <w:i/>
                <w:sz w:val="18"/>
                <w:szCs w:val="18"/>
                <w:lang w:val="en-US"/>
              </w:rPr>
              <w:t>i</w:t>
            </w:r>
            <w:proofErr w:type="spellEnd"/>
            <w:r w:rsidRPr="001C51AF">
              <w:rPr>
                <w:b/>
                <w:bCs/>
                <w:i/>
                <w:sz w:val="18"/>
                <w:szCs w:val="18"/>
                <w:lang w:val="en-US"/>
              </w:rPr>
              <w:t>)</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5B7930"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proofErr w:type="spellStart"/>
            <w:r w:rsidRPr="00356855">
              <w:rPr>
                <w:b/>
                <w:bCs/>
                <w:i/>
                <w:sz w:val="18"/>
                <w:szCs w:val="18"/>
                <w:lang w:val="en-US"/>
              </w:rPr>
              <w:t>SA</w:t>
            </w:r>
            <w:r w:rsidRPr="00356855">
              <w:rPr>
                <w:b/>
                <w:bCs/>
                <w:i/>
                <w:sz w:val="18"/>
                <w:szCs w:val="18"/>
                <w:vertAlign w:val="subscript"/>
                <w:lang w:val="en-US"/>
              </w:rPr>
              <w:t>w</w:t>
            </w:r>
            <w:proofErr w:type="spellEnd"/>
            <w:r w:rsidRPr="00356855">
              <w:rPr>
                <w:b/>
                <w:bCs/>
                <w:i/>
                <w:sz w:val="18"/>
                <w:szCs w:val="18"/>
                <w:lang w:val="en-US"/>
              </w:rPr>
              <w:t xml:space="preserve"> (</w:t>
            </w:r>
            <w:proofErr w:type="spellStart"/>
            <w:r w:rsidRPr="00356855">
              <w:rPr>
                <w:b/>
                <w:bCs/>
                <w:i/>
                <w:sz w:val="18"/>
                <w:szCs w:val="18"/>
                <w:lang w:val="en-US"/>
              </w:rPr>
              <w:t>i</w:t>
            </w:r>
            <w:proofErr w:type="spellEnd"/>
            <w:r w:rsidRPr="00356855">
              <w:rPr>
                <w:b/>
                <w:bCs/>
                <w:i/>
                <w:sz w:val="18"/>
                <w:szCs w:val="18"/>
                <w:lang w:val="en-US"/>
              </w:rPr>
              <w:t>)</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proofErr w:type="spellStart"/>
            <w:r w:rsidRPr="00244BA2">
              <w:rPr>
                <w:b/>
                <w:bCs/>
                <w:i/>
                <w:sz w:val="18"/>
                <w:szCs w:val="18"/>
                <w:lang w:val="en-US"/>
              </w:rPr>
              <w:t>ET</w:t>
            </w:r>
            <w:r w:rsidRPr="00244BA2">
              <w:rPr>
                <w:b/>
                <w:bCs/>
                <w:i/>
                <w:sz w:val="18"/>
                <w:szCs w:val="18"/>
                <w:vertAlign w:val="subscript"/>
                <w:lang w:val="en-US"/>
              </w:rPr>
              <w:t>w</w:t>
            </w:r>
            <w:proofErr w:type="spellEnd"/>
            <w:r w:rsidRPr="00244BA2">
              <w:rPr>
                <w:b/>
                <w:bCs/>
                <w:i/>
                <w:sz w:val="18"/>
                <w:szCs w:val="18"/>
                <w:lang w:val="en-US"/>
              </w:rPr>
              <w:t xml:space="preserve"> (</w:t>
            </w:r>
            <w:proofErr w:type="spellStart"/>
            <w:r w:rsidRPr="00244BA2">
              <w:rPr>
                <w:b/>
                <w:bCs/>
                <w:i/>
                <w:sz w:val="18"/>
                <w:szCs w:val="18"/>
                <w:lang w:val="en-US"/>
              </w:rPr>
              <w:t>i</w:t>
            </w:r>
            <w:proofErr w:type="spellEnd"/>
            <w:r w:rsidRPr="00244BA2">
              <w:rPr>
                <w:b/>
                <w:bCs/>
                <w:i/>
                <w:sz w:val="18"/>
                <w:szCs w:val="18"/>
                <w:lang w:val="en-US"/>
              </w:rPr>
              <w:t>)</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proofErr w:type="spellStart"/>
            <w:r w:rsidRPr="00244BA2">
              <w:rPr>
                <w:b/>
                <w:bCs/>
                <w:i/>
                <w:sz w:val="18"/>
                <w:szCs w:val="18"/>
                <w:lang w:val="en-US"/>
              </w:rPr>
              <w:t>EV</w:t>
            </w:r>
            <w:r w:rsidRPr="00244BA2">
              <w:rPr>
                <w:b/>
                <w:bCs/>
                <w:i/>
                <w:sz w:val="18"/>
                <w:szCs w:val="18"/>
                <w:vertAlign w:val="subscript"/>
                <w:lang w:val="en-US"/>
              </w:rPr>
              <w:t>w</w:t>
            </w:r>
            <w:proofErr w:type="spellEnd"/>
            <w:r w:rsidRPr="00244BA2">
              <w:rPr>
                <w:b/>
                <w:bCs/>
                <w:i/>
                <w:sz w:val="18"/>
                <w:szCs w:val="18"/>
                <w:lang w:val="en-US"/>
              </w:rPr>
              <w:t xml:space="preserve"> (</w:t>
            </w:r>
            <w:proofErr w:type="spellStart"/>
            <w:r w:rsidRPr="00244BA2">
              <w:rPr>
                <w:b/>
                <w:bCs/>
                <w:i/>
                <w:sz w:val="18"/>
                <w:szCs w:val="18"/>
                <w:lang w:val="en-US"/>
              </w:rPr>
              <w:t>i</w:t>
            </w:r>
            <w:proofErr w:type="spellEnd"/>
            <w:r w:rsidRPr="00244BA2">
              <w:rPr>
                <w:b/>
                <w:bCs/>
                <w:i/>
                <w:sz w:val="18"/>
                <w:szCs w:val="18"/>
                <w:lang w:val="en-US"/>
              </w:rPr>
              <w:t>)</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105CF1"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510B45"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5B7930"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ing_f</m:t>
                    </m:r>
                  </m:sub>
                  <m:sup>
                    <m:r>
                      <w:rPr>
                        <w:rFonts w:ascii="Cambria Math" w:hAnsi="Cambria Math"/>
                        <w:sz w:val="18"/>
                        <w:szCs w:val="18"/>
                      </w:rPr>
                      <m:t>IA</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EF</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AT</m:t>
                        </m:r>
                      </m:den>
                    </m:f>
                  </m:e>
                </m:nary>
                <m:r>
                  <w:rPr>
                    <w:rFonts w:ascii="Cambria Math" w:eastAsiaTheme="minorEastAsia" w:hAnsi="Cambria Math"/>
                    <w:sz w:val="18"/>
                    <w:szCs w:val="18"/>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r w:rsidRPr="00E55C4E">
              <w:rPr>
                <w:b/>
                <w:bCs/>
                <w:i/>
                <w:sz w:val="18"/>
                <w:szCs w:val="18"/>
                <w:lang w:val="en-US"/>
              </w:rPr>
              <w:t>C</w:t>
            </w:r>
            <w:r>
              <w:rPr>
                <w:b/>
                <w:bCs/>
                <w:i/>
                <w:sz w:val="18"/>
                <w:szCs w:val="18"/>
                <w:vertAlign w:val="subscript"/>
                <w:lang w:val="en-US"/>
              </w:rPr>
              <w:t>f</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proofErr w:type="spellStart"/>
            <w:r w:rsidRPr="00E55C4E">
              <w:rPr>
                <w:b/>
                <w:bCs/>
                <w:i/>
                <w:sz w:val="18"/>
                <w:szCs w:val="18"/>
                <w:lang w:val="en-US"/>
              </w:rPr>
              <w:t>IR</w:t>
            </w:r>
            <w:r>
              <w:rPr>
                <w:b/>
                <w:bCs/>
                <w:i/>
                <w:sz w:val="18"/>
                <w:szCs w:val="18"/>
                <w:vertAlign w:val="subscript"/>
                <w:lang w:val="en-US"/>
              </w:rPr>
              <w:t>f</w:t>
            </w:r>
            <w:proofErr w:type="spellEnd"/>
            <w:r w:rsidRPr="00E55C4E">
              <w:rPr>
                <w:b/>
                <w:bCs/>
                <w:i/>
                <w:sz w:val="18"/>
                <w:szCs w:val="18"/>
                <w:lang w:val="en-US"/>
              </w:rPr>
              <w:t xml:space="preserve">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proofErr w:type="spellStart"/>
            <w:r w:rsidRPr="00E55C4E">
              <w:rPr>
                <w:b/>
                <w:bCs/>
                <w:i/>
                <w:sz w:val="18"/>
                <w:szCs w:val="18"/>
                <w:lang w:val="en-US"/>
              </w:rPr>
              <w:t>FI</w:t>
            </w:r>
            <w:r>
              <w:rPr>
                <w:b/>
                <w:bCs/>
                <w:i/>
                <w:sz w:val="18"/>
                <w:szCs w:val="18"/>
                <w:vertAlign w:val="subscript"/>
                <w:lang w:val="en-US"/>
              </w:rPr>
              <w:t>f</w:t>
            </w:r>
            <w:proofErr w:type="spellEnd"/>
            <w:r>
              <w:rPr>
                <w:b/>
                <w:bCs/>
                <w:i/>
                <w:sz w:val="18"/>
                <w:szCs w:val="18"/>
                <w:vertAlign w:val="subscript"/>
                <w:lang w:val="en-US"/>
              </w:rPr>
              <w:t xml:space="preserve">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 Exposure frequency</w:t>
            </w:r>
            <w:r w:rsidRPr="00E55C4E">
              <w:rPr>
                <w:rStyle w:val="tlid-translation"/>
                <w:sz w:val="18"/>
                <w:szCs w:val="18"/>
                <w:lang w:val="en"/>
              </w:rPr>
              <w:t xml:space="preserve"> for age group </w:t>
            </w:r>
            <w:proofErr w:type="spellStart"/>
            <w:r w:rsidRPr="00E55C4E">
              <w:rPr>
                <w:rStyle w:val="tlid-translation"/>
                <w:i/>
                <w:iCs/>
                <w:sz w:val="18"/>
                <w:szCs w:val="18"/>
                <w:lang w:val="en"/>
              </w:rPr>
              <w:t>i</w:t>
            </w:r>
            <w:proofErr w:type="spellEnd"/>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w:t>
            </w:r>
            <w:proofErr w:type="spellStart"/>
            <w:r w:rsidRPr="00E55C4E">
              <w:rPr>
                <w:b/>
                <w:bCs/>
                <w:i/>
                <w:sz w:val="18"/>
                <w:szCs w:val="18"/>
                <w:lang w:val="en-US"/>
              </w:rPr>
              <w:t>i</w:t>
            </w:r>
            <w:proofErr w:type="spellEnd"/>
            <w:r w:rsidRPr="00E55C4E">
              <w:rPr>
                <w:b/>
                <w:bCs/>
                <w:i/>
                <w:sz w:val="18"/>
                <w:szCs w:val="18"/>
                <w:lang w:val="en-US"/>
              </w:rPr>
              <w:t>)</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proofErr w:type="spellStart"/>
            <w:r w:rsidRPr="00E55C4E">
              <w:rPr>
                <w:rStyle w:val="tlid-translation"/>
                <w:i/>
                <w:iCs/>
                <w:sz w:val="18"/>
                <w:szCs w:val="18"/>
                <w:lang w:val="en"/>
              </w:rPr>
              <w:t>i</w:t>
            </w:r>
            <w:proofErr w:type="spellEnd"/>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w:t>
            </w:r>
            <w:proofErr w:type="spellStart"/>
            <w:r w:rsidRPr="00E55C4E">
              <w:rPr>
                <w:b/>
                <w:bCs/>
                <w:i/>
                <w:sz w:val="18"/>
                <w:szCs w:val="18"/>
                <w:lang w:val="en-US"/>
              </w:rPr>
              <w:t>Δt</w:t>
            </w:r>
            <w:proofErr w:type="spellEnd"/>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7CAA54C9"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5B7930"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proofErr w:type="spellStart"/>
            <w:r w:rsidRPr="00E55C4E">
              <w:rPr>
                <w:b/>
                <w:bCs/>
                <w:i/>
                <w:sz w:val="18"/>
                <w:szCs w:val="18"/>
                <w:lang w:val="en-US"/>
              </w:rPr>
              <w:t>C</w:t>
            </w:r>
            <w:r>
              <w:rPr>
                <w:b/>
                <w:bCs/>
                <w:i/>
                <w:sz w:val="18"/>
                <w:szCs w:val="18"/>
                <w:vertAlign w:val="subscript"/>
                <w:lang w:val="en-US"/>
              </w:rPr>
              <w:t>air</w:t>
            </w:r>
            <w:proofErr w:type="spellEnd"/>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proofErr w:type="spellStart"/>
            <w:r w:rsidRPr="004B60C5">
              <w:rPr>
                <w:b/>
                <w:i/>
                <w:sz w:val="18"/>
                <w:szCs w:val="18"/>
                <w:lang w:val="en-US"/>
              </w:rPr>
              <w:t>ET</w:t>
            </w:r>
            <w:r>
              <w:rPr>
                <w:b/>
                <w:i/>
                <w:sz w:val="18"/>
                <w:szCs w:val="18"/>
                <w:vertAlign w:val="subscript"/>
                <w:lang w:val="en-US"/>
              </w:rPr>
              <w:t>inh</w:t>
            </w:r>
            <w:proofErr w:type="spellEnd"/>
            <w:r w:rsidRPr="004B60C5">
              <w:rPr>
                <w:b/>
                <w:i/>
                <w:sz w:val="18"/>
                <w:szCs w:val="18"/>
                <w:lang w:val="en-US"/>
              </w:rPr>
              <w:t xml:space="preserve"> (</w:t>
            </w:r>
            <w:proofErr w:type="spellStart"/>
            <w:r w:rsidRPr="004B60C5">
              <w:rPr>
                <w:b/>
                <w:i/>
                <w:sz w:val="18"/>
                <w:szCs w:val="18"/>
                <w:lang w:val="en-US"/>
              </w:rPr>
              <w:t>i</w:t>
            </w:r>
            <w:proofErr w:type="spellEnd"/>
            <w:r w:rsidRPr="004B60C5">
              <w:rPr>
                <w:b/>
                <w:i/>
                <w:sz w:val="18"/>
                <w:szCs w:val="18"/>
                <w:lang w:val="en-US"/>
              </w:rPr>
              <w:t xml:space="preserve">) </w:t>
            </w:r>
            <w:r w:rsidRPr="004B60C5">
              <w:rPr>
                <w:sz w:val="18"/>
                <w:szCs w:val="18"/>
                <w:lang w:val="en-US"/>
              </w:rPr>
              <w:t xml:space="preserve">= Exposure time at age </w:t>
            </w:r>
            <w:proofErr w:type="spellStart"/>
            <w:r w:rsidRPr="004B60C5">
              <w:rPr>
                <w:i/>
                <w:sz w:val="18"/>
                <w:szCs w:val="18"/>
                <w:lang w:val="en-US"/>
              </w:rPr>
              <w:t>i</w:t>
            </w:r>
            <w:proofErr w:type="spellEnd"/>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proofErr w:type="spellStart"/>
            <w:r w:rsidRPr="00E55C4E">
              <w:rPr>
                <w:b/>
                <w:bCs/>
                <w:i/>
                <w:sz w:val="18"/>
                <w:szCs w:val="18"/>
                <w:lang w:val="en-US"/>
              </w:rPr>
              <w:t>AT</w:t>
            </w:r>
            <w:r>
              <w:rPr>
                <w:b/>
                <w:bCs/>
                <w:i/>
                <w:sz w:val="18"/>
                <w:szCs w:val="18"/>
                <w:vertAlign w:val="subscript"/>
                <w:lang w:val="en-US"/>
              </w:rPr>
              <w:t>h</w:t>
            </w:r>
            <w:proofErr w:type="spellEnd"/>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4682591"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D17512">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proofErr w:type="spellStart"/>
      <w:r w:rsidRPr="0017539F">
        <w:rPr>
          <w:i/>
          <w:sz w:val="28"/>
          <w:lang w:val="en-US"/>
        </w:rPr>
        <w:t>C</w:t>
      </w:r>
      <w:r w:rsidRPr="0017539F">
        <w:rPr>
          <w:i/>
          <w:sz w:val="28"/>
          <w:vertAlign w:val="subscript"/>
          <w:lang w:val="en-US"/>
        </w:rPr>
        <w:t>food</w:t>
      </w:r>
      <w:proofErr w:type="spellEnd"/>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proofErr w:type="spellStart"/>
      <w:r w:rsidRPr="0017539F">
        <w:rPr>
          <w:i/>
          <w:sz w:val="28"/>
          <w:lang w:val="en-US"/>
        </w:rPr>
        <w:t>C</w:t>
      </w:r>
      <w:r w:rsidRPr="0017539F">
        <w:rPr>
          <w:i/>
          <w:sz w:val="28"/>
          <w:vertAlign w:val="subscript"/>
          <w:lang w:val="en-US"/>
        </w:rPr>
        <w:t>soil</w:t>
      </w:r>
      <w:proofErr w:type="spellEnd"/>
      <w:r w:rsidRPr="0017539F">
        <w:rPr>
          <w:sz w:val="28"/>
          <w:lang w:val="en-US"/>
        </w:rPr>
        <w:t>)</w:t>
      </w:r>
      <w:r w:rsidR="00D36EE1">
        <w:rPr>
          <w:sz w:val="28"/>
          <w:lang w:val="en-US"/>
        </w:rPr>
        <w:t xml:space="preserve"> and/or water </w:t>
      </w:r>
      <w:r w:rsidR="00D36EE1" w:rsidRPr="0017539F">
        <w:rPr>
          <w:sz w:val="28"/>
          <w:lang w:val="en-US"/>
        </w:rPr>
        <w:t>(</w:t>
      </w:r>
      <w:proofErr w:type="spellStart"/>
      <w:r w:rsidR="00D36EE1" w:rsidRPr="0017539F">
        <w:rPr>
          <w:i/>
          <w:sz w:val="28"/>
          <w:lang w:val="en-US"/>
        </w:rPr>
        <w:t>C</w:t>
      </w:r>
      <w:r w:rsidR="00D36EE1">
        <w:rPr>
          <w:i/>
          <w:sz w:val="28"/>
          <w:vertAlign w:val="subscript"/>
          <w:lang w:val="en-US"/>
        </w:rPr>
        <w:t>water</w:t>
      </w:r>
      <w:proofErr w:type="spellEnd"/>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w:t>
      </w:r>
      <w:proofErr w:type="spellStart"/>
      <w:r w:rsidRPr="0017539F">
        <w:rPr>
          <w:sz w:val="28"/>
          <w:lang w:val="en-US"/>
        </w:rPr>
        <w:t>Biotransfer</w:t>
      </w:r>
      <w:proofErr w:type="spellEnd"/>
      <w:r w:rsidRPr="0017539F">
        <w:rPr>
          <w:sz w:val="28"/>
          <w:lang w:val="en-US"/>
        </w:rPr>
        <w:t xml:space="preserve">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r w:rsidR="003F31FE">
        <w:rPr>
          <w:bCs/>
          <w:iCs/>
          <w:sz w:val="28"/>
          <w:szCs w:val="22"/>
          <w:lang w:val="en-US"/>
        </w:rPr>
        <w:t>HERisk</w:t>
      </w:r>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510B45"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5B7930"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proofErr w:type="spellStart"/>
            <w:r w:rsidRPr="005919AF">
              <w:rPr>
                <w:b/>
                <w:bCs/>
                <w:i/>
                <w:iCs/>
                <w:sz w:val="18"/>
                <w:szCs w:val="18"/>
                <w:lang w:val="en-US"/>
              </w:rPr>
              <w:t>Fp</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5B7930"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proofErr w:type="spellStart"/>
            <w:r w:rsidRPr="00323B9E">
              <w:rPr>
                <w:rFonts w:eastAsiaTheme="minorEastAsia"/>
                <w:b/>
                <w:bCs/>
                <w:i/>
                <w:sz w:val="18"/>
                <w:szCs w:val="18"/>
                <w:lang w:val="en-US"/>
              </w:rPr>
              <w:t>BTF</w:t>
            </w:r>
            <w:r w:rsidRPr="00323B9E">
              <w:rPr>
                <w:rFonts w:eastAsiaTheme="minorEastAsia"/>
                <w:b/>
                <w:bCs/>
                <w:i/>
                <w:sz w:val="18"/>
                <w:szCs w:val="18"/>
                <w:vertAlign w:val="subscript"/>
                <w:lang w:val="en-US"/>
              </w:rPr>
              <w:t>w</w:t>
            </w:r>
            <w:proofErr w:type="spellEnd"/>
            <w:r w:rsidRPr="00323B9E">
              <w:rPr>
                <w:rFonts w:eastAsiaTheme="minorEastAsia"/>
                <w:b/>
                <w:bCs/>
                <w:i/>
                <w:sz w:val="18"/>
                <w:szCs w:val="18"/>
                <w:vertAlign w:val="subscript"/>
                <w:lang w:val="en-US"/>
              </w:rPr>
              <w:t>-M</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proofErr w:type="spellStart"/>
            <w:r w:rsidRPr="00323B9E">
              <w:rPr>
                <w:b/>
                <w:bCs/>
                <w:i/>
                <w:sz w:val="18"/>
                <w:szCs w:val="18"/>
                <w:lang w:val="en-US"/>
              </w:rPr>
              <w:t>IR</w:t>
            </w:r>
            <w:r w:rsidRPr="00323B9E">
              <w:rPr>
                <w:b/>
                <w:bCs/>
                <w:i/>
                <w:sz w:val="18"/>
                <w:szCs w:val="18"/>
                <w:vertAlign w:val="subscript"/>
                <w:lang w:val="en-US"/>
              </w:rPr>
              <w:t>w</w:t>
            </w:r>
            <w:proofErr w:type="spellEnd"/>
            <w:r w:rsidRPr="00323B9E">
              <w:rPr>
                <w:b/>
                <w:bCs/>
                <w:i/>
                <w:sz w:val="18"/>
                <w:szCs w:val="18"/>
                <w:vertAlign w:val="subscript"/>
                <w:lang w:val="en-US"/>
              </w:rPr>
              <w:t>-cattle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proofErr w:type="spellStart"/>
            <w:r w:rsidRPr="00323B9E">
              <w:rPr>
                <w:b/>
                <w:bCs/>
                <w:i/>
                <w:iCs/>
                <w:sz w:val="18"/>
                <w:szCs w:val="18"/>
                <w:lang w:val="en-US"/>
              </w:rPr>
              <w:t>fw</w:t>
            </w:r>
            <w:proofErr w:type="spellEnd"/>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5B7930"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proofErr w:type="spellStart"/>
            <w:r w:rsidRPr="00071AAC">
              <w:rPr>
                <w:rFonts w:eastAsiaTheme="minorEastAsia"/>
                <w:b/>
                <w:bCs/>
                <w:i/>
                <w:sz w:val="18"/>
                <w:szCs w:val="18"/>
                <w:vertAlign w:val="subscript"/>
                <w:lang w:val="en-US"/>
              </w:rPr>
              <w:t>f.p</w:t>
            </w:r>
            <w:r w:rsidRPr="005D3BD4">
              <w:rPr>
                <w:rFonts w:eastAsiaTheme="minorEastAsia"/>
                <w:i/>
                <w:sz w:val="18"/>
                <w:szCs w:val="18"/>
                <w:vertAlign w:val="subscript"/>
                <w:lang w:val="en-US"/>
              </w:rPr>
              <w:t>.</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proofErr w:type="spellStart"/>
            <w:r w:rsidRPr="00071AAC">
              <w:rPr>
                <w:rFonts w:eastAsiaTheme="minorEastAsia"/>
                <w:b/>
                <w:bCs/>
                <w:i/>
                <w:sz w:val="18"/>
                <w:szCs w:val="18"/>
                <w:lang w:val="en-US"/>
              </w:rPr>
              <w:t>BTF</w:t>
            </w:r>
            <w:r w:rsidRPr="00071AAC">
              <w:rPr>
                <w:rFonts w:eastAsiaTheme="minorEastAsia"/>
                <w:b/>
                <w:bCs/>
                <w:i/>
                <w:sz w:val="18"/>
                <w:szCs w:val="18"/>
                <w:vertAlign w:val="subscript"/>
                <w:lang w:val="en-US"/>
              </w:rPr>
              <w:t>f.p</w:t>
            </w:r>
            <w:proofErr w:type="spellEnd"/>
            <w:r w:rsidRPr="00071AAC">
              <w:rPr>
                <w:rFonts w:eastAsiaTheme="minorEastAsia"/>
                <w:b/>
                <w:bCs/>
                <w:i/>
                <w:sz w:val="18"/>
                <w:szCs w:val="18"/>
                <w:vertAlign w:val="subscript"/>
                <w:lang w:val="en-US"/>
              </w:rPr>
              <w:t>.-M</w:t>
            </w:r>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proofErr w:type="spellStart"/>
            <w:r w:rsidRPr="00780897">
              <w:rPr>
                <w:b/>
                <w:bCs/>
                <w:i/>
                <w:sz w:val="18"/>
                <w:szCs w:val="18"/>
                <w:lang w:val="en-US"/>
              </w:rPr>
              <w:t>IR</w:t>
            </w:r>
            <w:r w:rsidRPr="00780897">
              <w:rPr>
                <w:b/>
                <w:bCs/>
                <w:i/>
                <w:sz w:val="18"/>
                <w:szCs w:val="18"/>
                <w:vertAlign w:val="subscript"/>
                <w:lang w:val="en-US"/>
              </w:rPr>
              <w:t>f.p</w:t>
            </w:r>
            <w:proofErr w:type="spellEnd"/>
            <w:r w:rsidRPr="00780897">
              <w:rPr>
                <w:b/>
                <w:bCs/>
                <w:i/>
                <w:sz w:val="18"/>
                <w:szCs w:val="18"/>
                <w:vertAlign w:val="subscript"/>
                <w:lang w:val="en-US"/>
              </w:rPr>
              <w:t>.-cattle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510B45"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5B7930"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77777777"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510B45"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5B7930"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63D55EB0"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510B45"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5B7930"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proofErr w:type="spellStart"/>
            <w:r w:rsidRPr="00071AAC">
              <w:rPr>
                <w:rFonts w:eastAsiaTheme="minorEastAsia"/>
                <w:b/>
                <w:bCs/>
                <w:i/>
                <w:sz w:val="18"/>
                <w:szCs w:val="18"/>
                <w:lang w:val="en-US"/>
              </w:rPr>
              <w:t>BTF</w:t>
            </w:r>
            <w:r>
              <w:rPr>
                <w:rFonts w:eastAsiaTheme="minorEastAsia"/>
                <w:b/>
                <w:bCs/>
                <w:i/>
                <w:sz w:val="18"/>
                <w:szCs w:val="18"/>
                <w:vertAlign w:val="subscript"/>
                <w:lang w:val="en-US"/>
              </w:rPr>
              <w:t>w</w:t>
            </w:r>
            <w:proofErr w:type="spellEnd"/>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0C809B5B"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510B45"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5B7930"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proofErr w:type="spellStart"/>
            <w:r w:rsidRPr="005919AF">
              <w:rPr>
                <w:b/>
                <w:bCs/>
                <w:i/>
                <w:iCs/>
                <w:sz w:val="18"/>
                <w:szCs w:val="18"/>
                <w:lang w:val="en-US"/>
              </w:rPr>
              <w:t>Fp</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718ACC1D"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510B45"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467C805F" w:rsidR="00B4560A" w:rsidRPr="00F275DF" w:rsidRDefault="005B7930"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(14)</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proofErr w:type="spellStart"/>
            <w:r w:rsidRPr="005919AF">
              <w:rPr>
                <w:b/>
                <w:bCs/>
                <w:i/>
                <w:iCs/>
                <w:sz w:val="18"/>
                <w:szCs w:val="18"/>
                <w:lang w:val="en-US"/>
              </w:rPr>
              <w:t>Fp</w:t>
            </w:r>
            <w:proofErr w:type="spellEnd"/>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7777777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3BC648BF" w:rsidR="002F6A7D" w:rsidRDefault="005B7930"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(15)</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proofErr w:type="spellStart"/>
            <w:r w:rsidRPr="00323B9E">
              <w:rPr>
                <w:rFonts w:eastAsiaTheme="minorEastAsia"/>
                <w:b/>
                <w:bCs/>
                <w:i/>
                <w:sz w:val="18"/>
                <w:szCs w:val="18"/>
                <w:lang w:val="en-US"/>
              </w:rPr>
              <w:t>BTF</w:t>
            </w:r>
            <w:r w:rsidRPr="00323B9E">
              <w:rPr>
                <w:rFonts w:eastAsiaTheme="minorEastAsia"/>
                <w:b/>
                <w:bCs/>
                <w:i/>
                <w:sz w:val="18"/>
                <w:szCs w:val="18"/>
                <w:vertAlign w:val="subscript"/>
                <w:lang w:val="en-US"/>
              </w:rPr>
              <w:t>w</w:t>
            </w:r>
            <w:proofErr w:type="spellEnd"/>
            <w:r w:rsidRPr="00323B9E">
              <w:rPr>
                <w:rFonts w:eastAsiaTheme="minorEastAsia"/>
                <w:b/>
                <w:bCs/>
                <w:i/>
                <w:sz w:val="18"/>
                <w:szCs w:val="18"/>
                <w:vertAlign w:val="subscript"/>
                <w:lang w:val="en-US"/>
              </w:rPr>
              <w:t>-</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proofErr w:type="spellStart"/>
            <w:r w:rsidRPr="005D3BD4">
              <w:rPr>
                <w:rStyle w:val="tlid-translation"/>
                <w:sz w:val="18"/>
                <w:szCs w:val="18"/>
                <w:lang w:val="en"/>
              </w:rPr>
              <w:t>Biotransfer</w:t>
            </w:r>
            <w:proofErr w:type="spellEnd"/>
            <w:r w:rsidRPr="005D3BD4">
              <w:rPr>
                <w:rStyle w:val="tlid-translation"/>
                <w:sz w:val="18"/>
                <w:szCs w:val="18"/>
                <w:lang w:val="en"/>
              </w:rPr>
              <w:t xml:space="preserve">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proofErr w:type="spellStart"/>
            <w:r w:rsidRPr="00323B9E">
              <w:rPr>
                <w:b/>
                <w:bCs/>
                <w:i/>
                <w:sz w:val="18"/>
                <w:szCs w:val="18"/>
                <w:lang w:val="en-US"/>
              </w:rPr>
              <w:t>IR</w:t>
            </w:r>
            <w:r w:rsidRPr="00323B9E">
              <w:rPr>
                <w:b/>
                <w:bCs/>
                <w:i/>
                <w:sz w:val="18"/>
                <w:szCs w:val="18"/>
                <w:vertAlign w:val="subscript"/>
                <w:lang w:val="en-US"/>
              </w:rPr>
              <w:t>w</w:t>
            </w:r>
            <w:proofErr w:type="spellEnd"/>
            <w:r w:rsidRPr="00323B9E">
              <w:rPr>
                <w:b/>
                <w:bCs/>
                <w:i/>
                <w:sz w:val="18"/>
                <w:szCs w:val="18"/>
                <w:vertAlign w:val="subscript"/>
                <w:lang w:val="en-US"/>
              </w:rPr>
              <w:t>-</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proofErr w:type="spellStart"/>
            <w:r w:rsidRPr="00323B9E">
              <w:rPr>
                <w:b/>
                <w:bCs/>
                <w:i/>
                <w:iCs/>
                <w:sz w:val="18"/>
                <w:szCs w:val="18"/>
                <w:lang w:val="en-US"/>
              </w:rPr>
              <w:t>fw</w:t>
            </w:r>
            <w:proofErr w:type="spellEnd"/>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4500310"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398CDD70" w:rsidR="0019572F" w:rsidRDefault="005B7930"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(16)</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9691DD2"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6D36A050"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616646">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510B45"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510B45" w:rsidRDefault="00D17512" w:rsidP="008C28B2">
            <w:pPr>
              <w:spacing w:line="360" w:lineRule="auto"/>
              <w:jc w:val="center"/>
              <w:rPr>
                <w:rStyle w:val="tlid-translation"/>
                <w:b/>
                <w:bCs/>
                <w:sz w:val="20"/>
                <w:szCs w:val="20"/>
                <w:lang w:val="it-IT"/>
              </w:rPr>
            </w:pPr>
            <w:r w:rsidRPr="00510B45">
              <w:rPr>
                <w:b/>
                <w:bCs/>
                <w:sz w:val="20"/>
                <w:szCs w:val="20"/>
                <w:lang w:val="it-IT"/>
              </w:rPr>
              <w:t>Non-</w:t>
            </w:r>
            <w:proofErr w:type="spellStart"/>
            <w:r w:rsidRPr="00510B45">
              <w:rPr>
                <w:b/>
                <w:bCs/>
                <w:sz w:val="20"/>
                <w:szCs w:val="20"/>
                <w:lang w:val="it-IT"/>
              </w:rPr>
              <w:t>carcinogenic</w:t>
            </w:r>
            <w:proofErr w:type="spellEnd"/>
            <w:r w:rsidRPr="00510B45">
              <w:rPr>
                <w:b/>
                <w:bCs/>
                <w:sz w:val="20"/>
                <w:szCs w:val="20"/>
                <w:lang w:val="it-IT"/>
              </w:rPr>
              <w:t xml:space="preserve"> hazard </w:t>
            </w:r>
            <w:proofErr w:type="spellStart"/>
            <w:r w:rsidRPr="00510B45">
              <w:rPr>
                <w:b/>
                <w:bCs/>
                <w:sz w:val="20"/>
                <w:szCs w:val="20"/>
                <w:lang w:val="it-IT"/>
              </w:rPr>
              <w:t>quotient</w:t>
            </w:r>
            <w:proofErr w:type="spellEnd"/>
            <w:r w:rsidRPr="00510B45">
              <w:rPr>
                <w:b/>
                <w:bCs/>
                <w:sz w:val="20"/>
                <w:szCs w:val="20"/>
                <w:lang w:val="it-IT"/>
              </w:rPr>
              <w:t xml:space="preserve"> (</w:t>
            </w:r>
            <w:r w:rsidRPr="00510B45">
              <w:rPr>
                <w:b/>
                <w:bCs/>
                <w:i/>
                <w:iCs/>
                <w:sz w:val="20"/>
                <w:szCs w:val="20"/>
                <w:lang w:val="it-IT"/>
              </w:rPr>
              <w:t>HQ</w:t>
            </w:r>
            <w:r w:rsidRPr="00510B45">
              <w:rPr>
                <w:b/>
                <w:bCs/>
                <w:sz w:val="20"/>
                <w:szCs w:val="20"/>
                <w:lang w:val="it-IT"/>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C998CE0" w:rsidR="00D17512" w:rsidRPr="00F275DF" w:rsidRDefault="005B7930"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(17)</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proofErr w:type="spellStart"/>
            <w:r w:rsidRPr="00994422">
              <w:rPr>
                <w:b/>
                <w:bCs/>
                <w:i/>
                <w:iCs/>
                <w:sz w:val="18"/>
                <w:szCs w:val="18"/>
                <w:lang w:val="en-US"/>
              </w:rPr>
              <w:t>RfD</w:t>
            </w:r>
            <w:r w:rsidRPr="00994422">
              <w:rPr>
                <w:b/>
                <w:bCs/>
                <w:i/>
                <w:iCs/>
                <w:sz w:val="18"/>
                <w:szCs w:val="18"/>
                <w:vertAlign w:val="subscript"/>
                <w:lang w:val="en-US"/>
              </w:rPr>
              <w:t>oral</w:t>
            </w:r>
            <w:proofErr w:type="spellEnd"/>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1BB0205F"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793F5B5B" w:rsidR="00616646" w:rsidRDefault="005B7930"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(18)</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proofErr w:type="spellStart"/>
            <w:r w:rsidRPr="00994422">
              <w:rPr>
                <w:rFonts w:eastAsiaTheme="minorEastAsia"/>
                <w:b/>
                <w:bCs/>
                <w:i/>
                <w:sz w:val="18"/>
                <w:szCs w:val="18"/>
                <w:lang w:val="en-US"/>
              </w:rPr>
              <w:t>D</w:t>
            </w:r>
            <w:r>
              <w:rPr>
                <w:rFonts w:eastAsiaTheme="minorEastAsia"/>
                <w:b/>
                <w:bCs/>
                <w:i/>
                <w:sz w:val="18"/>
                <w:szCs w:val="18"/>
                <w:vertAlign w:val="subscript"/>
                <w:lang w:val="en-US"/>
              </w:rPr>
              <w:t>dermal</w:t>
            </w:r>
            <w:proofErr w:type="spellEnd"/>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proofErr w:type="spellStart"/>
            <w:r w:rsidRPr="00994422">
              <w:rPr>
                <w:b/>
                <w:bCs/>
                <w:i/>
                <w:iCs/>
                <w:sz w:val="18"/>
                <w:szCs w:val="18"/>
                <w:lang w:val="en-US"/>
              </w:rPr>
              <w:t>RfD</w:t>
            </w:r>
            <w:r>
              <w:rPr>
                <w:b/>
                <w:bCs/>
                <w:i/>
                <w:iCs/>
                <w:sz w:val="18"/>
                <w:szCs w:val="18"/>
                <w:vertAlign w:val="subscript"/>
                <w:lang w:val="en-US"/>
              </w:rPr>
              <w:t>dermal</w:t>
            </w:r>
            <w:proofErr w:type="spellEnd"/>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64EBCAA5"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433484EC" w:rsidR="00616646" w:rsidRDefault="005B7930"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(19)</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proofErr w:type="spellStart"/>
            <w:r w:rsidR="00616646" w:rsidRPr="00994422">
              <w:rPr>
                <w:b/>
                <w:bCs/>
                <w:i/>
                <w:iCs/>
                <w:sz w:val="18"/>
                <w:szCs w:val="18"/>
                <w:lang w:val="en-US"/>
              </w:rPr>
              <w:t>Rf</w:t>
            </w:r>
            <w:r>
              <w:rPr>
                <w:b/>
                <w:bCs/>
                <w:i/>
                <w:iCs/>
                <w:sz w:val="18"/>
                <w:szCs w:val="18"/>
                <w:lang w:val="en-US"/>
              </w:rPr>
              <w:t>C</w:t>
            </w:r>
            <w:proofErr w:type="spellEnd"/>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58BE97B7"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001BBA66" w:rsidR="00E54673" w:rsidRPr="00F275DF" w:rsidRDefault="005B7930"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(20)</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proofErr w:type="spellStart"/>
            <w:r w:rsidR="00BA3624">
              <w:rPr>
                <w:b/>
                <w:bCs/>
                <w:i/>
                <w:iCs/>
                <w:sz w:val="18"/>
                <w:szCs w:val="18"/>
                <w:lang w:val="en-US"/>
              </w:rPr>
              <w:t>SF</w:t>
            </w:r>
            <w:r w:rsidRPr="00994422">
              <w:rPr>
                <w:b/>
                <w:bCs/>
                <w:i/>
                <w:iCs/>
                <w:sz w:val="18"/>
                <w:szCs w:val="18"/>
                <w:vertAlign w:val="subscript"/>
                <w:lang w:val="en-US"/>
              </w:rPr>
              <w:t>oral</w:t>
            </w:r>
            <w:proofErr w:type="spellEnd"/>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proofErr w:type="spellStart"/>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proofErr w:type="spellEnd"/>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0719F86F"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C47575"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CFF0947" w:rsidR="008C28B2" w:rsidRDefault="005B7930"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(21)</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proofErr w:type="spellStart"/>
            <w:r w:rsidRPr="00994422">
              <w:rPr>
                <w:rFonts w:eastAsiaTheme="minorEastAsia"/>
                <w:b/>
                <w:bCs/>
                <w:i/>
                <w:sz w:val="18"/>
                <w:szCs w:val="18"/>
                <w:lang w:val="en-US"/>
              </w:rPr>
              <w:t>D</w:t>
            </w:r>
            <w:r>
              <w:rPr>
                <w:rFonts w:eastAsiaTheme="minorEastAsia"/>
                <w:b/>
                <w:bCs/>
                <w:i/>
                <w:sz w:val="18"/>
                <w:szCs w:val="18"/>
                <w:vertAlign w:val="subscript"/>
                <w:lang w:val="en-US"/>
              </w:rPr>
              <w:t>dermal</w:t>
            </w:r>
            <w:proofErr w:type="spellEnd"/>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proofErr w:type="spellStart"/>
            <w:r>
              <w:rPr>
                <w:b/>
                <w:bCs/>
                <w:i/>
                <w:iCs/>
                <w:sz w:val="18"/>
                <w:szCs w:val="18"/>
                <w:lang w:val="en-US"/>
              </w:rPr>
              <w:t>SF</w:t>
            </w:r>
            <w:r>
              <w:rPr>
                <w:b/>
                <w:bCs/>
                <w:i/>
                <w:iCs/>
                <w:sz w:val="18"/>
                <w:szCs w:val="18"/>
                <w:vertAlign w:val="subscript"/>
                <w:lang w:val="en-US"/>
              </w:rPr>
              <w:t>dermal</w:t>
            </w:r>
            <w:proofErr w:type="spellEnd"/>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proofErr w:type="spellStart"/>
            <w:r w:rsidRPr="00BA3624">
              <w:rPr>
                <w:rFonts w:eastAsiaTheme="minorEastAsia"/>
                <w:b/>
                <w:bCs/>
                <w:i/>
                <w:iCs/>
                <w:sz w:val="18"/>
                <w:szCs w:val="18"/>
                <w:lang w:val="en-US"/>
              </w:rPr>
              <w:t>ADAF</w:t>
            </w:r>
            <w:r>
              <w:rPr>
                <w:rFonts w:eastAsiaTheme="minorEastAsia"/>
                <w:b/>
                <w:bCs/>
                <w:i/>
                <w:iCs/>
                <w:sz w:val="18"/>
                <w:szCs w:val="18"/>
                <w:vertAlign w:val="subscript"/>
                <w:lang w:val="en-US"/>
              </w:rPr>
              <w:t>dermal</w:t>
            </w:r>
            <w:proofErr w:type="spellEnd"/>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6FCB944"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C47575"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0A8228F1" w:rsidR="00244B0E" w:rsidRPr="008C5668" w:rsidRDefault="005B7930"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(22)</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proofErr w:type="spellStart"/>
            <w:r w:rsidRPr="00BA3624">
              <w:rPr>
                <w:rFonts w:eastAsiaTheme="minorEastAsia"/>
                <w:b/>
                <w:bCs/>
                <w:i/>
                <w:iCs/>
                <w:sz w:val="18"/>
                <w:szCs w:val="18"/>
                <w:lang w:val="en-US"/>
              </w:rPr>
              <w:t>ADAF</w:t>
            </w:r>
            <w:r>
              <w:rPr>
                <w:rFonts w:eastAsiaTheme="minorEastAsia"/>
                <w:b/>
                <w:bCs/>
                <w:i/>
                <w:iCs/>
                <w:sz w:val="18"/>
                <w:szCs w:val="18"/>
                <w:vertAlign w:val="subscript"/>
                <w:lang w:val="en-US"/>
              </w:rPr>
              <w:t>inha</w:t>
            </w:r>
            <w:proofErr w:type="spellEnd"/>
            <w:r>
              <w:rPr>
                <w:rFonts w:eastAsiaTheme="minorEastAsia"/>
                <w:b/>
                <w:bCs/>
                <w:i/>
                <w:iCs/>
                <w:sz w:val="18"/>
                <w:szCs w:val="18"/>
                <w:vertAlign w:val="subscript"/>
                <w:lang w:val="en-US"/>
              </w:rPr>
              <w:t>.</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7013A54C"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4F6D0C0D"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3F53E8">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6CE66625"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F95B47">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DA2398">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4C0B8874"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r w:rsidRPr="001857F2">
        <w:rPr>
          <w:i/>
          <w:sz w:val="28"/>
          <w:lang w:val="en-US"/>
        </w:rPr>
        <w:t>HI</w:t>
      </w:r>
      <w:r w:rsidRPr="001857F2">
        <w:rPr>
          <w:i/>
          <w:sz w:val="28"/>
          <w:vertAlign w:val="subscript"/>
          <w:lang w:val="en-US"/>
        </w:rPr>
        <w:t>agg</w:t>
      </w:r>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r w:rsidRPr="001857F2">
        <w:rPr>
          <w:i/>
          <w:sz w:val="28"/>
          <w:lang w:val="en-US"/>
        </w:rPr>
        <w:t>CR</w:t>
      </w:r>
      <w:r w:rsidRPr="001857F2">
        <w:rPr>
          <w:i/>
          <w:sz w:val="28"/>
          <w:vertAlign w:val="subscript"/>
          <w:lang w:val="en-US"/>
        </w:rPr>
        <w:t>agg</w:t>
      </w:r>
      <w:r w:rsidRPr="001857F2">
        <w:rPr>
          <w:sz w:val="28"/>
          <w:lang w:val="en-US"/>
        </w:rPr>
        <w:t>)</w:t>
      </w:r>
      <w:r w:rsidR="00561C45">
        <w:rPr>
          <w:sz w:val="28"/>
          <w:lang w:val="en-US"/>
        </w:rPr>
        <w:t xml:space="preserve"> </w:t>
      </w:r>
      <w:r w:rsidR="00561C45">
        <w:rPr>
          <w:sz w:val="28"/>
          <w:lang w:val="en-US"/>
        </w:rPr>
        <w:fldChar w:fldCharType="begin" w:fldLock="1"/>
      </w:r>
      <w:r w:rsidR="00561C45">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561C45" w:rsidRPr="00561C45">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r w:rsidRPr="001857F2">
        <w:rPr>
          <w:rStyle w:val="tlid-translation"/>
          <w:i/>
          <w:sz w:val="28"/>
          <w:lang w:val="en-US"/>
        </w:rPr>
        <w:t>HI</w:t>
      </w:r>
      <w:r w:rsidR="00EA4AF9">
        <w:rPr>
          <w:rStyle w:val="tlid-translation"/>
          <w:i/>
          <w:sz w:val="28"/>
          <w:vertAlign w:val="subscript"/>
          <w:lang w:val="en-US"/>
        </w:rPr>
        <w:t>tot</w:t>
      </w:r>
      <w:r w:rsidRPr="001857F2">
        <w:rPr>
          <w:rStyle w:val="tlid-translation"/>
          <w:sz w:val="28"/>
          <w:lang w:val="en-US"/>
        </w:rPr>
        <w:t>) and the cumulative potential carcinogenic risk (</w:t>
      </w:r>
      <w:r w:rsidRPr="001857F2">
        <w:rPr>
          <w:rStyle w:val="tlid-translation"/>
          <w:i/>
          <w:sz w:val="28"/>
          <w:lang w:val="en-US"/>
        </w:rPr>
        <w:t>CR</w:t>
      </w:r>
      <w:r w:rsidRPr="001857F2">
        <w:rPr>
          <w:rStyle w:val="tlid-translation"/>
          <w:i/>
          <w:sz w:val="28"/>
          <w:vertAlign w:val="subscript"/>
          <w:lang w:val="en-US"/>
        </w:rPr>
        <w:t>cum</w:t>
      </w:r>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510B45"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69C2DC23" w:rsidR="00CB676E" w:rsidRPr="00323B9E" w:rsidRDefault="005B7930"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(23)</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proofErr w:type="spellStart"/>
            <w:r w:rsidRPr="004760FA">
              <w:rPr>
                <w:b/>
                <w:bCs/>
                <w:i/>
                <w:sz w:val="18"/>
                <w:szCs w:val="18"/>
                <w:lang w:val="en-US"/>
              </w:rPr>
              <w:t>HQ</w:t>
            </w:r>
            <w:r>
              <w:rPr>
                <w:b/>
                <w:bCs/>
                <w:i/>
                <w:sz w:val="18"/>
                <w:szCs w:val="18"/>
                <w:vertAlign w:val="subscript"/>
                <w:lang w:val="en-US"/>
              </w:rPr>
              <w:t>w</w:t>
            </w:r>
            <w:proofErr w:type="spellEnd"/>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77777777"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2CFCD2BF" w:rsidR="00CB676E" w:rsidRPr="004760FA" w:rsidRDefault="005B7930"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(24)</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proofErr w:type="spellStart"/>
            <w:r>
              <w:rPr>
                <w:b/>
                <w:bCs/>
                <w:i/>
                <w:sz w:val="18"/>
                <w:szCs w:val="18"/>
                <w:lang w:val="en-US"/>
              </w:rPr>
              <w:t>CR</w:t>
            </w:r>
            <w:r>
              <w:rPr>
                <w:b/>
                <w:bCs/>
                <w:i/>
                <w:sz w:val="18"/>
                <w:szCs w:val="18"/>
                <w:vertAlign w:val="subscript"/>
                <w:lang w:val="en-US"/>
              </w:rPr>
              <w:t>w</w:t>
            </w:r>
            <w:proofErr w:type="spellEnd"/>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77777777"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48795BD0" w:rsidR="00CB676E" w:rsidRPr="00F71999" w:rsidRDefault="005B7930"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(25)</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HI</w:t>
            </w:r>
            <w:r w:rsidRPr="00F71999">
              <w:rPr>
                <w:b/>
                <w:bCs/>
                <w:i/>
                <w:sz w:val="18"/>
                <w:szCs w:val="18"/>
                <w:vertAlign w:val="subscript"/>
                <w:lang w:val="en-US"/>
              </w:rPr>
              <w:t>agg,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65A6183A" w:rsidR="00CB676E" w:rsidRPr="00F71999" w:rsidRDefault="005B7930"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(26)</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CR</w:t>
            </w:r>
            <w:r w:rsidRPr="00F71999">
              <w:rPr>
                <w:b/>
                <w:bCs/>
                <w:i/>
                <w:sz w:val="18"/>
                <w:szCs w:val="18"/>
                <w:vertAlign w:val="subscript"/>
                <w:lang w:val="en-US"/>
              </w:rPr>
              <w:t>agg,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510B45" w:rsidRDefault="004B679D" w:rsidP="007A6C07">
            <w:pPr>
              <w:spacing w:line="360" w:lineRule="auto"/>
              <w:jc w:val="center"/>
              <w:rPr>
                <w:rStyle w:val="tlid-translation"/>
                <w:sz w:val="20"/>
                <w:szCs w:val="20"/>
                <w:lang w:val="it-IT"/>
              </w:rPr>
            </w:pPr>
            <w:r w:rsidRPr="00510B45">
              <w:rPr>
                <w:rStyle w:val="tlid-translation"/>
                <w:sz w:val="20"/>
                <w:szCs w:val="20"/>
                <w:lang w:val="it-IT"/>
              </w:rPr>
              <w:t>Non-</w:t>
            </w:r>
            <w:proofErr w:type="spellStart"/>
            <w:r w:rsidRPr="00510B45">
              <w:rPr>
                <w:rStyle w:val="tlid-translation"/>
                <w:sz w:val="20"/>
                <w:szCs w:val="20"/>
                <w:lang w:val="it-IT"/>
              </w:rPr>
              <w:t>carcinogenic</w:t>
            </w:r>
            <w:proofErr w:type="spellEnd"/>
          </w:p>
          <w:p w14:paraId="42B7323B" w14:textId="77777777" w:rsidR="004B679D" w:rsidRPr="00510B45" w:rsidRDefault="004B679D" w:rsidP="007A6C07">
            <w:pPr>
              <w:spacing w:line="360" w:lineRule="auto"/>
              <w:jc w:val="center"/>
              <w:rPr>
                <w:rStyle w:val="tlid-translation"/>
                <w:sz w:val="20"/>
                <w:szCs w:val="20"/>
                <w:lang w:val="it-IT"/>
              </w:rPr>
            </w:pPr>
            <w:r w:rsidRPr="00370B13">
              <w:rPr>
                <w:rStyle w:val="tlid-translation"/>
                <w:sz w:val="20"/>
                <w:szCs w:val="20"/>
                <w:lang w:val="en-US"/>
              </w:rPr>
              <w:fldChar w:fldCharType="begin" w:fldLock="1"/>
            </w:r>
            <w:r w:rsidRPr="00510B45">
              <w:rPr>
                <w:rStyle w:val="tlid-translation"/>
                <w:sz w:val="20"/>
                <w:szCs w:val="20"/>
                <w:lang w:val="it-IT"/>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Pr="00510B45">
              <w:rPr>
                <w:rStyle w:val="tlid-translation"/>
                <w:noProof/>
                <w:sz w:val="20"/>
                <w:szCs w:val="20"/>
                <w:lang w:val="it-IT"/>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191B998B"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Pr="00EB59E1">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Pr="00EB59E1">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r w:rsidR="003F31FE">
        <w:rPr>
          <w:sz w:val="28"/>
          <w:lang w:val="en-US"/>
        </w:rPr>
        <w:t>HERisk</w:t>
      </w:r>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proofErr w:type="spellStart"/>
      <w:r w:rsidRPr="00EB59E1">
        <w:rPr>
          <w:b/>
          <w:i/>
          <w:sz w:val="28"/>
          <w:lang w:val="en-US"/>
        </w:rPr>
        <w:t>σ</w:t>
      </w:r>
      <w:r w:rsidRPr="00EB59E1">
        <w:rPr>
          <w:b/>
          <w:i/>
          <w:sz w:val="28"/>
          <w:vertAlign w:val="subscript"/>
          <w:lang w:val="en-US"/>
        </w:rPr>
        <w:t>F</w:t>
      </w:r>
      <w:proofErr w:type="spellEnd"/>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5B7930"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w:t>
      </w:r>
      <w:proofErr w:type="spellStart"/>
      <w:r w:rsidRPr="000F4EA9">
        <w:rPr>
          <w:sz w:val="28"/>
          <w:lang w:val="en-US"/>
        </w:rPr>
        <w:t>Eqs</w:t>
      </w:r>
      <w:proofErr w:type="spellEnd"/>
      <w:r w:rsidRPr="000F4EA9">
        <w:rPr>
          <w:sz w:val="28"/>
          <w:lang w:val="en-US"/>
        </w:rPr>
        <w:t xml:space="preserve">. 1-6): </w:t>
      </w:r>
      <w:r w:rsidRPr="000F4EA9">
        <w:rPr>
          <w:i/>
          <w:sz w:val="28"/>
          <w:lang w:val="en-US"/>
        </w:rPr>
        <w:t>x</w:t>
      </w:r>
      <w:r w:rsidRPr="000F4EA9">
        <w:rPr>
          <w:i/>
          <w:sz w:val="28"/>
          <w:vertAlign w:val="subscript"/>
          <w:lang w:val="en-US"/>
        </w:rPr>
        <w:t>i</w:t>
      </w:r>
      <w:r w:rsidRPr="000F4EA9">
        <w:rPr>
          <w:sz w:val="28"/>
          <w:lang w:val="en-US"/>
        </w:rPr>
        <w:t xml:space="preserve"> is the </w:t>
      </w:r>
      <w:r w:rsidRPr="000F4EA9">
        <w:rPr>
          <w:i/>
          <w:sz w:val="28"/>
          <w:lang w:val="en-US"/>
        </w:rPr>
        <w:t>i</w:t>
      </w:r>
      <w:r w:rsidRPr="000F4EA9">
        <w:rPr>
          <w:sz w:val="28"/>
          <w:lang w:val="en-US"/>
        </w:rPr>
        <w:t xml:space="preserve">th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r w:rsidRPr="000F4EA9">
        <w:rPr>
          <w:i/>
          <w:sz w:val="28"/>
          <w:lang w:val="en-US"/>
        </w:rPr>
        <w:t>i</w:t>
      </w:r>
      <w:r w:rsidRPr="000F4EA9">
        <w:rPr>
          <w:sz w:val="28"/>
          <w:lang w:val="en-US"/>
        </w:rPr>
        <w:t xml:space="preserve">th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r w:rsidRPr="000F4EA9">
        <w:rPr>
          <w:i/>
          <w:sz w:val="28"/>
          <w:lang w:val="en-US"/>
        </w:rPr>
        <w:t>i</w:t>
      </w:r>
      <w:r w:rsidRPr="000F4EA9">
        <w:rPr>
          <w:sz w:val="28"/>
          <w:lang w:val="en-US"/>
        </w:rPr>
        <w:t>th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2E778937"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r w:rsidR="003F31FE">
        <w:rPr>
          <w:sz w:val="28"/>
          <w:lang w:val="en-US"/>
        </w:rPr>
        <w:t>HERisk</w:t>
      </w:r>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Pr="0089182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proofErr w:type="spellStart"/>
            <w:r w:rsidRPr="002A1510">
              <w:rPr>
                <w:i/>
                <w:sz w:val="20"/>
                <w:szCs w:val="20"/>
                <w:lang w:val="en-US"/>
              </w:rPr>
              <w:t>AF</w:t>
            </w:r>
            <w:r w:rsidRPr="002A1510">
              <w:rPr>
                <w:i/>
                <w:sz w:val="20"/>
                <w:szCs w:val="20"/>
                <w:vertAlign w:val="subscript"/>
                <w:lang w:val="en-US"/>
              </w:rPr>
              <w:t>soil</w:t>
            </w:r>
            <w:proofErr w:type="spellEnd"/>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proofErr w:type="spellStart"/>
            <w:r w:rsidRPr="002A1510">
              <w:rPr>
                <w:i/>
                <w:sz w:val="20"/>
                <w:szCs w:val="20"/>
                <w:lang w:val="en-US"/>
              </w:rPr>
              <w:t>Δt</w:t>
            </w:r>
            <w:proofErr w:type="spellEnd"/>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proofErr w:type="spellStart"/>
            <w:r w:rsidRPr="002A1510">
              <w:rPr>
                <w:i/>
                <w:sz w:val="20"/>
                <w:szCs w:val="20"/>
                <w:lang w:val="en-US"/>
              </w:rPr>
              <w:t>AT</w:t>
            </w:r>
            <w:r w:rsidRPr="002A1510">
              <w:rPr>
                <w:i/>
                <w:sz w:val="20"/>
                <w:szCs w:val="20"/>
                <w:vertAlign w:val="subscript"/>
                <w:lang w:val="en-US"/>
              </w:rPr>
              <w:t>h</w:t>
            </w:r>
            <w:proofErr w:type="spellEnd"/>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proofErr w:type="spellStart"/>
            <w:r w:rsidRPr="002A1510">
              <w:rPr>
                <w:i/>
                <w:sz w:val="20"/>
                <w:szCs w:val="20"/>
                <w:lang w:val="en-US"/>
              </w:rPr>
              <w:t>Δt</w:t>
            </w:r>
            <w:proofErr w:type="spellEnd"/>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proofErr w:type="spellStart"/>
            <w:r w:rsidRPr="002A1510">
              <w:rPr>
                <w:i/>
                <w:sz w:val="20"/>
                <w:szCs w:val="20"/>
                <w:lang w:val="en-US"/>
              </w:rPr>
              <w:t>C</w:t>
            </w:r>
            <w:r w:rsidRPr="002A1510">
              <w:rPr>
                <w:i/>
                <w:sz w:val="20"/>
                <w:szCs w:val="20"/>
                <w:vertAlign w:val="subscript"/>
                <w:lang w:val="en-US"/>
              </w:rPr>
              <w:t>air</w:t>
            </w:r>
            <w:proofErr w:type="spellEnd"/>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proofErr w:type="spellStart"/>
            <w:r w:rsidRPr="002A1510">
              <w:rPr>
                <w:i/>
                <w:sz w:val="20"/>
                <w:szCs w:val="20"/>
                <w:lang w:val="en-US"/>
              </w:rPr>
              <w:t>C</w:t>
            </w:r>
            <w:r w:rsidRPr="002A1510">
              <w:rPr>
                <w:i/>
                <w:sz w:val="20"/>
                <w:szCs w:val="20"/>
                <w:vertAlign w:val="subscript"/>
                <w:lang w:val="en-US"/>
              </w:rPr>
              <w:t>soil</w:t>
            </w:r>
            <w:proofErr w:type="spellEnd"/>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proofErr w:type="spellStart"/>
            <w:r w:rsidRPr="002A1510">
              <w:rPr>
                <w:i/>
                <w:sz w:val="20"/>
                <w:szCs w:val="20"/>
                <w:lang w:val="en-US"/>
              </w:rPr>
              <w:t>C</w:t>
            </w:r>
            <w:r w:rsidRPr="002A1510">
              <w:rPr>
                <w:i/>
                <w:sz w:val="20"/>
                <w:szCs w:val="20"/>
                <w:vertAlign w:val="subscript"/>
                <w:lang w:val="en-US"/>
              </w:rPr>
              <w:t>water</w:t>
            </w:r>
            <w:proofErr w:type="spellEnd"/>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510B45"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77777777"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p w14:paraId="0A8F6FBD"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proofErr w:type="spellStart"/>
            <w:r w:rsidRPr="002A1510">
              <w:rPr>
                <w:i/>
                <w:sz w:val="20"/>
                <w:szCs w:val="20"/>
                <w:lang w:val="en-US"/>
              </w:rPr>
              <w:t>IR</w:t>
            </w:r>
            <w:r w:rsidR="00286CF2">
              <w:rPr>
                <w:i/>
                <w:sz w:val="20"/>
                <w:szCs w:val="20"/>
                <w:vertAlign w:val="subscript"/>
                <w:lang w:val="en-US"/>
              </w:rPr>
              <w:t>f</w:t>
            </w:r>
            <w:proofErr w:type="spellEnd"/>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proofErr w:type="spellStart"/>
            <w:r w:rsidRPr="002A1510">
              <w:rPr>
                <w:i/>
                <w:sz w:val="20"/>
                <w:szCs w:val="20"/>
                <w:lang w:val="en-US"/>
              </w:rPr>
              <w:t>IR</w:t>
            </w:r>
            <w:r w:rsidR="00286CF2">
              <w:rPr>
                <w:i/>
                <w:sz w:val="20"/>
                <w:szCs w:val="20"/>
                <w:vertAlign w:val="subscript"/>
                <w:lang w:val="en-US"/>
              </w:rPr>
              <w:t>w</w:t>
            </w:r>
            <w:proofErr w:type="spellEnd"/>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proofErr w:type="spellStart"/>
            <w:r w:rsidRPr="002A1510">
              <w:rPr>
                <w:i/>
                <w:sz w:val="20"/>
                <w:szCs w:val="20"/>
                <w:lang w:val="en-US"/>
              </w:rPr>
              <w:t>SA</w:t>
            </w:r>
            <w:r w:rsidR="00286CF2">
              <w:rPr>
                <w:i/>
                <w:sz w:val="20"/>
                <w:szCs w:val="20"/>
                <w:vertAlign w:val="subscript"/>
                <w:lang w:val="en-US"/>
              </w:rPr>
              <w:t>w</w:t>
            </w:r>
            <w:proofErr w:type="spellEnd"/>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bl>
    <w:p w14:paraId="49399DD4" w14:textId="4FC20103"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10B45"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proofErr w:type="spellStart"/>
            <w:r w:rsidRPr="00522189">
              <w:rPr>
                <w:i/>
                <w:sz w:val="20"/>
                <w:szCs w:val="20"/>
                <w:lang w:val="en-US"/>
              </w:rPr>
              <w:t>ghi</w:t>
            </w:r>
            <w:proofErr w:type="spellEnd"/>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proofErr w:type="spellStart"/>
            <w:r w:rsidRPr="00522189">
              <w:rPr>
                <w:i/>
                <w:sz w:val="20"/>
                <w:szCs w:val="20"/>
                <w:lang w:val="en-US"/>
              </w:rPr>
              <w:t>a</w:t>
            </w:r>
            <w:r w:rsidRPr="00522189">
              <w:rPr>
                <w:sz w:val="20"/>
                <w:szCs w:val="20"/>
                <w:lang w:val="en-US"/>
              </w:rPr>
              <w:t>,</w:t>
            </w:r>
            <w:r w:rsidRPr="00522189">
              <w:rPr>
                <w:i/>
                <w:sz w:val="20"/>
                <w:szCs w:val="20"/>
                <w:lang w:val="en-US"/>
              </w:rPr>
              <w:t>h</w:t>
            </w:r>
            <w:proofErr w:type="spellEnd"/>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proofErr w:type="spellStart"/>
            <w:r w:rsidRPr="00522189">
              <w:rPr>
                <w:rFonts w:ascii="TimesNewRoman" w:hAnsi="TimesNewRoman" w:cs="TimesNewRoman"/>
                <w:sz w:val="20"/>
                <w:szCs w:val="20"/>
                <w:lang w:val="en-US"/>
              </w:rPr>
              <w:t>Indeno</w:t>
            </w:r>
            <w:proofErr w:type="spellEnd"/>
            <w:r w:rsidRPr="00522189">
              <w:rPr>
                <w:rFonts w:ascii="TimesNewRoman" w:hAnsi="TimesNewRoman" w:cs="TimesNewRoman"/>
                <w:sz w:val="20"/>
                <w:szCs w:val="20"/>
                <w:lang w:val="en-US"/>
              </w:rPr>
              <w:t>[1,2,3-</w:t>
            </w:r>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Semivolatile</w:t>
            </w:r>
            <w:proofErr w:type="spellEnd"/>
            <w:r w:rsidRPr="00522189">
              <w:rPr>
                <w:sz w:val="20"/>
                <w:szCs w:val="20"/>
                <w:lang w:val="en-US"/>
              </w:rPr>
              <w:t xml:space="preserv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77777777"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proofErr w:type="spellStart"/>
      <w:r w:rsidRPr="00522189">
        <w:rPr>
          <w:bCs/>
          <w:sz w:val="28"/>
          <w:szCs w:val="32"/>
          <w:lang w:val="en-US"/>
        </w:rPr>
        <w:t>Semivolatile</w:t>
      </w:r>
      <w:proofErr w:type="spellEnd"/>
      <w:r w:rsidRPr="00522189">
        <w:rPr>
          <w:bCs/>
          <w:sz w:val="28"/>
          <w:szCs w:val="32"/>
          <w:lang w:val="en-US"/>
        </w:rPr>
        <w:t xml:space="preserve"> organic compounds, 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proofErr w:type="spellStart"/>
            <w:r w:rsidRPr="00522189">
              <w:rPr>
                <w:sz w:val="20"/>
                <w:szCs w:val="20"/>
              </w:rPr>
              <w:t>Cadmium</w:t>
            </w:r>
            <w:proofErr w:type="spellEnd"/>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40DF5D5E"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proofErr w:type="spellStart"/>
            <w:r w:rsidRPr="00522189">
              <w:rPr>
                <w:sz w:val="20"/>
                <w:szCs w:val="20"/>
              </w:rPr>
              <w:t>Chromium</w:t>
            </w:r>
            <w:proofErr w:type="spellEnd"/>
            <w:r w:rsidRPr="00522189">
              <w:rPr>
                <w:sz w:val="20"/>
                <w:szCs w:val="20"/>
              </w:rPr>
              <w:t xml:space="preserve">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proofErr w:type="spellStart"/>
            <w:r w:rsidRPr="00522189">
              <w:rPr>
                <w:sz w:val="20"/>
                <w:szCs w:val="20"/>
              </w:rPr>
              <w:t>Chromium</w:t>
            </w:r>
            <w:proofErr w:type="spellEnd"/>
            <w:r w:rsidRPr="00522189">
              <w:rPr>
                <w:sz w:val="20"/>
                <w:szCs w:val="20"/>
              </w:rPr>
              <w:t xml:space="preserve">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proofErr w:type="spellStart"/>
            <w:r w:rsidRPr="00522189">
              <w:rPr>
                <w:sz w:val="20"/>
                <w:szCs w:val="20"/>
              </w:rPr>
              <w:t>Cobalt</w:t>
            </w:r>
            <w:proofErr w:type="spellEnd"/>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r w:rsidRPr="00522189">
              <w:rPr>
                <w:sz w:val="20"/>
                <w:szCs w:val="20"/>
              </w:rPr>
              <w:t>Mercury(II)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proofErr w:type="spellStart"/>
            <w:r w:rsidRPr="00522189">
              <w:rPr>
                <w:sz w:val="20"/>
                <w:szCs w:val="20"/>
              </w:rPr>
              <w:t>Methyl</w:t>
            </w:r>
            <w:proofErr w:type="spellEnd"/>
            <w:r w:rsidRPr="00522189">
              <w:rPr>
                <w:sz w:val="20"/>
                <w:szCs w:val="20"/>
              </w:rPr>
              <w:t xml:space="preserve"> </w:t>
            </w:r>
            <w:proofErr w:type="spellStart"/>
            <w:r w:rsidRPr="00522189">
              <w:rPr>
                <w:sz w:val="20"/>
                <w:szCs w:val="20"/>
              </w:rPr>
              <w:t>mercury</w:t>
            </w:r>
            <w:proofErr w:type="spellEnd"/>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proofErr w:type="spellStart"/>
            <w:r w:rsidRPr="00522189">
              <w:rPr>
                <w:sz w:val="20"/>
                <w:szCs w:val="20"/>
              </w:rPr>
              <w:t>Nickel</w:t>
            </w:r>
            <w:proofErr w:type="spellEnd"/>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proofErr w:type="spellStart"/>
            <w:r w:rsidRPr="00522189">
              <w:rPr>
                <w:sz w:val="20"/>
                <w:szCs w:val="20"/>
              </w:rPr>
              <w:t>Potassium</w:t>
            </w:r>
            <w:proofErr w:type="spellEnd"/>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proofErr w:type="spellStart"/>
            <w:r w:rsidRPr="00522189">
              <w:rPr>
                <w:sz w:val="20"/>
                <w:szCs w:val="20"/>
              </w:rPr>
              <w:t>Zinc</w:t>
            </w:r>
            <w:proofErr w:type="spellEnd"/>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proofErr w:type="spellStart"/>
            <w:r w:rsidRPr="00522189">
              <w:rPr>
                <w:sz w:val="20"/>
                <w:szCs w:val="20"/>
              </w:rPr>
              <w:t>All</w:t>
            </w:r>
            <w:proofErr w:type="spellEnd"/>
            <w:r w:rsidRPr="00522189">
              <w:rPr>
                <w:sz w:val="20"/>
                <w:szCs w:val="20"/>
              </w:rPr>
              <w:t xml:space="preserve"> </w:t>
            </w:r>
            <w:proofErr w:type="spellStart"/>
            <w:r w:rsidRPr="00522189">
              <w:rPr>
                <w:sz w:val="20"/>
                <w:szCs w:val="20"/>
              </w:rPr>
              <w:t>other</w:t>
            </w:r>
            <w:proofErr w:type="spellEnd"/>
            <w:r w:rsidRPr="00522189">
              <w:rPr>
                <w:sz w:val="20"/>
                <w:szCs w:val="20"/>
              </w:rPr>
              <w:t xml:space="preserve"> </w:t>
            </w:r>
            <w:proofErr w:type="spellStart"/>
            <w:r w:rsidRPr="00522189">
              <w:rPr>
                <w:sz w:val="20"/>
                <w:szCs w:val="20"/>
              </w:rPr>
              <w:t>inorganics</w:t>
            </w:r>
            <w:proofErr w:type="spellEnd"/>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w:t>
            </w:r>
            <w:proofErr w:type="spellStart"/>
            <w:r w:rsidRPr="00522189">
              <w:rPr>
                <w:sz w:val="20"/>
                <w:szCs w:val="20"/>
              </w:rPr>
              <w:t>Benzoquinone</w:t>
            </w:r>
            <w:proofErr w:type="spellEnd"/>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Acetophenone</w:t>
            </w:r>
            <w:proofErr w:type="spellEnd"/>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Naphthalene</w:t>
            </w:r>
            <w:proofErr w:type="spellEnd"/>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7777777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Naphthoquinone</w:t>
            </w:r>
            <w:proofErr w:type="spellEnd"/>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Acenaphthylene</w:t>
            </w:r>
            <w:proofErr w:type="spellEnd"/>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Acenaphthene</w:t>
            </w:r>
            <w:proofErr w:type="spellEnd"/>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proofErr w:type="spellStart"/>
            <w:r w:rsidRPr="00522189">
              <w:rPr>
                <w:sz w:val="20"/>
                <w:szCs w:val="20"/>
              </w:rPr>
              <w:t>Fluorene</w:t>
            </w:r>
            <w:proofErr w:type="spellEnd"/>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Sartorelli</w:t>
            </w:r>
            <w:proofErr w:type="spellEnd"/>
            <w:r w:rsidRPr="00522189">
              <w:rPr>
                <w:sz w:val="20"/>
                <w:szCs w:val="20"/>
                <w:lang w:val="en-US"/>
              </w:rPr>
              <w:t xml:space="preserve">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Retene</w:t>
            </w:r>
            <w:proofErr w:type="spellEnd"/>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Indeno</w:t>
            </w:r>
            <w:proofErr w:type="spellEnd"/>
            <w:r w:rsidRPr="00522189">
              <w:rPr>
                <w:sz w:val="20"/>
                <w:szCs w:val="20"/>
                <w:lang w:val="en-US"/>
              </w:rPr>
              <w:t>[1,2,3-</w:t>
            </w:r>
            <w:r w:rsidRPr="00522189">
              <w:rPr>
                <w:i/>
                <w:sz w:val="20"/>
                <w:szCs w:val="20"/>
                <w:lang w:val="en-US"/>
              </w:rPr>
              <w:t>cd</w:t>
            </w:r>
            <w:r w:rsidRPr="00522189">
              <w:rPr>
                <w:sz w:val="20"/>
                <w:szCs w:val="20"/>
                <w:lang w:val="en-US"/>
              </w:rPr>
              <w:t>]pyrene</w:t>
            </w:r>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proofErr w:type="spellStart"/>
            <w:r w:rsidRPr="00522189">
              <w:rPr>
                <w:sz w:val="20"/>
                <w:szCs w:val="20"/>
                <w:lang w:val="en-US"/>
              </w:rPr>
              <w:t>Dibenz</w:t>
            </w:r>
            <w:proofErr w:type="spellEnd"/>
            <w:r w:rsidRPr="00522189">
              <w:rPr>
                <w:sz w:val="20"/>
                <w:szCs w:val="20"/>
                <w:lang w:val="en-US"/>
              </w:rPr>
              <w:t>[</w:t>
            </w:r>
            <w:proofErr w:type="spellStart"/>
            <w:r w:rsidRPr="00522189">
              <w:rPr>
                <w:i/>
                <w:sz w:val="20"/>
                <w:szCs w:val="20"/>
                <w:lang w:val="en-US"/>
              </w:rPr>
              <w:t>a</w:t>
            </w:r>
            <w:r w:rsidRPr="00522189">
              <w:rPr>
                <w:sz w:val="20"/>
                <w:szCs w:val="20"/>
                <w:lang w:val="en-US"/>
              </w:rPr>
              <w:t>,</w:t>
            </w:r>
            <w:r w:rsidRPr="00522189">
              <w:rPr>
                <w:i/>
                <w:sz w:val="20"/>
                <w:szCs w:val="20"/>
                <w:lang w:val="en-US"/>
              </w:rPr>
              <w:t>h</w:t>
            </w:r>
            <w:proofErr w:type="spellEnd"/>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proofErr w:type="spellStart"/>
            <w:r w:rsidRPr="00522189">
              <w:rPr>
                <w:i/>
                <w:sz w:val="20"/>
                <w:szCs w:val="20"/>
                <w:lang w:val="en-US"/>
              </w:rPr>
              <w:t>ghi</w:t>
            </w:r>
            <w:proofErr w:type="spellEnd"/>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C47575"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510B45" w:rsidRDefault="00127214" w:rsidP="004D0BEC">
            <w:pPr>
              <w:spacing w:line="276" w:lineRule="auto"/>
              <w:jc w:val="center"/>
              <w:rPr>
                <w:bCs/>
                <w:sz w:val="20"/>
                <w:szCs w:val="20"/>
                <w:lang w:val="en-US"/>
              </w:rPr>
            </w:pPr>
            <w:r w:rsidRPr="00510B45">
              <w:rPr>
                <w:b/>
                <w:sz w:val="20"/>
                <w:szCs w:val="20"/>
                <w:lang w:val="en-US"/>
              </w:rPr>
              <w:t>Ingestion to b</w:t>
            </w:r>
            <w:r w:rsidR="004D0BEC" w:rsidRPr="00510B45">
              <w:rPr>
                <w:b/>
                <w:sz w:val="20"/>
                <w:szCs w:val="20"/>
                <w:lang w:val="en-US"/>
              </w:rPr>
              <w:t>ovine milk</w:t>
            </w:r>
            <w:r w:rsidR="00DB7D48" w:rsidRPr="00510B45">
              <w:rPr>
                <w:bCs/>
                <w:sz w:val="20"/>
                <w:szCs w:val="20"/>
                <w:vertAlign w:val="superscript"/>
                <w:lang w:val="en-US"/>
              </w:rPr>
              <w:t xml:space="preserve"> a</w:t>
            </w:r>
            <w:r w:rsidR="004D6C60" w:rsidRPr="00510B45">
              <w:rPr>
                <w:bCs/>
                <w:sz w:val="20"/>
                <w:szCs w:val="20"/>
                <w:lang w:val="en-US"/>
              </w:rPr>
              <w:t xml:space="preserve"> </w:t>
            </w:r>
            <w:r w:rsidR="004D6C60" w:rsidRPr="00510B45">
              <w:rPr>
                <w:b/>
                <w:i/>
                <w:iCs/>
                <w:sz w:val="20"/>
                <w:szCs w:val="20"/>
                <w:lang w:val="en-US"/>
              </w:rPr>
              <w:t>(day kg</w:t>
            </w:r>
            <w:r w:rsidR="004D6C60" w:rsidRPr="00510B45">
              <w:rPr>
                <w:b/>
                <w:i/>
                <w:iCs/>
                <w:sz w:val="20"/>
                <w:szCs w:val="20"/>
                <w:vertAlign w:val="superscript"/>
                <w:lang w:val="en-US"/>
              </w:rPr>
              <w:t>-1</w:t>
            </w:r>
            <w:r w:rsidR="004D6C60" w:rsidRPr="00510B45">
              <w:rPr>
                <w:b/>
                <w:i/>
                <w:iCs/>
                <w:sz w:val="20"/>
                <w:szCs w:val="20"/>
                <w:lang w:val="en-US"/>
              </w:rPr>
              <w:t>)</w:t>
            </w:r>
          </w:p>
          <w:p w14:paraId="776E74C2" w14:textId="77777777" w:rsidR="004D0BEC" w:rsidRPr="00FF23ED" w:rsidRDefault="004D0BEC" w:rsidP="004D0BEC">
            <w:pPr>
              <w:spacing w:line="276" w:lineRule="auto"/>
              <w:jc w:val="center"/>
              <w:rPr>
                <w:b/>
                <w:sz w:val="20"/>
                <w:szCs w:val="20"/>
                <w:lang w:val="en-US"/>
              </w:rPr>
            </w:pPr>
            <w:proofErr w:type="spellStart"/>
            <w:r w:rsidRPr="00C47575">
              <w:rPr>
                <w:i/>
                <w:iCs/>
                <w:sz w:val="20"/>
                <w:szCs w:val="52"/>
              </w:rPr>
              <w:t>Reference</w:t>
            </w:r>
            <w:proofErr w:type="spellEnd"/>
            <w:r w:rsidRPr="00C47575">
              <w:rPr>
                <w:i/>
                <w:iCs/>
                <w:sz w:val="20"/>
                <w:szCs w:val="52"/>
              </w:rPr>
              <w:t xml:space="preserve">: </w:t>
            </w:r>
            <w:proofErr w:type="spellStart"/>
            <w:r w:rsidRPr="00C47575">
              <w:rPr>
                <w:bCs/>
                <w:sz w:val="20"/>
                <w:szCs w:val="20"/>
              </w:rPr>
              <w:t>Baes</w:t>
            </w:r>
            <w:proofErr w:type="spellEnd"/>
            <w:r w:rsidRPr="00C47575">
              <w:rPr>
                <w:bCs/>
                <w:sz w:val="20"/>
                <w:szCs w:val="20"/>
              </w:rPr>
              <w:t xml:space="preserve"> III et al. </w:t>
            </w:r>
            <w:r w:rsidRPr="00FF23ED">
              <w:rPr>
                <w:bCs/>
                <w:sz w:val="20"/>
                <w:szCs w:val="20"/>
                <w:lang w:val="en-US"/>
              </w:rPr>
              <w:fldChar w:fldCharType="begin" w:fldLock="1"/>
            </w:r>
            <w:r w:rsidRPr="00C47575">
              <w:rPr>
                <w:bCs/>
                <w:sz w:val="20"/>
                <w:szCs w:val="20"/>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w:instrText>
            </w:r>
            <w:r w:rsidRPr="009B2651">
              <w:rPr>
                <w:bCs/>
                <w:sz w:val="20"/>
                <w:szCs w:val="20"/>
                <w:lang w:val="en-US"/>
              </w:rPr>
              <w:instrText xml:space="preserve">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C47575"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C47575"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C47575"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C47575"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C47575"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C47575"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C47575"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r>
              <w:rPr>
                <w:b/>
                <w:sz w:val="20"/>
                <w:szCs w:val="20"/>
                <w:lang w:val="en-US"/>
              </w:rPr>
              <w:t>Cr(III)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r>
              <w:rPr>
                <w:b/>
                <w:sz w:val="20"/>
                <w:szCs w:val="20"/>
                <w:lang w:val="en-US"/>
              </w:rPr>
              <w:t>Cr(VI)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C47575" w:rsidRDefault="00164B53" w:rsidP="00164B53">
            <w:pPr>
              <w:spacing w:line="276" w:lineRule="auto"/>
              <w:jc w:val="center"/>
              <w:rPr>
                <w:b/>
                <w:sz w:val="20"/>
                <w:szCs w:val="20"/>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C47575">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C47575">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C47575"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510B45" w:rsidRDefault="00164B53" w:rsidP="00164B53">
            <w:pPr>
              <w:spacing w:line="276" w:lineRule="auto"/>
              <w:jc w:val="center"/>
              <w:rPr>
                <w:bCs/>
                <w:sz w:val="20"/>
                <w:szCs w:val="20"/>
                <w:lang w:val="en-US"/>
              </w:rPr>
            </w:pPr>
            <w:r w:rsidRPr="00510B45">
              <w:rPr>
                <w:b/>
                <w:sz w:val="20"/>
                <w:szCs w:val="20"/>
                <w:lang w:val="en-US"/>
              </w:rPr>
              <w:t>Ingestion to bovine milk</w:t>
            </w:r>
            <w:r w:rsidRPr="00510B45">
              <w:rPr>
                <w:bCs/>
                <w:sz w:val="20"/>
                <w:szCs w:val="20"/>
                <w:vertAlign w:val="superscript"/>
                <w:lang w:val="en-US"/>
              </w:rPr>
              <w:t xml:space="preserve"> a</w:t>
            </w:r>
            <w:r w:rsidRPr="00510B45">
              <w:rPr>
                <w:bCs/>
                <w:sz w:val="20"/>
                <w:szCs w:val="20"/>
                <w:lang w:val="en-US"/>
              </w:rPr>
              <w:t xml:space="preserve"> </w:t>
            </w:r>
            <w:r w:rsidRPr="00510B45">
              <w:rPr>
                <w:b/>
                <w:i/>
                <w:iCs/>
                <w:sz w:val="20"/>
                <w:szCs w:val="20"/>
                <w:lang w:val="en-US"/>
              </w:rPr>
              <w:t>(day kg</w:t>
            </w:r>
            <w:r w:rsidRPr="00510B45">
              <w:rPr>
                <w:b/>
                <w:i/>
                <w:iCs/>
                <w:sz w:val="20"/>
                <w:szCs w:val="20"/>
                <w:vertAlign w:val="superscript"/>
                <w:lang w:val="en-US"/>
              </w:rPr>
              <w:t>-1</w:t>
            </w:r>
            <w:r w:rsidRPr="00510B45">
              <w:rPr>
                <w:b/>
                <w:i/>
                <w:iCs/>
                <w:sz w:val="20"/>
                <w:szCs w:val="20"/>
                <w:lang w:val="en-US"/>
              </w:rPr>
              <w:t>)</w:t>
            </w:r>
          </w:p>
          <w:p w14:paraId="3680A71F" w14:textId="77777777" w:rsidR="00164B53" w:rsidRPr="00FF23ED" w:rsidRDefault="00164B53" w:rsidP="00164B53">
            <w:pPr>
              <w:spacing w:line="276" w:lineRule="auto"/>
              <w:jc w:val="center"/>
              <w:rPr>
                <w:b/>
                <w:sz w:val="20"/>
                <w:szCs w:val="20"/>
                <w:lang w:val="en-US"/>
              </w:rPr>
            </w:pPr>
            <w:proofErr w:type="spellStart"/>
            <w:r w:rsidRPr="00C47575">
              <w:rPr>
                <w:i/>
                <w:iCs/>
                <w:sz w:val="20"/>
                <w:szCs w:val="52"/>
              </w:rPr>
              <w:t>Reference</w:t>
            </w:r>
            <w:proofErr w:type="spellEnd"/>
            <w:r w:rsidRPr="00C47575">
              <w:rPr>
                <w:i/>
                <w:iCs/>
                <w:sz w:val="20"/>
                <w:szCs w:val="52"/>
              </w:rPr>
              <w:t xml:space="preserve">: </w:t>
            </w:r>
            <w:proofErr w:type="spellStart"/>
            <w:r w:rsidRPr="00C47575">
              <w:rPr>
                <w:bCs/>
                <w:sz w:val="20"/>
                <w:szCs w:val="20"/>
              </w:rPr>
              <w:t>Baes</w:t>
            </w:r>
            <w:proofErr w:type="spellEnd"/>
            <w:r w:rsidRPr="00C47575">
              <w:rPr>
                <w:bCs/>
                <w:sz w:val="20"/>
                <w:szCs w:val="20"/>
              </w:rPr>
              <w:t xml:space="preserve"> III et al. </w:t>
            </w:r>
            <w:r w:rsidRPr="00FF23ED">
              <w:rPr>
                <w:bCs/>
                <w:sz w:val="20"/>
                <w:szCs w:val="20"/>
                <w:lang w:val="en-US"/>
              </w:rPr>
              <w:fldChar w:fldCharType="begin" w:fldLock="1"/>
            </w:r>
            <w:r w:rsidRPr="00C47575">
              <w:rPr>
                <w:bCs/>
                <w:sz w:val="20"/>
                <w:szCs w:val="20"/>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E90906"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E90906"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E90906"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E90906"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proofErr w:type="spellStart"/>
      <w:r w:rsidRPr="00426F20">
        <w:rPr>
          <w:bCs/>
          <w:iCs/>
          <w:sz w:val="20"/>
          <w:szCs w:val="16"/>
          <w:vertAlign w:val="superscript"/>
          <w:lang w:val="en-US"/>
        </w:rPr>
        <w:t>a</w:t>
      </w:r>
      <w:proofErr w:type="spellEnd"/>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E90906"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7777777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127214">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665BA9CD"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77777777"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7777777"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proofErr w:type="spellStart"/>
            <w:r w:rsidRPr="003935A2">
              <w:rPr>
                <w:bCs/>
                <w:i/>
                <w:iCs/>
                <w:sz w:val="20"/>
                <w:szCs w:val="20"/>
                <w:lang w:val="en-US"/>
              </w:rPr>
              <w:t>Fp</w:t>
            </w:r>
            <w:proofErr w:type="spellEnd"/>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proofErr w:type="spellStart"/>
      <w:r w:rsidRPr="00231920">
        <w:rPr>
          <w:bCs/>
          <w:iCs/>
          <w:sz w:val="20"/>
          <w:szCs w:val="16"/>
          <w:vertAlign w:val="superscript"/>
          <w:lang w:val="en-US"/>
        </w:rPr>
        <w:t>a</w:t>
      </w:r>
      <w:proofErr w:type="spellEnd"/>
      <w:r w:rsidRPr="00231920">
        <w:rPr>
          <w:bCs/>
          <w:iCs/>
          <w:sz w:val="20"/>
          <w:szCs w:val="16"/>
          <w:lang w:val="en-US"/>
        </w:rPr>
        <w:t xml:space="preserve"> </w:t>
      </w:r>
      <w:r w:rsidRPr="007C308F">
        <w:rPr>
          <w:rStyle w:val="tlid-translation"/>
          <w:sz w:val="20"/>
          <w:szCs w:val="22"/>
          <w:lang w:val="en"/>
        </w:rPr>
        <w:t>The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proofErr w:type="spellStart"/>
            <w:r w:rsidRPr="000E54E0">
              <w:rPr>
                <w:b/>
                <w:i/>
                <w:sz w:val="20"/>
                <w:szCs w:val="20"/>
                <w:lang w:val="en-US"/>
              </w:rPr>
              <w:t>RfC</w:t>
            </w:r>
            <w:proofErr w:type="spellEnd"/>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r w:rsidRPr="00354200">
              <w:rPr>
                <w:b/>
                <w:i/>
                <w:sz w:val="20"/>
                <w:szCs w:val="20"/>
                <w:lang w:val="en-US"/>
              </w:rPr>
              <w:t>RfD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c>
          <w:tcPr>
            <w:tcW w:w="1134" w:type="dxa"/>
            <w:vAlign w:val="center"/>
          </w:tcPr>
          <w:p w14:paraId="06544960" w14:textId="77777777" w:rsidR="00C7536E" w:rsidRPr="000E54E0" w:rsidRDefault="00C7536E" w:rsidP="00653136">
            <w:pPr>
              <w:jc w:val="center"/>
              <w:rPr>
                <w:sz w:val="20"/>
                <w:szCs w:val="20"/>
                <w:lang w:val="en-US"/>
              </w:rPr>
            </w:pPr>
            <w:proofErr w:type="spellStart"/>
            <w:r>
              <w:rPr>
                <w:sz w:val="20"/>
                <w:szCs w:val="20"/>
                <w:lang w:val="en-US"/>
              </w:rPr>
              <w:t>n.a.</w:t>
            </w:r>
            <w:proofErr w:type="spellEnd"/>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proofErr w:type="spellStart"/>
            <w:r w:rsidRPr="00AD4EA0">
              <w:rPr>
                <w:sz w:val="20"/>
                <w:szCs w:val="52"/>
              </w:rPr>
              <w:t>Acetophenone</w:t>
            </w:r>
            <w:proofErr w:type="spellEnd"/>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proofErr w:type="spellStart"/>
            <w:r>
              <w:rPr>
                <w:sz w:val="20"/>
                <w:szCs w:val="20"/>
                <w:lang w:val="en-US"/>
              </w:rPr>
              <w:t>n.a.</w:t>
            </w:r>
            <w:proofErr w:type="spellEnd"/>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proofErr w:type="spellStart"/>
            <w:r>
              <w:rPr>
                <w:sz w:val="20"/>
                <w:szCs w:val="20"/>
                <w:lang w:val="en-US"/>
              </w:rPr>
              <w:t>n.a.</w:t>
            </w:r>
            <w:proofErr w:type="spellEnd"/>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proofErr w:type="spellStart"/>
            <w:r>
              <w:rPr>
                <w:sz w:val="20"/>
                <w:szCs w:val="20"/>
                <w:lang w:val="en-US"/>
              </w:rPr>
              <w:t>n.a.</w:t>
            </w:r>
            <w:proofErr w:type="spellEnd"/>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proofErr w:type="spellStart"/>
            <w:r w:rsidRPr="00C7536E">
              <w:rPr>
                <w:sz w:val="20"/>
                <w:szCs w:val="52"/>
              </w:rPr>
              <w:t>Naphthalene</w:t>
            </w:r>
            <w:proofErr w:type="spellEnd"/>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3B09CA5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proofErr w:type="spellStart"/>
            <w:r w:rsidRPr="00ED12F3">
              <w:rPr>
                <w:sz w:val="20"/>
                <w:szCs w:val="52"/>
              </w:rPr>
              <w:t>Acenaphthylene</w:t>
            </w:r>
            <w:proofErr w:type="spellEnd"/>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proofErr w:type="spellStart"/>
            <w:r w:rsidRPr="00DD4AD2">
              <w:rPr>
                <w:sz w:val="20"/>
                <w:szCs w:val="52"/>
              </w:rPr>
              <w:t>Acenaphthene</w:t>
            </w:r>
            <w:proofErr w:type="spellEnd"/>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proofErr w:type="spellStart"/>
            <w:r w:rsidRPr="00B86065">
              <w:rPr>
                <w:sz w:val="20"/>
                <w:szCs w:val="52"/>
              </w:rPr>
              <w:t>Fluorene</w:t>
            </w:r>
            <w:proofErr w:type="spellEnd"/>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14AEF91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proofErr w:type="spellStart"/>
            <w:r w:rsidRPr="0081441B">
              <w:rPr>
                <w:sz w:val="20"/>
                <w:szCs w:val="20"/>
              </w:rPr>
              <w:t>Phenanthrene</w:t>
            </w:r>
            <w:proofErr w:type="spellEnd"/>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proofErr w:type="spellStart"/>
            <w:r w:rsidRPr="00A73BD0">
              <w:rPr>
                <w:sz w:val="20"/>
                <w:szCs w:val="52"/>
              </w:rPr>
              <w:t>Anthracene</w:t>
            </w:r>
            <w:proofErr w:type="spellEnd"/>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proofErr w:type="spellStart"/>
            <w:r w:rsidRPr="008B26A5">
              <w:rPr>
                <w:sz w:val="20"/>
                <w:szCs w:val="52"/>
              </w:rPr>
              <w:t>Fluoranthene</w:t>
            </w:r>
            <w:proofErr w:type="spellEnd"/>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proofErr w:type="spellStart"/>
            <w:r w:rsidRPr="00170748">
              <w:rPr>
                <w:sz w:val="20"/>
                <w:szCs w:val="52"/>
              </w:rPr>
              <w:t>Pyrene</w:t>
            </w:r>
            <w:proofErr w:type="spellEnd"/>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0CC09E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proofErr w:type="spellStart"/>
            <w:r>
              <w:rPr>
                <w:sz w:val="20"/>
                <w:szCs w:val="20"/>
                <w:lang w:val="en-US"/>
              </w:rPr>
              <w:t>Retene</w:t>
            </w:r>
            <w:proofErr w:type="spellEnd"/>
          </w:p>
        </w:tc>
        <w:tc>
          <w:tcPr>
            <w:tcW w:w="1003" w:type="dxa"/>
            <w:vAlign w:val="center"/>
          </w:tcPr>
          <w:p w14:paraId="1C359802"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A83643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7995B121"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4E0F2C88"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w:t>
            </w:r>
            <w:proofErr w:type="spellStart"/>
            <w:r w:rsidRPr="00926F2A">
              <w:rPr>
                <w:sz w:val="20"/>
                <w:szCs w:val="20"/>
              </w:rPr>
              <w:t>fluorenone</w:t>
            </w:r>
            <w:proofErr w:type="spellEnd"/>
          </w:p>
        </w:tc>
        <w:tc>
          <w:tcPr>
            <w:tcW w:w="1003" w:type="dxa"/>
            <w:vAlign w:val="center"/>
          </w:tcPr>
          <w:p w14:paraId="39446CD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109EEF10"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w:t>
            </w:r>
            <w:proofErr w:type="spellStart"/>
            <w:r w:rsidRPr="00926F2A">
              <w:rPr>
                <w:sz w:val="20"/>
                <w:szCs w:val="20"/>
              </w:rPr>
              <w:t>anthracene</w:t>
            </w:r>
            <w:proofErr w:type="spellEnd"/>
          </w:p>
        </w:tc>
        <w:tc>
          <w:tcPr>
            <w:tcW w:w="1003" w:type="dxa"/>
            <w:vAlign w:val="center"/>
          </w:tcPr>
          <w:p w14:paraId="6BD05465"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proofErr w:type="spellStart"/>
            <w:r w:rsidRPr="00926F2A">
              <w:rPr>
                <w:sz w:val="20"/>
                <w:szCs w:val="20"/>
              </w:rPr>
              <w:t>Chrysene</w:t>
            </w:r>
            <w:proofErr w:type="spellEnd"/>
          </w:p>
        </w:tc>
        <w:tc>
          <w:tcPr>
            <w:tcW w:w="1003" w:type="dxa"/>
            <w:vAlign w:val="center"/>
          </w:tcPr>
          <w:p w14:paraId="306268D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proofErr w:type="spellStart"/>
            <w:r>
              <w:rPr>
                <w:sz w:val="20"/>
                <w:szCs w:val="20"/>
                <w:lang w:val="en-US"/>
              </w:rPr>
              <w:t>n.a.</w:t>
            </w:r>
            <w:proofErr w:type="spellEnd"/>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proofErr w:type="spellStart"/>
            <w:r w:rsidRPr="000E54E0">
              <w:rPr>
                <w:b/>
                <w:i/>
                <w:sz w:val="20"/>
                <w:szCs w:val="20"/>
                <w:lang w:val="en-US"/>
              </w:rPr>
              <w:t>RfC</w:t>
            </w:r>
            <w:proofErr w:type="spellEnd"/>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proofErr w:type="spellStart"/>
            <w:r>
              <w:rPr>
                <w:sz w:val="20"/>
                <w:szCs w:val="20"/>
                <w:lang w:val="en-US"/>
              </w:rPr>
              <w:t>n.a.</w:t>
            </w:r>
            <w:proofErr w:type="spellEnd"/>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proofErr w:type="spellStart"/>
            <w:r>
              <w:rPr>
                <w:sz w:val="20"/>
                <w:szCs w:val="20"/>
                <w:lang w:val="en-US"/>
              </w:rPr>
              <w:t>n.a.</w:t>
            </w:r>
            <w:proofErr w:type="spellEnd"/>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proofErr w:type="spellStart"/>
            <w:r>
              <w:rPr>
                <w:sz w:val="20"/>
                <w:szCs w:val="20"/>
                <w:lang w:val="en-US"/>
              </w:rPr>
              <w:t>n.a.</w:t>
            </w:r>
            <w:proofErr w:type="spellEnd"/>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w:t>
            </w:r>
            <w:proofErr w:type="spellStart"/>
            <w:r w:rsidRPr="008B59B4">
              <w:rPr>
                <w:sz w:val="20"/>
                <w:szCs w:val="20"/>
              </w:rPr>
              <w:t>fluoranthene</w:t>
            </w:r>
            <w:proofErr w:type="spellEnd"/>
          </w:p>
        </w:tc>
        <w:tc>
          <w:tcPr>
            <w:tcW w:w="1003" w:type="dxa"/>
            <w:vAlign w:val="center"/>
          </w:tcPr>
          <w:p w14:paraId="39EDDB20" w14:textId="77777777" w:rsidR="000E35D0" w:rsidRPr="000E54E0" w:rsidRDefault="000E35D0" w:rsidP="000E35D0">
            <w:pPr>
              <w:jc w:val="center"/>
              <w:rPr>
                <w:sz w:val="20"/>
                <w:szCs w:val="20"/>
                <w:lang w:val="en-US"/>
              </w:rPr>
            </w:pPr>
            <w:proofErr w:type="spellStart"/>
            <w:r>
              <w:rPr>
                <w:sz w:val="20"/>
                <w:szCs w:val="20"/>
                <w:lang w:val="en-US"/>
              </w:rPr>
              <w:t>n.a.</w:t>
            </w:r>
            <w:proofErr w:type="spellEnd"/>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proofErr w:type="spellStart"/>
            <w:r>
              <w:rPr>
                <w:sz w:val="20"/>
                <w:szCs w:val="20"/>
                <w:lang w:val="en-US"/>
              </w:rPr>
              <w:t>n.a.</w:t>
            </w:r>
            <w:proofErr w:type="spellEnd"/>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proofErr w:type="spellStart"/>
            <w:r>
              <w:rPr>
                <w:sz w:val="20"/>
                <w:szCs w:val="20"/>
                <w:lang w:val="en-US"/>
              </w:rPr>
              <w:t>n.a.</w:t>
            </w:r>
            <w:proofErr w:type="spellEnd"/>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w:t>
            </w:r>
            <w:proofErr w:type="spellStart"/>
            <w:r w:rsidRPr="008B59B4">
              <w:rPr>
                <w:sz w:val="20"/>
                <w:szCs w:val="20"/>
              </w:rPr>
              <w:t>fluoranthene</w:t>
            </w:r>
            <w:proofErr w:type="spellEnd"/>
          </w:p>
        </w:tc>
        <w:tc>
          <w:tcPr>
            <w:tcW w:w="1003" w:type="dxa"/>
            <w:vAlign w:val="center"/>
          </w:tcPr>
          <w:p w14:paraId="2745D79E"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w:t>
            </w:r>
            <w:proofErr w:type="spellStart"/>
            <w:r w:rsidRPr="00AC1247">
              <w:rPr>
                <w:sz w:val="20"/>
                <w:szCs w:val="20"/>
              </w:rPr>
              <w:t>pyrene</w:t>
            </w:r>
            <w:proofErr w:type="spellEnd"/>
          </w:p>
        </w:tc>
        <w:tc>
          <w:tcPr>
            <w:tcW w:w="1003" w:type="dxa"/>
            <w:vAlign w:val="center"/>
          </w:tcPr>
          <w:p w14:paraId="2553BA8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18E2DC22"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w:t>
            </w:r>
            <w:proofErr w:type="spellStart"/>
            <w:r w:rsidRPr="00AC1247">
              <w:rPr>
                <w:sz w:val="20"/>
                <w:szCs w:val="20"/>
              </w:rPr>
              <w:t>pyrene</w:t>
            </w:r>
            <w:proofErr w:type="spellEnd"/>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71F0966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proofErr w:type="spellStart"/>
            <w:r w:rsidRPr="00AC1247">
              <w:rPr>
                <w:sz w:val="20"/>
                <w:szCs w:val="20"/>
              </w:rPr>
              <w:t>Indeno</w:t>
            </w:r>
            <w:proofErr w:type="spellEnd"/>
            <w:r w:rsidRPr="00AC1247">
              <w:rPr>
                <w:sz w:val="20"/>
                <w:szCs w:val="20"/>
              </w:rPr>
              <w:t>[1,2,3-</w:t>
            </w:r>
            <w:r w:rsidRPr="00AC1247">
              <w:rPr>
                <w:i/>
                <w:iCs/>
                <w:sz w:val="20"/>
                <w:szCs w:val="20"/>
              </w:rPr>
              <w:t>cd</w:t>
            </w:r>
            <w:r w:rsidRPr="00AC1247">
              <w:rPr>
                <w:sz w:val="20"/>
                <w:szCs w:val="20"/>
              </w:rPr>
              <w:t>]</w:t>
            </w:r>
            <w:proofErr w:type="spellStart"/>
            <w:r w:rsidRPr="00AC1247">
              <w:rPr>
                <w:sz w:val="20"/>
                <w:szCs w:val="20"/>
              </w:rPr>
              <w:t>pyrene</w:t>
            </w:r>
            <w:proofErr w:type="spellEnd"/>
          </w:p>
        </w:tc>
        <w:tc>
          <w:tcPr>
            <w:tcW w:w="1003" w:type="dxa"/>
            <w:vAlign w:val="center"/>
          </w:tcPr>
          <w:p w14:paraId="39D45E13"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w:t>
            </w:r>
            <w:proofErr w:type="spellStart"/>
            <w:r w:rsidRPr="001A1044">
              <w:rPr>
                <w:sz w:val="20"/>
                <w:szCs w:val="20"/>
              </w:rPr>
              <w:t>pyrene</w:t>
            </w:r>
            <w:proofErr w:type="spellEnd"/>
          </w:p>
        </w:tc>
        <w:tc>
          <w:tcPr>
            <w:tcW w:w="1003" w:type="dxa"/>
            <w:vAlign w:val="center"/>
          </w:tcPr>
          <w:p w14:paraId="6B2A5091"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4DD301B7"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proofErr w:type="spellStart"/>
            <w:r w:rsidRPr="001A1044">
              <w:rPr>
                <w:sz w:val="20"/>
                <w:szCs w:val="20"/>
              </w:rPr>
              <w:t>Dibenz</w:t>
            </w:r>
            <w:proofErr w:type="spellEnd"/>
            <w:r w:rsidRPr="001A1044">
              <w:rPr>
                <w:sz w:val="20"/>
                <w:szCs w:val="20"/>
              </w:rPr>
              <w:t>[</w:t>
            </w:r>
            <w:proofErr w:type="spellStart"/>
            <w:r w:rsidRPr="001A1044">
              <w:rPr>
                <w:i/>
                <w:iCs/>
                <w:sz w:val="20"/>
                <w:szCs w:val="20"/>
              </w:rPr>
              <w:t>a</w:t>
            </w:r>
            <w:r w:rsidRPr="001A1044">
              <w:rPr>
                <w:sz w:val="20"/>
                <w:szCs w:val="20"/>
              </w:rPr>
              <w:t>,</w:t>
            </w:r>
            <w:r w:rsidRPr="001A1044">
              <w:rPr>
                <w:i/>
                <w:iCs/>
                <w:sz w:val="20"/>
                <w:szCs w:val="20"/>
              </w:rPr>
              <w:t>h</w:t>
            </w:r>
            <w:proofErr w:type="spellEnd"/>
            <w:r w:rsidRPr="001A1044">
              <w:rPr>
                <w:sz w:val="20"/>
                <w:szCs w:val="20"/>
              </w:rPr>
              <w:t>]</w:t>
            </w:r>
            <w:proofErr w:type="spellStart"/>
            <w:r w:rsidRPr="001A1044">
              <w:rPr>
                <w:sz w:val="20"/>
                <w:szCs w:val="20"/>
              </w:rPr>
              <w:t>anthracene</w:t>
            </w:r>
            <w:proofErr w:type="spellEnd"/>
          </w:p>
        </w:tc>
        <w:tc>
          <w:tcPr>
            <w:tcW w:w="1003" w:type="dxa"/>
            <w:vAlign w:val="center"/>
          </w:tcPr>
          <w:p w14:paraId="01385F16"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proofErr w:type="spellStart"/>
            <w:r>
              <w:rPr>
                <w:sz w:val="20"/>
                <w:szCs w:val="20"/>
                <w:lang w:val="en-US"/>
              </w:rPr>
              <w:t>n.a.</w:t>
            </w:r>
            <w:proofErr w:type="spellEnd"/>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proofErr w:type="spellStart"/>
            <w:r w:rsidRPr="001A1044">
              <w:rPr>
                <w:i/>
                <w:sz w:val="20"/>
                <w:szCs w:val="20"/>
              </w:rPr>
              <w:t>ghi</w:t>
            </w:r>
            <w:proofErr w:type="spellEnd"/>
            <w:r w:rsidRPr="001A1044">
              <w:rPr>
                <w:sz w:val="20"/>
                <w:szCs w:val="20"/>
              </w:rPr>
              <w:t>]</w:t>
            </w:r>
            <w:proofErr w:type="spellStart"/>
            <w:r w:rsidRPr="001A1044">
              <w:rPr>
                <w:sz w:val="20"/>
                <w:szCs w:val="20"/>
              </w:rPr>
              <w:t>perylene</w:t>
            </w:r>
            <w:proofErr w:type="spellEnd"/>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proofErr w:type="spellStart"/>
            <w:r>
              <w:rPr>
                <w:sz w:val="20"/>
                <w:szCs w:val="20"/>
                <w:lang w:val="en-US"/>
              </w:rPr>
              <w:t>n.a.</w:t>
            </w:r>
            <w:proofErr w:type="spellEnd"/>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proofErr w:type="spellStart"/>
            <w:r>
              <w:rPr>
                <w:sz w:val="20"/>
                <w:szCs w:val="20"/>
                <w:lang w:val="en-US"/>
              </w:rPr>
              <w:t>n.a.</w:t>
            </w:r>
            <w:proofErr w:type="spellEnd"/>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proofErr w:type="spellStart"/>
            <w:r>
              <w:rPr>
                <w:sz w:val="20"/>
                <w:szCs w:val="20"/>
                <w:lang w:val="en-US"/>
              </w:rPr>
              <w:t>n.a.</w:t>
            </w:r>
            <w:proofErr w:type="spellEnd"/>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proofErr w:type="spellStart"/>
            <w:r>
              <w:rPr>
                <w:sz w:val="20"/>
                <w:szCs w:val="20"/>
                <w:lang w:val="en-US"/>
              </w:rPr>
              <w:t>n.a.</w:t>
            </w:r>
            <w:proofErr w:type="spellEnd"/>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proofErr w:type="spellStart"/>
            <w:r>
              <w:rPr>
                <w:sz w:val="20"/>
                <w:szCs w:val="20"/>
                <w:lang w:val="en-US"/>
              </w:rPr>
              <w:t>n.a.</w:t>
            </w:r>
            <w:proofErr w:type="spellEnd"/>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4" w:type="dxa"/>
            <w:vAlign w:val="center"/>
          </w:tcPr>
          <w:p w14:paraId="15338D0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134" w:type="dxa"/>
            <w:vAlign w:val="center"/>
          </w:tcPr>
          <w:p w14:paraId="1335CA21"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r>
              <w:rPr>
                <w:sz w:val="20"/>
                <w:szCs w:val="20"/>
                <w:lang w:val="en-US"/>
              </w:rPr>
              <w:t>Cr(III)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r>
              <w:rPr>
                <w:sz w:val="20"/>
                <w:szCs w:val="20"/>
                <w:lang w:val="en-US"/>
              </w:rPr>
              <w:t>Cr(VI)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proofErr w:type="spellStart"/>
            <w:r>
              <w:rPr>
                <w:sz w:val="20"/>
                <w:szCs w:val="20"/>
                <w:lang w:val="en-US"/>
              </w:rPr>
              <w:t>n.a.</w:t>
            </w:r>
            <w:proofErr w:type="spellEnd"/>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proofErr w:type="spellStart"/>
            <w:r>
              <w:rPr>
                <w:sz w:val="20"/>
                <w:szCs w:val="20"/>
                <w:lang w:val="en-US"/>
              </w:rPr>
              <w:t>n.a.</w:t>
            </w:r>
            <w:proofErr w:type="spellEnd"/>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proofErr w:type="spellStart"/>
            <w:r>
              <w:rPr>
                <w:sz w:val="20"/>
                <w:szCs w:val="20"/>
                <w:lang w:val="en-US"/>
              </w:rPr>
              <w:t>n.a.</w:t>
            </w:r>
            <w:proofErr w:type="spellEnd"/>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proofErr w:type="spellStart"/>
            <w:r w:rsidRPr="000E54E0">
              <w:rPr>
                <w:b/>
                <w:i/>
                <w:sz w:val="20"/>
                <w:szCs w:val="20"/>
                <w:lang w:val="en-US"/>
              </w:rPr>
              <w:t>RfC</w:t>
            </w:r>
            <w:proofErr w:type="spellEnd"/>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77777777"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proofErr w:type="spellStart"/>
            <w:r>
              <w:rPr>
                <w:sz w:val="20"/>
                <w:szCs w:val="20"/>
                <w:lang w:val="en-US"/>
              </w:rPr>
              <w:t>n.a.</w:t>
            </w:r>
            <w:proofErr w:type="spellEnd"/>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proofErr w:type="spellStart"/>
            <w:r>
              <w:rPr>
                <w:sz w:val="20"/>
                <w:szCs w:val="20"/>
                <w:lang w:val="en-US"/>
              </w:rPr>
              <w:t>n.a.</w:t>
            </w:r>
            <w:proofErr w:type="spellEnd"/>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77777777"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3ABB841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A03D3A5"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7777777"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proofErr w:type="spellStart"/>
            <w:r>
              <w:rPr>
                <w:sz w:val="20"/>
                <w:szCs w:val="20"/>
                <w:lang w:val="en-US"/>
              </w:rPr>
              <w:t>n.a.</w:t>
            </w:r>
            <w:proofErr w:type="spellEnd"/>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77777777"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proofErr w:type="spellStart"/>
            <w:r>
              <w:rPr>
                <w:sz w:val="20"/>
                <w:szCs w:val="20"/>
                <w:lang w:val="en-US"/>
              </w:rPr>
              <w:t>n.a.</w:t>
            </w:r>
            <w:proofErr w:type="spellEnd"/>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proofErr w:type="spellStart"/>
            <w:r>
              <w:rPr>
                <w:sz w:val="20"/>
                <w:szCs w:val="20"/>
                <w:lang w:val="en-US"/>
              </w:rPr>
              <w:t>n.a.</w:t>
            </w:r>
            <w:proofErr w:type="spellEnd"/>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6D44D4D9"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proofErr w:type="spellStart"/>
            <w:r>
              <w:rPr>
                <w:sz w:val="20"/>
                <w:szCs w:val="20"/>
                <w:lang w:val="en-US"/>
              </w:rPr>
              <w:t>n.a</w:t>
            </w:r>
            <w:proofErr w:type="spellEnd"/>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proofErr w:type="spellStart"/>
            <w:r>
              <w:rPr>
                <w:sz w:val="20"/>
                <w:szCs w:val="20"/>
                <w:lang w:val="en-US"/>
              </w:rPr>
              <w:t>n.a</w:t>
            </w:r>
            <w:proofErr w:type="spellEnd"/>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proofErr w:type="spellStart"/>
            <w:r>
              <w:rPr>
                <w:sz w:val="20"/>
                <w:szCs w:val="20"/>
                <w:lang w:val="en-US"/>
              </w:rPr>
              <w:t>n.a.</w:t>
            </w:r>
            <w:proofErr w:type="spellEnd"/>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proofErr w:type="spellStart"/>
      <w:r w:rsidRPr="00576AEA">
        <w:rPr>
          <w:i/>
          <w:iCs/>
          <w:sz w:val="20"/>
          <w:szCs w:val="20"/>
          <w:lang w:val="en-US"/>
        </w:rPr>
        <w:t>RfD</w:t>
      </w:r>
      <w:r w:rsidRPr="00576AEA">
        <w:rPr>
          <w:i/>
          <w:iCs/>
          <w:sz w:val="20"/>
          <w:szCs w:val="20"/>
          <w:vertAlign w:val="subscript"/>
          <w:lang w:val="en-US"/>
        </w:rPr>
        <w:t>oral</w:t>
      </w:r>
      <w:proofErr w:type="spellEnd"/>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proofErr w:type="spellStart"/>
      <w:r w:rsidR="00AA545A">
        <w:rPr>
          <w:i/>
          <w:iCs/>
          <w:sz w:val="20"/>
          <w:szCs w:val="20"/>
          <w:lang w:val="en-US"/>
        </w:rPr>
        <w:t>SF</w:t>
      </w:r>
      <w:r w:rsidRPr="00576AEA">
        <w:rPr>
          <w:i/>
          <w:iCs/>
          <w:sz w:val="20"/>
          <w:szCs w:val="20"/>
          <w:vertAlign w:val="subscript"/>
          <w:lang w:val="en-US"/>
        </w:rPr>
        <w:t>oral</w:t>
      </w:r>
      <w:proofErr w:type="spellEnd"/>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proofErr w:type="spellStart"/>
      <w:r w:rsidRPr="000E54E0">
        <w:rPr>
          <w:sz w:val="20"/>
          <w:lang w:val="en-US"/>
        </w:rPr>
        <w:t>n.a.</w:t>
      </w:r>
      <w:proofErr w:type="spellEnd"/>
      <w:r w:rsidRPr="000E54E0">
        <w:rPr>
          <w:sz w:val="20"/>
          <w:lang w:val="en-US"/>
        </w:rPr>
        <w:t xml:space="preserve">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r w:rsidRPr="005F38F6">
        <w:rPr>
          <w:rStyle w:val="tlid-translation"/>
          <w:i/>
          <w:sz w:val="28"/>
          <w:lang w:val="en"/>
        </w:rPr>
        <w:t>RfD</w:t>
      </w:r>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Pr="00D877B6">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Generally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0BC60CE9"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Pr="004012DB">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77777777"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Pr="00AF70E5">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proofErr w:type="spellStart"/>
            <w:r w:rsidRPr="00A61503">
              <w:rPr>
                <w:b/>
                <w:sz w:val="20"/>
                <w:szCs w:val="20"/>
                <w:lang w:val="en-US"/>
              </w:rPr>
              <w:t>Retene</w:t>
            </w:r>
            <w:proofErr w:type="spellEnd"/>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proofErr w:type="spellStart"/>
            <w:r w:rsidRPr="00A61503">
              <w:rPr>
                <w:b/>
                <w:sz w:val="20"/>
                <w:szCs w:val="20"/>
                <w:lang w:val="en-US"/>
              </w:rPr>
              <w:t>Indeno</w:t>
            </w:r>
            <w:proofErr w:type="spellEnd"/>
            <w:r w:rsidRPr="00A61503">
              <w:rPr>
                <w:b/>
                <w:sz w:val="20"/>
                <w:szCs w:val="20"/>
                <w:lang w:val="en-US"/>
              </w:rPr>
              <w:t>[1,2,3-</w:t>
            </w:r>
            <w:r w:rsidRPr="00A61503">
              <w:rPr>
                <w:b/>
                <w:i/>
                <w:iCs/>
                <w:sz w:val="20"/>
                <w:szCs w:val="20"/>
                <w:lang w:val="en-US"/>
              </w:rPr>
              <w:t>cd</w:t>
            </w:r>
            <w:r w:rsidRPr="00A61503">
              <w:rPr>
                <w:b/>
                <w:sz w:val="20"/>
                <w:szCs w:val="20"/>
                <w:lang w:val="en-US"/>
              </w:rPr>
              <w:t>]pyrene</w:t>
            </w:r>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proofErr w:type="spellStart"/>
            <w:r w:rsidRPr="00A61503">
              <w:rPr>
                <w:b/>
                <w:i/>
                <w:iCs/>
                <w:sz w:val="20"/>
                <w:szCs w:val="20"/>
                <w:lang w:val="en-US"/>
              </w:rPr>
              <w:t>a</w:t>
            </w:r>
            <w:r w:rsidRPr="00A61503">
              <w:rPr>
                <w:b/>
                <w:sz w:val="20"/>
                <w:szCs w:val="20"/>
                <w:lang w:val="en-US"/>
              </w:rPr>
              <w:t>,</w:t>
            </w:r>
            <w:r w:rsidRPr="00A61503">
              <w:rPr>
                <w:b/>
                <w:i/>
                <w:iCs/>
                <w:sz w:val="20"/>
                <w:szCs w:val="20"/>
                <w:lang w:val="en-US"/>
              </w:rPr>
              <w:t>h</w:t>
            </w:r>
            <w:proofErr w:type="spellEnd"/>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proofErr w:type="spellStart"/>
            <w:r w:rsidRPr="00A61503">
              <w:rPr>
                <w:b/>
                <w:i/>
                <w:sz w:val="20"/>
                <w:szCs w:val="20"/>
                <w:lang w:val="en-US"/>
              </w:rPr>
              <w:t>ghi</w:t>
            </w:r>
            <w:proofErr w:type="spellEnd"/>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proofErr w:type="spellStart"/>
            <w:r w:rsidRPr="00633F70">
              <w:rPr>
                <w:sz w:val="20"/>
                <w:szCs w:val="20"/>
              </w:rPr>
              <w:t>Hardisson</w:t>
            </w:r>
            <w:proofErr w:type="spellEnd"/>
            <w:r w:rsidRPr="00633F70">
              <w:rPr>
                <w:sz w:val="20"/>
                <w:szCs w:val="20"/>
              </w:rPr>
              <w:t xml:space="preserve">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proofErr w:type="spellStart"/>
            <w:r w:rsidRPr="00633F70">
              <w:rPr>
                <w:sz w:val="20"/>
                <w:szCs w:val="20"/>
              </w:rPr>
              <w:t>Hardisson</w:t>
            </w:r>
            <w:proofErr w:type="spellEnd"/>
            <w:r w:rsidRPr="00633F70">
              <w:rPr>
                <w:sz w:val="20"/>
                <w:szCs w:val="20"/>
              </w:rPr>
              <w:t xml:space="preserve">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77777777"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proofErr w:type="spellStart"/>
            <w:r w:rsidRPr="001968F1">
              <w:rPr>
                <w:sz w:val="20"/>
                <w:szCs w:val="20"/>
                <w:lang w:val="en-US"/>
              </w:rPr>
              <w:t>Lönnerdal</w:t>
            </w:r>
            <w:proofErr w:type="spellEnd"/>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r w:rsidRPr="00081381">
              <w:rPr>
                <w:b/>
                <w:sz w:val="20"/>
                <w:szCs w:val="20"/>
                <w:lang w:val="en-US"/>
              </w:rPr>
              <w:t>Cr(III)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r w:rsidRPr="001D35D7">
              <w:rPr>
                <w:b/>
                <w:sz w:val="20"/>
                <w:szCs w:val="20"/>
              </w:rPr>
              <w:t>Cr(VI)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proofErr w:type="spellStart"/>
            <w:r w:rsidRPr="001D35D7">
              <w:rPr>
                <w:i/>
                <w:iCs/>
                <w:sz w:val="20"/>
                <w:szCs w:val="52"/>
              </w:rPr>
              <w:t>Reference</w:t>
            </w:r>
            <w:proofErr w:type="spellEnd"/>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sidRPr="00C47575">
              <w:rPr>
                <w:sz w:val="20"/>
                <w:szCs w:val="20"/>
              </w:rPr>
              <w:t xml:space="preserve">al. </w:t>
            </w:r>
            <w:r>
              <w:rPr>
                <w:sz w:val="20"/>
                <w:szCs w:val="20"/>
                <w:lang w:val="en-US"/>
              </w:rPr>
              <w:fldChar w:fldCharType="begin" w:fldLock="1"/>
            </w:r>
            <w:r w:rsidRPr="00C47575">
              <w:rPr>
                <w:sz w:val="20"/>
                <w:szCs w:val="20"/>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w:instrText>
            </w:r>
            <w:r>
              <w:rPr>
                <w:sz w:val="20"/>
                <w:szCs w:val="20"/>
                <w:lang w:val="en-US"/>
              </w:rPr>
              <w:instrText>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proofErr w:type="spellStart"/>
            <w:r w:rsidRPr="008D1975">
              <w:rPr>
                <w:sz w:val="20"/>
                <w:szCs w:val="20"/>
                <w:lang w:val="en-US"/>
              </w:rPr>
              <w:t>Anke</w:t>
            </w:r>
            <w:proofErr w:type="spellEnd"/>
            <w:r w:rsidRPr="008D1975">
              <w:rPr>
                <w:sz w:val="20"/>
                <w:szCs w:val="20"/>
                <w:lang w:val="en-US"/>
              </w:rPr>
              <w:t xml:space="preserv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proofErr w:type="spellStart"/>
            <w:r w:rsidRPr="0055673E">
              <w:rPr>
                <w:i/>
                <w:iCs/>
                <w:sz w:val="20"/>
                <w:szCs w:val="52"/>
              </w:rPr>
              <w:t>Reference</w:t>
            </w:r>
            <w:proofErr w:type="spellEnd"/>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proofErr w:type="spellStart"/>
            <w:r w:rsidRPr="0055673E">
              <w:rPr>
                <w:i/>
                <w:iCs/>
                <w:sz w:val="20"/>
                <w:szCs w:val="52"/>
              </w:rPr>
              <w:t>Reference</w:t>
            </w:r>
            <w:proofErr w:type="spellEnd"/>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proofErr w:type="spellStart"/>
            <w:r w:rsidRPr="00DD452C">
              <w:rPr>
                <w:i/>
                <w:iCs/>
                <w:sz w:val="20"/>
                <w:szCs w:val="52"/>
              </w:rPr>
              <w:t>Reference</w:t>
            </w:r>
            <w:proofErr w:type="spellEnd"/>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C47575"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proofErr w:type="spellStart"/>
            <w:r w:rsidRPr="00DD452C">
              <w:rPr>
                <w:i/>
                <w:iCs/>
                <w:sz w:val="20"/>
                <w:szCs w:val="52"/>
              </w:rPr>
              <w:t>Reference</w:t>
            </w:r>
            <w:proofErr w:type="spellEnd"/>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5F35B0B5" w:rsidR="009C67C5" w:rsidRPr="00C47575" w:rsidRDefault="00116B2F" w:rsidP="001D35D7">
            <w:pPr>
              <w:jc w:val="center"/>
              <w:rPr>
                <w:sz w:val="18"/>
                <w:szCs w:val="18"/>
                <w:lang w:val="en-US"/>
              </w:rPr>
            </w:pPr>
            <w:proofErr w:type="spellStart"/>
            <w:r w:rsidRPr="00116B2F">
              <w:rPr>
                <w:sz w:val="18"/>
                <w:szCs w:val="18"/>
              </w:rPr>
              <w:t>Treviño</w:t>
            </w:r>
            <w:proofErr w:type="spellEnd"/>
            <w:r w:rsidRPr="00116B2F">
              <w:rPr>
                <w:sz w:val="18"/>
                <w:szCs w:val="18"/>
              </w:rPr>
              <w:t xml:space="preserve"> et al.</w:t>
            </w:r>
            <w:r w:rsidR="00295DA8">
              <w:rPr>
                <w:sz w:val="18"/>
                <w:szCs w:val="18"/>
              </w:rPr>
              <w:t xml:space="preserve"> </w:t>
            </w:r>
            <w:r w:rsidR="00B618B2">
              <w:rPr>
                <w:sz w:val="18"/>
                <w:szCs w:val="18"/>
              </w:rPr>
              <w:fldChar w:fldCharType="begin" w:fldLock="1"/>
            </w:r>
            <w:r w:rsidR="003D7BCF">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eviouslyFormattedCitation":"(2019)"},"properties":{"noteIndex":0},"schema":"https://github.com/citation-style-language/schema/raw/master/csl-citation.json"}</w:instrText>
            </w:r>
            <w:r w:rsidR="00B618B2">
              <w:rPr>
                <w:sz w:val="18"/>
                <w:szCs w:val="18"/>
              </w:rPr>
              <w:fldChar w:fldCharType="separate"/>
            </w:r>
            <w:r w:rsidR="00B618B2" w:rsidRPr="00C47575">
              <w:rPr>
                <w:noProof/>
                <w:sz w:val="18"/>
                <w:szCs w:val="18"/>
                <w:lang w:val="en-US"/>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C47575"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47575" w:rsidRDefault="00F64C8D" w:rsidP="00F64C8D">
            <w:pPr>
              <w:jc w:val="center"/>
              <w:rPr>
                <w:b/>
                <w:iCs/>
                <w:sz w:val="20"/>
                <w:szCs w:val="52"/>
                <w:lang w:val="en-US"/>
              </w:rPr>
            </w:pPr>
            <w:r w:rsidRPr="00C47575">
              <w:rPr>
                <w:b/>
                <w:iCs/>
                <w:sz w:val="20"/>
                <w:szCs w:val="52"/>
                <w:lang w:val="en-US"/>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C47575"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C47575" w:rsidRDefault="00F64C8D" w:rsidP="00F64C8D">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sidRPr="00C47575">
              <w:rPr>
                <w:sz w:val="20"/>
                <w:szCs w:val="20"/>
                <w:vertAlign w:val="superscript"/>
                <w:lang w:val="en-US"/>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sidRPr="00C47575">
              <w:rPr>
                <w:sz w:val="20"/>
                <w:szCs w:val="20"/>
                <w:vertAlign w:val="superscript"/>
                <w:lang w:val="en-US"/>
              </w:rPr>
              <w:t>b</w:t>
            </w:r>
          </w:p>
        </w:tc>
      </w:tr>
      <w:tr w:rsidR="00962F0B" w:rsidRPr="00C47575"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C47575" w:rsidRDefault="00962F0B" w:rsidP="00962F0B">
            <w:pPr>
              <w:jc w:val="center"/>
              <w:rPr>
                <w:b/>
                <w:bCs/>
                <w:sz w:val="20"/>
                <w:szCs w:val="52"/>
                <w:lang w:val="en-US"/>
              </w:rPr>
            </w:pPr>
            <w:r w:rsidRPr="00C47575">
              <w:rPr>
                <w:b/>
                <w:bCs/>
                <w:sz w:val="20"/>
                <w:szCs w:val="52"/>
                <w:lang w:val="en-US"/>
              </w:rPr>
              <w:t>Br</w:t>
            </w:r>
          </w:p>
        </w:tc>
        <w:tc>
          <w:tcPr>
            <w:tcW w:w="1131" w:type="dxa"/>
            <w:tcBorders>
              <w:top w:val="single" w:sz="4" w:space="0" w:color="auto"/>
              <w:bottom w:val="nil"/>
            </w:tcBorders>
            <w:vAlign w:val="center"/>
          </w:tcPr>
          <w:p w14:paraId="25A2C7E8" w14:textId="0164F013" w:rsidR="00962F0B" w:rsidRPr="00C47575" w:rsidRDefault="00962F0B" w:rsidP="00962F0B">
            <w:pPr>
              <w:jc w:val="center"/>
              <w:rPr>
                <w:sz w:val="20"/>
                <w:szCs w:val="20"/>
                <w:vertAlign w:val="superscript"/>
                <w:lang w:val="en-US"/>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C47575" w:rsidRDefault="00962F0B" w:rsidP="00962F0B">
            <w:pPr>
              <w:jc w:val="center"/>
              <w:rPr>
                <w:sz w:val="20"/>
                <w:szCs w:val="20"/>
                <w:lang w:val="en-US"/>
              </w:rPr>
            </w:pPr>
            <w:r w:rsidRPr="00C47575">
              <w:rPr>
                <w:sz w:val="20"/>
                <w:szCs w:val="20"/>
                <w:lang w:val="en-US"/>
              </w:rPr>
              <w:t>0.300</w:t>
            </w:r>
          </w:p>
        </w:tc>
        <w:tc>
          <w:tcPr>
            <w:tcW w:w="2107" w:type="dxa"/>
            <w:gridSpan w:val="2"/>
            <w:tcBorders>
              <w:top w:val="single" w:sz="4" w:space="0" w:color="auto"/>
              <w:bottom w:val="nil"/>
            </w:tcBorders>
            <w:vAlign w:val="center"/>
          </w:tcPr>
          <w:p w14:paraId="7EEE5CC0" w14:textId="5B7882E7" w:rsidR="00962F0B" w:rsidRPr="00C47575" w:rsidRDefault="00962F0B" w:rsidP="00962F0B">
            <w:pPr>
              <w:jc w:val="center"/>
              <w:rPr>
                <w:sz w:val="20"/>
                <w:szCs w:val="20"/>
                <w:vertAlign w:val="superscript"/>
                <w:lang w:val="en-US"/>
              </w:rPr>
            </w:pPr>
            <w:r w:rsidRPr="00A358DB">
              <w:rPr>
                <w:sz w:val="20"/>
                <w:szCs w:val="20"/>
                <w:lang w:val="en-US"/>
              </w:rPr>
              <w:t>1.000</w:t>
            </w:r>
          </w:p>
        </w:tc>
      </w:tr>
      <w:tr w:rsidR="00962F0B" w:rsidRPr="00C47575"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C47575" w:rsidRDefault="00962F0B" w:rsidP="00962F0B">
            <w:pPr>
              <w:jc w:val="center"/>
              <w:rPr>
                <w:i/>
                <w:iCs/>
                <w:sz w:val="20"/>
                <w:szCs w:val="52"/>
                <w:lang w:val="en-US"/>
              </w:rPr>
            </w:pPr>
            <w:r w:rsidRPr="00C47575">
              <w:rPr>
                <w:i/>
                <w:iCs/>
                <w:sz w:val="20"/>
                <w:szCs w:val="52"/>
                <w:lang w:val="en-US"/>
              </w:rPr>
              <w:t>Reference</w:t>
            </w:r>
          </w:p>
        </w:tc>
        <w:tc>
          <w:tcPr>
            <w:tcW w:w="1131" w:type="dxa"/>
            <w:tcBorders>
              <w:top w:val="nil"/>
              <w:bottom w:val="single" w:sz="4" w:space="0" w:color="auto"/>
            </w:tcBorders>
            <w:vAlign w:val="center"/>
          </w:tcPr>
          <w:p w14:paraId="547D7020" w14:textId="185AAA9F"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c>
          <w:tcPr>
            <w:tcW w:w="8526" w:type="dxa"/>
            <w:gridSpan w:val="27"/>
            <w:tcBorders>
              <w:top w:val="nil"/>
              <w:bottom w:val="single" w:sz="4" w:space="0" w:color="auto"/>
            </w:tcBorders>
            <w:vAlign w:val="center"/>
          </w:tcPr>
          <w:p w14:paraId="7C3C6C33" w14:textId="24D6DF2A" w:rsidR="00962F0B" w:rsidRPr="00C47575" w:rsidRDefault="00207DD7" w:rsidP="00962F0B">
            <w:pPr>
              <w:jc w:val="center"/>
              <w:rPr>
                <w:sz w:val="20"/>
                <w:szCs w:val="20"/>
                <w:lang w:val="en-US"/>
              </w:rPr>
            </w:pPr>
            <w:r w:rsidRPr="00C47575">
              <w:rPr>
                <w:sz w:val="20"/>
                <w:szCs w:val="20"/>
                <w:lang w:val="en-US"/>
              </w:rPr>
              <w:t xml:space="preserve">WHO </w:t>
            </w:r>
            <w:r>
              <w:rPr>
                <w:sz w:val="20"/>
                <w:szCs w:val="20"/>
              </w:rPr>
              <w:fldChar w:fldCharType="begin" w:fldLock="1"/>
            </w:r>
            <w:r w:rsidR="00FD6FD5" w:rsidRPr="00C47575">
              <w:rPr>
                <w:sz w:val="20"/>
                <w:szCs w:val="20"/>
                <w:lang w:val="en-US"/>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C47575">
              <w:rPr>
                <w:noProof/>
                <w:sz w:val="20"/>
                <w:szCs w:val="20"/>
                <w:lang w:val="en-US"/>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r>
      <w:tr w:rsidR="009C67C5" w:rsidRPr="00C47575"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C47575" w:rsidRDefault="009C67C5" w:rsidP="008F0CEE">
            <w:pPr>
              <w:jc w:val="center"/>
              <w:rPr>
                <w:b/>
                <w:iCs/>
                <w:sz w:val="20"/>
                <w:szCs w:val="52"/>
                <w:lang w:val="en-US"/>
              </w:rPr>
            </w:pPr>
            <w:r w:rsidRPr="00C47575">
              <w:rPr>
                <w:b/>
                <w:iCs/>
                <w:sz w:val="20"/>
                <w:szCs w:val="52"/>
                <w:lang w:val="en-US"/>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C47575"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C47575" w:rsidRDefault="009C67C5" w:rsidP="008F0CEE">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C47575"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C47575" w14:paraId="0CE57FD0" w14:textId="77777777" w:rsidTr="00E664F4">
        <w:trPr>
          <w:trHeight w:val="261"/>
          <w:jc w:val="center"/>
        </w:trPr>
        <w:tc>
          <w:tcPr>
            <w:tcW w:w="2266" w:type="dxa"/>
            <w:tcBorders>
              <w:top w:val="nil"/>
            </w:tcBorders>
            <w:vAlign w:val="center"/>
          </w:tcPr>
          <w:p w14:paraId="1A987E92" w14:textId="77777777" w:rsidR="009C67C5" w:rsidRPr="00C47575" w:rsidRDefault="009C67C5" w:rsidP="00F808EE">
            <w:pPr>
              <w:jc w:val="center"/>
              <w:rPr>
                <w:i/>
                <w:iCs/>
                <w:sz w:val="20"/>
                <w:szCs w:val="52"/>
                <w:lang w:val="en-US"/>
              </w:rPr>
            </w:pPr>
            <w:r w:rsidRPr="00C47575">
              <w:rPr>
                <w:i/>
                <w:iCs/>
                <w:sz w:val="20"/>
                <w:szCs w:val="52"/>
                <w:lang w:val="en-US"/>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r>
        <w:rPr>
          <w:sz w:val="20"/>
          <w:szCs w:val="20"/>
          <w:vertAlign w:val="superscript"/>
          <w:lang w:val="en-US"/>
        </w:rPr>
        <w:t>e</w:t>
      </w:r>
      <w:r w:rsidRPr="00576AEA">
        <w:rPr>
          <w:sz w:val="20"/>
          <w:szCs w:val="20"/>
          <w:lang w:val="en-US"/>
        </w:rPr>
        <w:t xml:space="preserve">  </w:t>
      </w:r>
      <w:r w:rsidRPr="00321515">
        <w:rPr>
          <w:i/>
          <w:sz w:val="20"/>
          <w:szCs w:val="20"/>
          <w:lang w:val="en-US"/>
        </w:rPr>
        <w:t>BAF</w:t>
      </w:r>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proofErr w:type="spellStart"/>
      <w:r w:rsidR="00767CE3" w:rsidRPr="00321515">
        <w:rPr>
          <w:rStyle w:val="tlid-translation"/>
          <w:sz w:val="20"/>
          <w:lang w:val="en"/>
        </w:rPr>
        <w:t>bioaccessible</w:t>
      </w:r>
      <w:proofErr w:type="spellEnd"/>
      <w:r w:rsidRPr="00321515">
        <w:rPr>
          <w:rStyle w:val="tlid-translation"/>
          <w:sz w:val="20"/>
          <w:lang w:val="en"/>
        </w:rPr>
        <w:t xml:space="preserve"> gastric fraction +</w:t>
      </w:r>
      <w:r w:rsidR="00767CE3">
        <w:rPr>
          <w:rStyle w:val="tlid-translation"/>
          <w:sz w:val="20"/>
          <w:lang w:val="en"/>
        </w:rPr>
        <w:t xml:space="preserve"> </w:t>
      </w:r>
      <w:proofErr w:type="spellStart"/>
      <w:r w:rsidR="00767CE3" w:rsidRPr="00321515">
        <w:rPr>
          <w:rStyle w:val="tlid-translation"/>
          <w:sz w:val="20"/>
          <w:lang w:val="en"/>
        </w:rPr>
        <w:t>bioaccessible</w:t>
      </w:r>
      <w:proofErr w:type="spellEnd"/>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 xml:space="preserve">Mean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31619066"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sidR="006460FE">
              <w:rPr>
                <w:b/>
                <w:sz w:val="20"/>
                <w:szCs w:val="20"/>
                <w:lang w:val="en-US"/>
              </w:rPr>
              <w:instrText>ADDIN CSL_CITATION {"citationItems":[{"id":"ITEM-1","itemData":{"URL":"https://publications.iarc.fr/Book-And-Report-Series","accessed":{"date-parts":[["2020","9","22"]]},"author":[{"dropping-particle":"","family":"IARC","given":"","non-dropping-particle":"","parse-names":false,"suffix":""}],"container-title":"International Agency for Research on Cancer","id":"ITEM-1","issued":{"date-parts":[["2020"]]},"title":"Book and Report Series","type":"webpage"},"suppress-author":1,"uris":["http://www.mendeley.com/documents/?uuid=9b4c14f0-9d6e-4f76-ab27-d18079f28744"]}],"mendeley":{"formattedCitation":"(2020)","plainTextFormattedCitation":"(2020)","previouslyFormattedCitation":"(2020)"},"properties":{"noteIndex":0},"schema":"https://github.com/citation-style-language/schema/raw/master/csl-citation.json"}</w:instrText>
            </w:r>
            <w:r w:rsidRPr="002A4EE0">
              <w:rPr>
                <w:b/>
                <w:sz w:val="20"/>
                <w:szCs w:val="20"/>
                <w:lang w:val="en-US"/>
              </w:rPr>
              <w:fldChar w:fldCharType="separate"/>
            </w:r>
            <w:r w:rsidR="003D7BCF" w:rsidRPr="003D7BCF">
              <w:rPr>
                <w:noProof/>
                <w:sz w:val="20"/>
                <w:szCs w:val="20"/>
                <w:lang w:val="en-US"/>
              </w:rPr>
              <w:t>(2020)</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413BCA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439933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6FD2379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4AE301E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A3E479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A4E072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3E74B31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E06557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40A6CB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502647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17D51EA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66056B9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8FE77C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B20E90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8992AF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712ACC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3B916A6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4138147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1F7585E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A9EA7A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392055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proofErr w:type="spellStart"/>
            <w:r w:rsidRPr="001301D4">
              <w:rPr>
                <w:sz w:val="20"/>
                <w:szCs w:val="20"/>
                <w:lang w:val="en-US"/>
              </w:rPr>
              <w:t>Retene</w:t>
            </w:r>
            <w:proofErr w:type="spellEnd"/>
          </w:p>
        </w:tc>
        <w:tc>
          <w:tcPr>
            <w:tcW w:w="1735" w:type="dxa"/>
            <w:vAlign w:val="center"/>
          </w:tcPr>
          <w:p w14:paraId="564869F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3316C3F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0B687EE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2D9F34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E57F3C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468667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42ECD0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27B4B9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0C0302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2803004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62DD7F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66F6B8D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21E35A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BFBF7F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0C64AB7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0BD8605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7054CFD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00B6BD0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D7F9A6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725FAA2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B0EA77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5C3AE38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A37C2C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proofErr w:type="spellStart"/>
            <w:r w:rsidRPr="001301D4">
              <w:rPr>
                <w:sz w:val="20"/>
                <w:szCs w:val="20"/>
                <w:lang w:val="en-US"/>
              </w:rPr>
              <w:t>Indeno</w:t>
            </w:r>
            <w:proofErr w:type="spellEnd"/>
            <w:r w:rsidRPr="001301D4">
              <w:rPr>
                <w:sz w:val="20"/>
                <w:szCs w:val="20"/>
                <w:lang w:val="en-US"/>
              </w:rPr>
              <w:t>[1,2,3-</w:t>
            </w:r>
            <w:r w:rsidRPr="001301D4">
              <w:rPr>
                <w:i/>
                <w:iCs/>
                <w:sz w:val="20"/>
                <w:szCs w:val="20"/>
                <w:lang w:val="en-US"/>
              </w:rPr>
              <w:t>cd</w:t>
            </w:r>
            <w:r w:rsidRPr="001301D4">
              <w:rPr>
                <w:sz w:val="20"/>
                <w:szCs w:val="20"/>
                <w:lang w:val="en-US"/>
              </w:rPr>
              <w:t>]pyrene</w:t>
            </w:r>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DE3A3F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1162FC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B3367C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proofErr w:type="spellStart"/>
            <w:r w:rsidRPr="001301D4">
              <w:rPr>
                <w:sz w:val="20"/>
                <w:szCs w:val="20"/>
                <w:lang w:val="en-US"/>
              </w:rPr>
              <w:t>Dibenz</w:t>
            </w:r>
            <w:proofErr w:type="spellEnd"/>
            <w:r w:rsidRPr="001301D4">
              <w:rPr>
                <w:sz w:val="20"/>
                <w:szCs w:val="20"/>
                <w:lang w:val="en-US"/>
              </w:rPr>
              <w:t>[</w:t>
            </w:r>
            <w:proofErr w:type="spellStart"/>
            <w:r w:rsidRPr="001301D4">
              <w:rPr>
                <w:i/>
                <w:iCs/>
                <w:sz w:val="20"/>
                <w:szCs w:val="20"/>
                <w:lang w:val="en-US"/>
              </w:rPr>
              <w:t>a</w:t>
            </w:r>
            <w:r w:rsidRPr="001301D4">
              <w:rPr>
                <w:sz w:val="20"/>
                <w:szCs w:val="20"/>
                <w:lang w:val="en-US"/>
              </w:rPr>
              <w:t>,</w:t>
            </w:r>
            <w:r w:rsidRPr="001301D4">
              <w:rPr>
                <w:i/>
                <w:iCs/>
                <w:sz w:val="20"/>
                <w:szCs w:val="20"/>
                <w:lang w:val="en-US"/>
              </w:rPr>
              <w:t>h</w:t>
            </w:r>
            <w:proofErr w:type="spellEnd"/>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proofErr w:type="spellStart"/>
            <w:r w:rsidRPr="001301D4">
              <w:rPr>
                <w:i/>
                <w:sz w:val="20"/>
                <w:szCs w:val="20"/>
                <w:lang w:val="en-US"/>
              </w:rPr>
              <w:t>ghi</w:t>
            </w:r>
            <w:proofErr w:type="spellEnd"/>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proofErr w:type="spellStart"/>
            <w:r>
              <w:rPr>
                <w:sz w:val="20"/>
                <w:szCs w:val="20"/>
                <w:lang w:val="en-US"/>
              </w:rPr>
              <w:t>n.a.</w:t>
            </w:r>
            <w:proofErr w:type="spellEnd"/>
          </w:p>
        </w:tc>
        <w:tc>
          <w:tcPr>
            <w:tcW w:w="1772" w:type="dxa"/>
            <w:vAlign w:val="center"/>
          </w:tcPr>
          <w:p w14:paraId="5DED8248" w14:textId="48757799" w:rsidR="00FC4FD7" w:rsidRDefault="00FC4FD7" w:rsidP="00FC4FD7">
            <w:pPr>
              <w:jc w:val="center"/>
              <w:rPr>
                <w:sz w:val="20"/>
                <w:szCs w:val="20"/>
                <w:lang w:val="en-US"/>
              </w:rPr>
            </w:pPr>
            <w:proofErr w:type="spellStart"/>
            <w:r>
              <w:rPr>
                <w:sz w:val="20"/>
                <w:szCs w:val="20"/>
                <w:lang w:val="en-US"/>
              </w:rPr>
              <w:t>n.a.</w:t>
            </w:r>
            <w:proofErr w:type="spellEnd"/>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3697E3B0"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sidR="006460FE">
              <w:rPr>
                <w:b/>
                <w:sz w:val="20"/>
                <w:szCs w:val="20"/>
                <w:lang w:val="en-US"/>
              </w:rPr>
              <w:instrText>ADDIN CSL_CITATION {"citationItems":[{"id":"ITEM-1","itemData":{"URL":"https://publications.iarc.fr/Book-And-Report-Series","accessed":{"date-parts":[["2020","9","22"]]},"author":[{"dropping-particle":"","family":"IARC","given":"","non-dropping-particle":"","parse-names":false,"suffix":""}],"container-title":"International Agency for Research on Cancer","id":"ITEM-1","issued":{"date-parts":[["2020"]]},"title":"Book and Report Series","type":"webpage"},"suppress-author":1,"uris":["http://www.mendeley.com/documents/?uuid=9b4c14f0-9d6e-4f76-ab27-d18079f28744"]}],"mendeley":{"formattedCitation":"(2020)","plainTextFormattedCitation":"(2020)","previouslyFormattedCitation":"(2020)"},"properties":{"noteIndex":0},"schema":"https://github.com/citation-style-language/schema/raw/master/csl-citation.json"}</w:instrText>
            </w:r>
            <w:r w:rsidRPr="002A4EE0">
              <w:rPr>
                <w:b/>
                <w:sz w:val="20"/>
                <w:szCs w:val="20"/>
                <w:lang w:val="en-US"/>
              </w:rPr>
              <w:fldChar w:fldCharType="separate"/>
            </w:r>
            <w:r w:rsidR="003D7BCF" w:rsidRPr="003D7BCF">
              <w:rPr>
                <w:noProof/>
                <w:sz w:val="20"/>
                <w:szCs w:val="20"/>
                <w:lang w:val="en-US"/>
              </w:rPr>
              <w:t>(2020)</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c>
          <w:tcPr>
            <w:tcW w:w="2500" w:type="dxa"/>
            <w:vAlign w:val="center"/>
          </w:tcPr>
          <w:p w14:paraId="0971206C" w14:textId="77777777" w:rsidR="002D0A3E"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w:t>
            </w:r>
            <w:proofErr w:type="spellStart"/>
            <w:r w:rsidRPr="00B2689C">
              <w:rPr>
                <w:rStyle w:val="tlid-translation"/>
                <w:sz w:val="20"/>
                <w:lang w:val="en"/>
              </w:rPr>
              <w:t>rpf</w:t>
            </w:r>
            <w:proofErr w:type="spellEnd"/>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4AD22A9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BB9AE7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D67E00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451B307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3F1FDB5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42F623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68D7B33E"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6232C5B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0D86F8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A3A4FC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4A143E3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F1428F5" w14:textId="77777777" w:rsidR="002D0A3E" w:rsidRPr="001301D4" w:rsidRDefault="002D0A3E" w:rsidP="00E31CB4">
            <w:pPr>
              <w:jc w:val="center"/>
              <w:rPr>
                <w:sz w:val="20"/>
                <w:szCs w:val="20"/>
                <w:lang w:val="en-US"/>
              </w:rPr>
            </w:pPr>
            <w:proofErr w:type="spellStart"/>
            <w:r>
              <w:rPr>
                <w:sz w:val="20"/>
                <w:szCs w:val="20"/>
                <w:lang w:val="en-US"/>
              </w:rPr>
              <w:t>InI</w:t>
            </w:r>
            <w:proofErr w:type="spellEnd"/>
          </w:p>
        </w:tc>
        <w:tc>
          <w:tcPr>
            <w:tcW w:w="1772" w:type="dxa"/>
            <w:vAlign w:val="center"/>
          </w:tcPr>
          <w:p w14:paraId="63740BF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r w:rsidRPr="001301D4">
              <w:rPr>
                <w:sz w:val="20"/>
                <w:szCs w:val="20"/>
                <w:lang w:val="en-US"/>
              </w:rPr>
              <w:t>Cr(III)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proofErr w:type="spellStart"/>
            <w:r>
              <w:rPr>
                <w:sz w:val="20"/>
                <w:szCs w:val="20"/>
                <w:lang w:val="en-US"/>
              </w:rPr>
              <w:t>InI</w:t>
            </w:r>
            <w:proofErr w:type="spellEnd"/>
          </w:p>
        </w:tc>
        <w:tc>
          <w:tcPr>
            <w:tcW w:w="1772" w:type="dxa"/>
            <w:vAlign w:val="center"/>
          </w:tcPr>
          <w:p w14:paraId="01C12764"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6A10DA6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2398832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r w:rsidRPr="001301D4">
              <w:rPr>
                <w:sz w:val="20"/>
                <w:szCs w:val="20"/>
                <w:lang w:val="en-US"/>
              </w:rPr>
              <w:t>Cr(VI)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00B658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03BAFD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0CD4737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D5E58D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37836307"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09875C16"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28E4688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5D8B914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4E52645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1BB19B6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122B016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16E22590"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7CC7C7E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24024D28"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1D6F50D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527C270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7FF163B2"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6A8A9A0C"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375" w:type="dxa"/>
            <w:vAlign w:val="center"/>
          </w:tcPr>
          <w:p w14:paraId="39E4339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772" w:type="dxa"/>
            <w:vAlign w:val="center"/>
          </w:tcPr>
          <w:p w14:paraId="029C8BC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2500" w:type="dxa"/>
            <w:vAlign w:val="center"/>
          </w:tcPr>
          <w:p w14:paraId="4AAB5EFB"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c>
          <w:tcPr>
            <w:tcW w:w="1996" w:type="dxa"/>
            <w:vAlign w:val="center"/>
          </w:tcPr>
          <w:p w14:paraId="2B67AF89" w14:textId="77777777" w:rsidR="002D0A3E" w:rsidRPr="001301D4" w:rsidRDefault="002D0A3E" w:rsidP="00E31CB4">
            <w:pPr>
              <w:jc w:val="center"/>
              <w:rPr>
                <w:sz w:val="20"/>
                <w:szCs w:val="20"/>
                <w:lang w:val="en-US"/>
              </w:rPr>
            </w:pPr>
            <w:proofErr w:type="spellStart"/>
            <w:r>
              <w:rPr>
                <w:sz w:val="20"/>
                <w:szCs w:val="20"/>
                <w:lang w:val="en-US"/>
              </w:rPr>
              <w:t>n.a.</w:t>
            </w:r>
            <w:proofErr w:type="spellEnd"/>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proofErr w:type="spellStart"/>
            <w:r>
              <w:rPr>
                <w:sz w:val="20"/>
                <w:szCs w:val="20"/>
                <w:lang w:val="en-US"/>
              </w:rPr>
              <w:t>n.a.</w:t>
            </w:r>
            <w:proofErr w:type="spellEnd"/>
          </w:p>
        </w:tc>
        <w:tc>
          <w:tcPr>
            <w:tcW w:w="2375" w:type="dxa"/>
            <w:vAlign w:val="center"/>
          </w:tcPr>
          <w:p w14:paraId="051D44DA" w14:textId="510E5FDD" w:rsidR="005A79C2" w:rsidRDefault="005A79C2" w:rsidP="005A79C2">
            <w:pPr>
              <w:jc w:val="center"/>
              <w:rPr>
                <w:sz w:val="20"/>
                <w:szCs w:val="20"/>
                <w:lang w:val="en-US"/>
              </w:rPr>
            </w:pPr>
            <w:proofErr w:type="spellStart"/>
            <w:r>
              <w:rPr>
                <w:sz w:val="20"/>
                <w:szCs w:val="20"/>
                <w:lang w:val="en-US"/>
              </w:rPr>
              <w:t>n.a.</w:t>
            </w:r>
            <w:proofErr w:type="spellEnd"/>
          </w:p>
        </w:tc>
        <w:tc>
          <w:tcPr>
            <w:tcW w:w="1772" w:type="dxa"/>
            <w:vAlign w:val="center"/>
          </w:tcPr>
          <w:p w14:paraId="4EE713B8" w14:textId="2F807821" w:rsidR="005A79C2" w:rsidRDefault="005A79C2" w:rsidP="005A79C2">
            <w:pPr>
              <w:jc w:val="center"/>
              <w:rPr>
                <w:sz w:val="20"/>
                <w:szCs w:val="20"/>
                <w:lang w:val="en-US"/>
              </w:rPr>
            </w:pPr>
            <w:proofErr w:type="spellStart"/>
            <w:r>
              <w:rPr>
                <w:sz w:val="20"/>
                <w:szCs w:val="20"/>
                <w:lang w:val="en-US"/>
              </w:rPr>
              <w:t>n.a.</w:t>
            </w:r>
            <w:proofErr w:type="spellEnd"/>
          </w:p>
        </w:tc>
        <w:tc>
          <w:tcPr>
            <w:tcW w:w="2500" w:type="dxa"/>
            <w:vAlign w:val="center"/>
          </w:tcPr>
          <w:p w14:paraId="11EC6059" w14:textId="6E8D5178" w:rsidR="005A79C2" w:rsidRDefault="005A79C2" w:rsidP="005A79C2">
            <w:pPr>
              <w:jc w:val="center"/>
              <w:rPr>
                <w:sz w:val="20"/>
                <w:szCs w:val="20"/>
                <w:lang w:val="en-US"/>
              </w:rPr>
            </w:pPr>
            <w:proofErr w:type="spellStart"/>
            <w:r>
              <w:rPr>
                <w:sz w:val="20"/>
                <w:szCs w:val="20"/>
                <w:lang w:val="en-US"/>
              </w:rPr>
              <w:t>n.a.</w:t>
            </w:r>
            <w:proofErr w:type="spellEnd"/>
          </w:p>
        </w:tc>
        <w:tc>
          <w:tcPr>
            <w:tcW w:w="1996" w:type="dxa"/>
            <w:vAlign w:val="center"/>
          </w:tcPr>
          <w:p w14:paraId="3438FC64" w14:textId="3E7B4D5F" w:rsidR="005A79C2" w:rsidRDefault="005A79C2" w:rsidP="005A79C2">
            <w:pPr>
              <w:jc w:val="center"/>
              <w:rPr>
                <w:sz w:val="20"/>
                <w:szCs w:val="20"/>
                <w:lang w:val="en-US"/>
              </w:rPr>
            </w:pPr>
            <w:proofErr w:type="spellStart"/>
            <w:r>
              <w:rPr>
                <w:sz w:val="20"/>
                <w:szCs w:val="20"/>
                <w:lang w:val="en-US"/>
              </w:rPr>
              <w:t>n.a.</w:t>
            </w:r>
            <w:proofErr w:type="spellEnd"/>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proofErr w:type="spellStart"/>
      <w:r>
        <w:rPr>
          <w:sz w:val="20"/>
          <w:szCs w:val="20"/>
          <w:lang w:val="en-US"/>
        </w:rPr>
        <w:t>n.a.</w:t>
      </w:r>
      <w:proofErr w:type="spellEnd"/>
      <w:r>
        <w:rPr>
          <w:sz w:val="20"/>
          <w:szCs w:val="20"/>
          <w:lang w:val="en-US"/>
        </w:rPr>
        <w:t xml:space="preserve">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w:t>
      </w:r>
      <w:proofErr w:type="spellStart"/>
      <w:r w:rsidRPr="00B2689C">
        <w:rPr>
          <w:rStyle w:val="tlid-translation"/>
          <w:sz w:val="20"/>
          <w:lang w:val="en"/>
        </w:rPr>
        <w:t>rpf</w:t>
      </w:r>
      <w:proofErr w:type="spellEnd"/>
      <w:r w:rsidRPr="00B2689C">
        <w:rPr>
          <w:rStyle w:val="tlid-translation"/>
          <w:sz w:val="20"/>
          <w:lang w:val="en"/>
        </w:rPr>
        <w:t xml:space="preserve">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77777777"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proofErr w:type="spellStart"/>
      <w:r w:rsidRPr="00F9478E">
        <w:rPr>
          <w:rStyle w:val="tlid-translation"/>
          <w:b/>
          <w:bCs/>
          <w:sz w:val="20"/>
          <w:lang w:val="en"/>
        </w:rPr>
        <w:t>InI</w:t>
      </w:r>
      <w:proofErr w:type="spellEnd"/>
      <w:r w:rsidRPr="00F9478E">
        <w:rPr>
          <w:rStyle w:val="tlid-translation"/>
          <w:b/>
          <w:bCs/>
          <w:sz w:val="20"/>
          <w:lang w:val="en"/>
        </w:rPr>
        <w:t xml:space="preserve">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77777777"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proofErr w:type="spellStart"/>
      <w:r w:rsidRPr="00636BD6">
        <w:rPr>
          <w:b/>
          <w:bCs/>
          <w:i/>
          <w:iCs/>
          <w:sz w:val="28"/>
          <w:lang w:val="en-US"/>
        </w:rPr>
        <w:t>Radio_risk</w:t>
      </w:r>
      <w:proofErr w:type="spellEnd"/>
      <w:r w:rsidRPr="00636BD6">
        <w:rPr>
          <w:sz w:val="28"/>
          <w:lang w:val="en-US"/>
        </w:rPr>
        <w:t xml:space="preserve"> subroutine in </w:t>
      </w:r>
      <w:r w:rsidR="003F31FE">
        <w:rPr>
          <w:sz w:val="28"/>
          <w:lang w:val="en-US"/>
        </w:rPr>
        <w:t>HERisk</w:t>
      </w:r>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5BAF91F8"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r w:rsidR="003F31FE">
        <w:rPr>
          <w:rStyle w:val="tlid-translation"/>
          <w:sz w:val="28"/>
          <w:lang w:val="en-US"/>
        </w:rPr>
        <w:t>HERisk</w:t>
      </w:r>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Pr="00636BD6">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York","title":"Annex B: Exposure from natural sources. In: Sources and Effects of Ionizing Radiation: UNSCEAR 2000 Report to General Assembly Scientific Annexes","type":"book","volume":"I"},"uris":["http://www.mendeley.com/documents/?uuid=3bbee33e-58f9-4dac-8101-e5ea4d198eb6"]}],"mendeley":{"formattedCitation":"(UNSCEAR,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proofErr w:type="spellStart"/>
            <w:r>
              <w:rPr>
                <w:rFonts w:eastAsiaTheme="minorEastAsia"/>
                <w:sz w:val="20"/>
                <w:szCs w:val="20"/>
                <w:lang w:val="en-US"/>
              </w:rPr>
              <w:t>Bq</w:t>
            </w:r>
            <w:proofErr w:type="spellEnd"/>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03FE6937"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DA2398">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proofErr w:type="spellStart"/>
            <w:r>
              <w:rPr>
                <w:rFonts w:eastAsiaTheme="minorEastAsia"/>
                <w:sz w:val="20"/>
                <w:szCs w:val="20"/>
                <w:lang w:val="en-US"/>
              </w:rPr>
              <w:t>Bq</w:t>
            </w:r>
            <w:proofErr w:type="spellEnd"/>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5B7930"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w:t>
            </w:r>
            <w:proofErr w:type="spellStart"/>
            <w:r w:rsidRPr="00A442FA">
              <w:rPr>
                <w:sz w:val="18"/>
                <w:szCs w:val="18"/>
                <w:lang w:val="en-US"/>
              </w:rPr>
              <w:t>Bq</w:t>
            </w:r>
            <w:proofErr w:type="spellEnd"/>
            <w:r w:rsidRPr="00A442FA">
              <w:rPr>
                <w:sz w:val="18"/>
                <w:szCs w:val="18"/>
                <w:lang w:val="en-US"/>
              </w:rPr>
              <w:t xml:space="preserve"> kg</w:t>
            </w:r>
            <w:r w:rsidRPr="00A442FA">
              <w:rPr>
                <w:sz w:val="18"/>
                <w:szCs w:val="18"/>
                <w:vertAlign w:val="superscript"/>
                <w:lang w:val="en-US"/>
              </w:rPr>
              <w:t>-1</w:t>
            </w:r>
            <w:r w:rsidRPr="00A442FA">
              <w:rPr>
                <w:sz w:val="18"/>
                <w:szCs w:val="18"/>
                <w:lang w:val="en-US"/>
              </w:rPr>
              <w:t xml:space="preserve">); </w:t>
            </w:r>
            <w:proofErr w:type="spellStart"/>
            <w:r w:rsidRPr="00A442FA">
              <w:rPr>
                <w:b/>
                <w:bCs/>
                <w:i/>
                <w:sz w:val="18"/>
                <w:szCs w:val="18"/>
                <w:lang w:val="en-US"/>
              </w:rPr>
              <w:t>A</w:t>
            </w:r>
            <w:r w:rsidRPr="00A442FA">
              <w:rPr>
                <w:b/>
                <w:bCs/>
                <w:i/>
                <w:sz w:val="18"/>
                <w:szCs w:val="18"/>
                <w:vertAlign w:val="subscript"/>
                <w:lang w:val="en-US"/>
              </w:rPr>
              <w:t>Th</w:t>
            </w:r>
            <w:proofErr w:type="spellEnd"/>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w:t>
            </w:r>
            <w:proofErr w:type="spellStart"/>
            <w:r w:rsidRPr="00A442FA">
              <w:rPr>
                <w:sz w:val="18"/>
                <w:szCs w:val="18"/>
                <w:lang w:val="en-US"/>
              </w:rPr>
              <w:t>Bq</w:t>
            </w:r>
            <w:proofErr w:type="spellEnd"/>
            <w:r w:rsidRPr="00A442FA">
              <w:rPr>
                <w:sz w:val="18"/>
                <w:szCs w:val="18"/>
                <w:lang w:val="en-US"/>
              </w:rPr>
              <w:t xml:space="preserve">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w:t>
            </w:r>
            <w:proofErr w:type="spellStart"/>
            <w:r w:rsidRPr="00A442FA">
              <w:rPr>
                <w:sz w:val="18"/>
                <w:szCs w:val="18"/>
                <w:lang w:val="en-US"/>
              </w:rPr>
              <w:t>Bq</w:t>
            </w:r>
            <w:proofErr w:type="spellEnd"/>
            <w:r w:rsidRPr="00A442FA">
              <w:rPr>
                <w:sz w:val="18"/>
                <w:szCs w:val="18"/>
                <w:lang w:val="en-US"/>
              </w:rPr>
              <w:t xml:space="preserve">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xml:space="preserve">≤ 370 </w:t>
            </w:r>
            <w:proofErr w:type="spellStart"/>
            <w:r w:rsidRPr="00A442FA">
              <w:rPr>
                <w:sz w:val="20"/>
                <w:szCs w:val="22"/>
              </w:rPr>
              <w:t>Bq</w:t>
            </w:r>
            <w:proofErr w:type="spellEnd"/>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proofErr w:type="spellStart"/>
            <w:r>
              <w:rPr>
                <w:rFonts w:eastAsiaTheme="minorEastAsia"/>
                <w:sz w:val="20"/>
                <w:szCs w:val="20"/>
                <w:lang w:val="en-US"/>
              </w:rPr>
              <w:t>nGy</w:t>
            </w:r>
            <w:proofErr w:type="spellEnd"/>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5B7930"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w:t>
            </w:r>
            <w:proofErr w:type="spellStart"/>
            <w:r w:rsidRPr="001C17EB">
              <w:rPr>
                <w:sz w:val="18"/>
                <w:szCs w:val="18"/>
                <w:lang w:val="en-US"/>
              </w:rPr>
              <w:t>nGy</w:t>
            </w:r>
            <w:proofErr w:type="spellEnd"/>
            <w:r w:rsidRPr="001C17EB">
              <w:rPr>
                <w:sz w:val="18"/>
                <w:szCs w:val="18"/>
                <w:lang w:val="en-US"/>
              </w:rPr>
              <w:t xml:space="preserve">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proofErr w:type="spellStart"/>
            <w:r w:rsidRPr="001C17EB">
              <w:rPr>
                <w:b/>
                <w:bCs/>
                <w:i/>
                <w:iCs/>
                <w:sz w:val="18"/>
                <w:szCs w:val="18"/>
                <w:lang w:val="en-US"/>
              </w:rPr>
              <w:t>T</w:t>
            </w:r>
            <w:r w:rsidRPr="001C17EB">
              <w:rPr>
                <w:b/>
                <w:bCs/>
                <w:i/>
                <w:iCs/>
                <w:sz w:val="18"/>
                <w:szCs w:val="18"/>
                <w:vertAlign w:val="subscript"/>
                <w:lang w:val="en-US"/>
              </w:rPr>
              <w:t>exp</w:t>
            </w:r>
            <w:proofErr w:type="spellEnd"/>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proofErr w:type="spellStart"/>
            <w:r>
              <w:rPr>
                <w:sz w:val="20"/>
                <w:szCs w:val="22"/>
              </w:rPr>
              <w:t>mSy</w:t>
            </w:r>
            <w:proofErr w:type="spellEnd"/>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5B7930"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w:t>
            </w:r>
            <w:proofErr w:type="spellStart"/>
            <w:r w:rsidRPr="00BE2CD7">
              <w:rPr>
                <w:sz w:val="20"/>
                <w:szCs w:val="22"/>
                <w:lang w:val="en-US"/>
              </w:rPr>
              <w:t>mSy</w:t>
            </w:r>
            <w:proofErr w:type="spellEnd"/>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5B7930"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proofErr w:type="spellStart"/>
            <w:r w:rsidRPr="00C561C2">
              <w:rPr>
                <w:b/>
                <w:i/>
                <w:iCs/>
                <w:sz w:val="18"/>
                <w:szCs w:val="18"/>
                <w:lang w:val="en-US"/>
              </w:rPr>
              <w:t>H</w:t>
            </w:r>
            <w:r w:rsidRPr="00C561C2">
              <w:rPr>
                <w:b/>
                <w:i/>
                <w:iCs/>
                <w:sz w:val="18"/>
                <w:szCs w:val="18"/>
                <w:vertAlign w:val="subscript"/>
                <w:lang w:val="en-US"/>
              </w:rPr>
              <w:t>eff</w:t>
            </w:r>
            <w:proofErr w:type="spellEnd"/>
            <w:r w:rsidRPr="00C561C2">
              <w:rPr>
                <w:b/>
                <w:i/>
                <w:iCs/>
                <w:sz w:val="18"/>
                <w:szCs w:val="18"/>
                <w:vertAlign w:val="subscript"/>
                <w:lang w:val="en-US"/>
              </w:rPr>
              <w:t xml:space="preserve">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5B7930"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proofErr w:type="spellStart"/>
            <w:r w:rsidRPr="00C561C2">
              <w:rPr>
                <w:b/>
                <w:i/>
                <w:iCs/>
                <w:sz w:val="18"/>
                <w:szCs w:val="18"/>
                <w:lang w:val="en-US"/>
              </w:rPr>
              <w:t>H</w:t>
            </w:r>
            <w:r w:rsidRPr="00C561C2">
              <w:rPr>
                <w:b/>
                <w:i/>
                <w:iCs/>
                <w:sz w:val="18"/>
                <w:szCs w:val="18"/>
                <w:vertAlign w:val="subscript"/>
                <w:lang w:val="en-US"/>
              </w:rPr>
              <w:t>eff</w:t>
            </w:r>
            <w:proofErr w:type="spellEnd"/>
            <w:r w:rsidRPr="00C561C2">
              <w:rPr>
                <w:b/>
                <w:i/>
                <w:iCs/>
                <w:sz w:val="18"/>
                <w:szCs w:val="18"/>
                <w:vertAlign w:val="subscript"/>
                <w:lang w:val="en-US"/>
              </w:rPr>
              <w:t xml:space="preserve">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proofErr w:type="spellStart"/>
            <w:r>
              <w:rPr>
                <w:b/>
                <w:i/>
                <w:iCs/>
                <w:sz w:val="18"/>
                <w:szCs w:val="18"/>
                <w:lang w:val="en-US"/>
              </w:rPr>
              <w:t>ELCR</w:t>
            </w:r>
            <w:r>
              <w:rPr>
                <w:b/>
                <w:i/>
                <w:iCs/>
                <w:sz w:val="18"/>
                <w:szCs w:val="18"/>
                <w:vertAlign w:val="subscript"/>
                <w:lang w:val="en-US"/>
              </w:rPr>
              <w:t>in</w:t>
            </w:r>
            <w:proofErr w:type="spellEnd"/>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proofErr w:type="spellStart"/>
            <w:r>
              <w:rPr>
                <w:b/>
                <w:i/>
                <w:iCs/>
                <w:sz w:val="18"/>
                <w:szCs w:val="18"/>
                <w:lang w:val="en-US"/>
              </w:rPr>
              <w:t>ELCR</w:t>
            </w:r>
            <w:r>
              <w:rPr>
                <w:b/>
                <w:i/>
                <w:iCs/>
                <w:sz w:val="18"/>
                <w:szCs w:val="18"/>
                <w:vertAlign w:val="subscript"/>
                <w:lang w:val="en-US"/>
              </w:rPr>
              <w:t>out</w:t>
            </w:r>
            <w:proofErr w:type="spellEnd"/>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5B7930"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proofErr w:type="spellStart"/>
            <w:r>
              <w:rPr>
                <w:sz w:val="20"/>
                <w:szCs w:val="22"/>
              </w:rPr>
              <w:t>mSy</w:t>
            </w:r>
            <w:proofErr w:type="spellEnd"/>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proofErr w:type="spellStart"/>
            <w:r w:rsidRPr="00A330B2">
              <w:rPr>
                <w:rStyle w:val="tlid-translation"/>
                <w:color w:val="000000" w:themeColor="text1"/>
                <w:sz w:val="20"/>
                <w:szCs w:val="20"/>
                <w:lang w:val="en-US"/>
              </w:rPr>
              <w:t>Agbalagba</w:t>
            </w:r>
            <w:proofErr w:type="spellEnd"/>
            <w:r w:rsidRPr="00A330B2">
              <w:rPr>
                <w:rStyle w:val="tlid-translation"/>
                <w:color w:val="000000" w:themeColor="text1"/>
                <w:sz w:val="20"/>
                <w:szCs w:val="20"/>
                <w:lang w:val="en-US"/>
              </w:rPr>
              <w:t xml:space="preserve">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5B7930"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proofErr w:type="spellStart"/>
            <w:r>
              <w:rPr>
                <w:sz w:val="20"/>
                <w:szCs w:val="22"/>
              </w:rPr>
              <w:t>mSy</w:t>
            </w:r>
            <w:proofErr w:type="spellEnd"/>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proofErr w:type="spellStart"/>
            <w:r w:rsidRPr="00A330B2">
              <w:rPr>
                <w:rStyle w:val="tlid-translation"/>
                <w:color w:val="000000" w:themeColor="text1"/>
                <w:sz w:val="20"/>
                <w:szCs w:val="20"/>
                <w:lang w:val="en-US"/>
              </w:rPr>
              <w:t>Agbalagba</w:t>
            </w:r>
            <w:proofErr w:type="spellEnd"/>
            <w:r w:rsidRPr="00A330B2">
              <w:rPr>
                <w:rStyle w:val="tlid-translation"/>
                <w:color w:val="000000" w:themeColor="text1"/>
                <w:sz w:val="20"/>
                <w:szCs w:val="20"/>
                <w:lang w:val="en-US"/>
              </w:rPr>
              <w:t xml:space="preserve">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w:t>
            </w:r>
            <w:proofErr w:type="spellStart"/>
            <w:r w:rsidR="005E2DD4" w:rsidRPr="005E2DD4">
              <w:rPr>
                <w:sz w:val="18"/>
                <w:szCs w:val="18"/>
              </w:rPr>
              <w:t>atoms</w:t>
            </w:r>
            <w:proofErr w:type="spellEnd"/>
            <w:r w:rsidR="005E2DD4" w:rsidRPr="005E2DD4">
              <w:rPr>
                <w:sz w:val="18"/>
                <w:szCs w:val="18"/>
              </w:rPr>
              <w:t xml:space="preserve">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proofErr w:type="spellStart"/>
            <w:r w:rsidRPr="001C17EB">
              <w:rPr>
                <w:b/>
                <w:bCs/>
                <w:i/>
                <w:iCs/>
                <w:sz w:val="18"/>
                <w:szCs w:val="18"/>
                <w:lang w:val="en-US"/>
              </w:rPr>
              <w:t>T</w:t>
            </w:r>
            <w:r w:rsidRPr="001C17EB">
              <w:rPr>
                <w:b/>
                <w:bCs/>
                <w:i/>
                <w:iCs/>
                <w:sz w:val="18"/>
                <w:szCs w:val="18"/>
                <w:vertAlign w:val="subscript"/>
                <w:lang w:val="en-US"/>
              </w:rPr>
              <w:t>exp</w:t>
            </w:r>
            <w:proofErr w:type="spellEnd"/>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72EC01A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456905">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A2398">
              <w:rPr>
                <w:noProof/>
                <w:sz w:val="20"/>
                <w:szCs w:val="20"/>
                <w:lang w:val="en-US"/>
              </w:rPr>
              <w:t>(2011)</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proofErr w:type="spellStart"/>
            <w:r w:rsidRPr="007F2438">
              <w:rPr>
                <w:rStyle w:val="tlid-translation"/>
                <w:color w:val="000000" w:themeColor="text1"/>
                <w:sz w:val="20"/>
                <w:szCs w:val="20"/>
                <w:lang w:val="en-US"/>
              </w:rPr>
              <w:t>Belyaeva</w:t>
            </w:r>
            <w:proofErr w:type="spellEnd"/>
            <w:r w:rsidRPr="007F2438">
              <w:rPr>
                <w:rStyle w:val="tlid-translation"/>
                <w:color w:val="000000" w:themeColor="text1"/>
                <w:sz w:val="20"/>
                <w:szCs w:val="20"/>
                <w:lang w:val="en-US"/>
              </w:rPr>
              <w:t xml:space="preserve">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proofErr w:type="spellStart"/>
      <w:r w:rsidRPr="0024583B">
        <w:rPr>
          <w:b/>
          <w:bCs/>
          <w:i/>
          <w:iCs/>
          <w:sz w:val="28"/>
          <w:lang w:val="en-US"/>
        </w:rPr>
        <w:t>Ecol_risk</w:t>
      </w:r>
      <w:proofErr w:type="spellEnd"/>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r w:rsidR="003F31FE">
        <w:rPr>
          <w:rStyle w:val="tlid-translation"/>
          <w:sz w:val="28"/>
          <w:lang w:val="en-US"/>
        </w:rPr>
        <w:t>HERisk</w:t>
      </w:r>
      <w:r w:rsidRPr="0024583B">
        <w:rPr>
          <w:rStyle w:val="tlid-translation"/>
          <w:sz w:val="28"/>
          <w:lang w:val="en-US"/>
        </w:rPr>
        <w:t xml:space="preserve"> is the result of a vast bibliographic review, which includes among other relevant works the followings: Jensen and </w:t>
      </w:r>
      <w:proofErr w:type="spellStart"/>
      <w:r w:rsidRPr="0024583B">
        <w:rPr>
          <w:rStyle w:val="tlid-translation"/>
          <w:sz w:val="28"/>
          <w:lang w:val="en-US"/>
        </w:rPr>
        <w:t>Mesman</w:t>
      </w:r>
      <w:proofErr w:type="spellEnd"/>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proofErr w:type="spellStart"/>
      <w:r w:rsidRPr="0024583B">
        <w:rPr>
          <w:sz w:val="28"/>
          <w:lang w:val="en-US"/>
        </w:rPr>
        <w:t>Ogunkunle</w:t>
      </w:r>
      <w:proofErr w:type="spellEnd"/>
      <w:r w:rsidRPr="0024583B">
        <w:rPr>
          <w:sz w:val="28"/>
          <w:lang w:val="en-US"/>
        </w:rPr>
        <w:t xml:space="preserve"> and </w:t>
      </w:r>
      <w:proofErr w:type="spellStart"/>
      <w:r w:rsidRPr="0024583B">
        <w:rPr>
          <w:sz w:val="28"/>
          <w:lang w:val="en-US"/>
        </w:rPr>
        <w:t>Fatoba</w:t>
      </w:r>
      <w:proofErr w:type="spellEnd"/>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3F31FE">
        <w:rPr>
          <w:rStyle w:val="tlid-translation"/>
          <w:sz w:val="28"/>
          <w:lang w:val="en-US"/>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w:t>
      </w:r>
      <w:proofErr w:type="spellStart"/>
      <w:r w:rsidRPr="0024583B">
        <w:rPr>
          <w:rStyle w:val="tlid-translation"/>
          <w:sz w:val="28"/>
        </w:rPr>
        <w:t>Pagliarini</w:t>
      </w:r>
      <w:proofErr w:type="spellEnd"/>
      <w:r w:rsidRPr="0024583B">
        <w:rPr>
          <w:rStyle w:val="tlid-translation"/>
          <w:sz w:val="28"/>
        </w:rPr>
        <w:t xml:space="preserve">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w:t>
      </w:r>
      <w:proofErr w:type="spellStart"/>
      <w:r w:rsidRPr="0024583B">
        <w:rPr>
          <w:rStyle w:val="tlid-translation"/>
          <w:sz w:val="28"/>
        </w:rPr>
        <w:t>Hakanson</w:t>
      </w:r>
      <w:proofErr w:type="spellEnd"/>
      <w:r w:rsidRPr="0024583B">
        <w:rPr>
          <w:rStyle w:val="tlid-translation"/>
          <w:sz w:val="28"/>
        </w:rPr>
        <w:t xml:space="preserve">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w:t>
      </w:r>
      <w:proofErr w:type="spellStart"/>
      <w:r w:rsidRPr="0024583B">
        <w:rPr>
          <w:rStyle w:val="tlid-translation"/>
          <w:sz w:val="28"/>
        </w:rPr>
        <w:t>and</w:t>
      </w:r>
      <w:proofErr w:type="spellEnd"/>
      <w:r w:rsidRPr="0024583B">
        <w:rPr>
          <w:rStyle w:val="tlid-translation"/>
          <w:sz w:val="28"/>
        </w:rPr>
        <w:t xml:space="preserve">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3F31FE">
        <w:rPr>
          <w:sz w:val="28"/>
          <w:lang w:val="en-US"/>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510B45">
        <w:trPr>
          <w:trHeight w:val="1432"/>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034530A3" w:rsidR="0002052A" w:rsidRPr="0002052A" w:rsidRDefault="005B7930">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(t)</m:t>
                </m:r>
                <m:r>
                  <w:rPr>
                    <w:rFonts w:ascii="Cambria Math" w:hAnsi="Cambria Math"/>
                    <w:sz w:val="18"/>
                    <w:szCs w:val="18"/>
                    <w:lang w:val="en-US"/>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6C91A83D" w:rsidR="0002052A" w:rsidRPr="0002052A" w:rsidRDefault="00510B45">
            <w:pPr>
              <w:spacing w:line="360" w:lineRule="auto"/>
              <w:jc w:val="center"/>
              <w:rPr>
                <w:rFonts w:eastAsiaTheme="minorEastAsia"/>
                <w:b/>
                <w:bCs/>
                <w:i/>
                <w:sz w:val="18"/>
                <w:szCs w:val="18"/>
                <w:lang w:val="en-US"/>
              </w:rPr>
            </w:pPr>
            <w:proofErr w:type="spellStart"/>
            <w:r>
              <w:rPr>
                <w:b/>
                <w:bCs/>
                <w:i/>
                <w:sz w:val="18"/>
                <w:szCs w:val="18"/>
                <w:lang w:val="en-US"/>
              </w:rPr>
              <w:t>PI</w:t>
            </w:r>
            <w:r>
              <w:rPr>
                <w:b/>
                <w:bCs/>
                <w:i/>
                <w:sz w:val="18"/>
                <w:szCs w:val="18"/>
                <w:vertAlign w:val="subscript"/>
                <w:lang w:val="en-US"/>
              </w:rPr>
              <w:t>m</w:t>
            </w:r>
            <w:proofErr w:type="spellEnd"/>
            <w:r>
              <w:rPr>
                <w:b/>
                <w:bCs/>
                <w:i/>
                <w:sz w:val="18"/>
                <w:szCs w:val="18"/>
                <w:lang w:val="en-US"/>
              </w:rPr>
              <w:t xml:space="preserve"> (t) </w:t>
            </w:r>
            <w:r>
              <w:rPr>
                <w:iCs/>
                <w:sz w:val="18"/>
                <w:szCs w:val="18"/>
                <w:lang w:val="en-US"/>
              </w:rPr>
              <w:t xml:space="preserve">= </w:t>
            </w:r>
            <w:r w:rsidRPr="00510B45">
              <w:rPr>
                <w:sz w:val="18"/>
                <w:szCs w:val="18"/>
                <w:lang w:val="en-US"/>
              </w:rPr>
              <w:t>Single pollution index at time</w:t>
            </w:r>
            <w:r w:rsidRPr="0002052A">
              <w:rPr>
                <w:sz w:val="18"/>
                <w:szCs w:val="18"/>
                <w:lang w:val="en-US"/>
              </w:rPr>
              <w:t xml:space="preserve"> </w:t>
            </w:r>
            <w:r w:rsidRPr="0002052A">
              <w:rPr>
                <w:i/>
                <w:iCs/>
                <w:sz w:val="18"/>
                <w:szCs w:val="18"/>
                <w:lang w:val="en-US"/>
              </w:rPr>
              <w:t>t</w:t>
            </w:r>
            <w:r>
              <w:rPr>
                <w:i/>
                <w:iCs/>
                <w:sz w:val="18"/>
                <w:szCs w:val="18"/>
                <w:lang w:val="en-US"/>
              </w:rPr>
              <w:t>;</w:t>
            </w:r>
            <w:r>
              <w:rPr>
                <w:b/>
                <w:bCs/>
                <w:i/>
                <w:sz w:val="18"/>
                <w:szCs w:val="18"/>
                <w:lang w:val="en-US"/>
              </w:rPr>
              <w:t xml:space="preserve"> </w:t>
            </w:r>
            <w:r w:rsidR="0002052A" w:rsidRPr="0002052A">
              <w:rPr>
                <w:b/>
                <w:bCs/>
                <w:i/>
                <w:sz w:val="18"/>
                <w:szCs w:val="18"/>
                <w:lang w:val="en-US"/>
              </w:rPr>
              <w:t>C</w:t>
            </w:r>
            <w:r w:rsidR="0002052A" w:rsidRPr="0002052A">
              <w:rPr>
                <w:b/>
                <w:bCs/>
                <w:i/>
                <w:sz w:val="18"/>
                <w:szCs w:val="18"/>
                <w:vertAlign w:val="subscript"/>
                <w:lang w:val="en-US"/>
              </w:rPr>
              <w:t>m</w:t>
            </w:r>
            <w:r w:rsidR="0002052A" w:rsidRPr="0002052A">
              <w:rPr>
                <w:b/>
                <w:bCs/>
                <w:sz w:val="18"/>
                <w:szCs w:val="18"/>
                <w:lang w:val="en-US"/>
              </w:rPr>
              <w:t xml:space="preserve"> </w:t>
            </w:r>
            <w:r w:rsidR="0002052A" w:rsidRPr="0002052A">
              <w:rPr>
                <w:b/>
                <w:bCs/>
                <w:i/>
                <w:iCs/>
                <w:sz w:val="18"/>
                <w:szCs w:val="18"/>
                <w:lang w:val="en-US"/>
              </w:rPr>
              <w:t>(t)</w:t>
            </w:r>
            <w:r w:rsidR="0002052A" w:rsidRPr="0002052A">
              <w:rPr>
                <w:sz w:val="18"/>
                <w:szCs w:val="18"/>
                <w:lang w:val="en-US"/>
              </w:rPr>
              <w:t xml:space="preserve"> = Chemical species concentration in</w:t>
            </w:r>
            <w:r w:rsidR="0002052A" w:rsidRPr="0002052A">
              <w:rPr>
                <w:rStyle w:val="tlid-translation"/>
                <w:sz w:val="18"/>
                <w:szCs w:val="18"/>
                <w:lang w:val="en"/>
              </w:rPr>
              <w:t xml:space="preserve"> the soil or sediment matrix </w:t>
            </w:r>
            <w:r w:rsidR="0002052A" w:rsidRPr="0002052A">
              <w:rPr>
                <w:sz w:val="18"/>
                <w:szCs w:val="18"/>
                <w:lang w:val="en-US"/>
              </w:rPr>
              <w:t xml:space="preserve">at time </w:t>
            </w:r>
            <w:r w:rsidR="0002052A" w:rsidRPr="0002052A">
              <w:rPr>
                <w:i/>
                <w:iCs/>
                <w:sz w:val="18"/>
                <w:szCs w:val="18"/>
                <w:lang w:val="en-US"/>
              </w:rPr>
              <w:t>t</w:t>
            </w:r>
            <w:r w:rsidR="0002052A" w:rsidRPr="0002052A">
              <w:rPr>
                <w:sz w:val="18"/>
                <w:szCs w:val="18"/>
                <w:lang w:val="en-US"/>
              </w:rPr>
              <w:t xml:space="preserve"> (mg kg</w:t>
            </w:r>
            <w:r w:rsidR="0002052A" w:rsidRPr="0002052A">
              <w:rPr>
                <w:sz w:val="18"/>
                <w:szCs w:val="18"/>
                <w:vertAlign w:val="superscript"/>
                <w:lang w:val="en-US"/>
              </w:rPr>
              <w:t>-1</w:t>
            </w:r>
            <w:r w:rsidR="0002052A" w:rsidRPr="0002052A">
              <w:rPr>
                <w:sz w:val="18"/>
                <w:szCs w:val="18"/>
                <w:lang w:val="en-US"/>
              </w:rPr>
              <w:t>)</w:t>
            </w:r>
            <w:r w:rsidR="0002052A">
              <w:rPr>
                <w:sz w:val="18"/>
                <w:szCs w:val="18"/>
                <w:lang w:val="en-US"/>
              </w:rPr>
              <w:t>;</w:t>
            </w:r>
            <w:r w:rsidR="0002052A" w:rsidRPr="0002052A">
              <w:rPr>
                <w:sz w:val="18"/>
                <w:szCs w:val="18"/>
                <w:lang w:val="en-US"/>
              </w:rPr>
              <w:t xml:space="preserve"> </w:t>
            </w:r>
            <w:proofErr w:type="spellStart"/>
            <w:r w:rsidR="0002052A" w:rsidRPr="0002052A">
              <w:rPr>
                <w:b/>
                <w:bCs/>
                <w:i/>
                <w:sz w:val="18"/>
                <w:szCs w:val="18"/>
                <w:lang w:val="en-US"/>
              </w:rPr>
              <w:t>C</w:t>
            </w:r>
            <w:r w:rsidR="0002052A" w:rsidRPr="0002052A">
              <w:rPr>
                <w:b/>
                <w:bCs/>
                <w:i/>
                <w:sz w:val="18"/>
                <w:szCs w:val="18"/>
                <w:vertAlign w:val="subscript"/>
                <w:lang w:val="en-US"/>
              </w:rPr>
              <w:t>m_ref</w:t>
            </w:r>
            <w:proofErr w:type="spellEnd"/>
            <w:r w:rsidR="0002052A" w:rsidRPr="0002052A">
              <w:rPr>
                <w:sz w:val="18"/>
                <w:szCs w:val="18"/>
                <w:lang w:val="en-US"/>
              </w:rPr>
              <w:t xml:space="preserve"> = Chemical species background concentration in</w:t>
            </w:r>
            <w:r w:rsidR="0002052A" w:rsidRPr="0002052A">
              <w:rPr>
                <w:rStyle w:val="tlid-translation"/>
                <w:sz w:val="18"/>
                <w:szCs w:val="18"/>
                <w:lang w:val="en"/>
              </w:rPr>
              <w:t xml:space="preserve"> the soil</w:t>
            </w:r>
            <w:r w:rsidR="0002052A">
              <w:rPr>
                <w:rStyle w:val="tlid-translation"/>
                <w:sz w:val="18"/>
                <w:szCs w:val="18"/>
                <w:lang w:val="en"/>
              </w:rPr>
              <w:t>,</w:t>
            </w:r>
            <w:r w:rsidR="0002052A" w:rsidRPr="0002052A">
              <w:rPr>
                <w:rStyle w:val="tlid-translation"/>
                <w:sz w:val="18"/>
                <w:szCs w:val="18"/>
                <w:lang w:val="en"/>
              </w:rPr>
              <w:t xml:space="preserve"> sediment</w:t>
            </w:r>
            <w:r w:rsidR="0002052A">
              <w:rPr>
                <w:rStyle w:val="tlid-translation"/>
                <w:sz w:val="18"/>
                <w:szCs w:val="18"/>
                <w:lang w:val="en"/>
              </w:rPr>
              <w:t xml:space="preserve"> or water</w:t>
            </w:r>
            <w:r w:rsidR="0002052A" w:rsidRPr="0002052A">
              <w:rPr>
                <w:rStyle w:val="tlid-translation"/>
                <w:sz w:val="18"/>
                <w:szCs w:val="18"/>
                <w:lang w:val="en"/>
              </w:rPr>
              <w:t xml:space="preserve"> matrix</w:t>
            </w:r>
            <w:r w:rsidR="0002052A" w:rsidRPr="0002052A">
              <w:rPr>
                <w:sz w:val="18"/>
                <w:szCs w:val="18"/>
                <w:lang w:val="en-US"/>
              </w:rPr>
              <w:t xml:space="preserve"> (mg kg</w:t>
            </w:r>
            <w:r w:rsidR="0002052A"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0002052A" w:rsidRPr="0002052A">
              <w:rPr>
                <w:sz w:val="18"/>
                <w:szCs w:val="18"/>
                <w:lang w:val="en-US"/>
              </w:rPr>
              <w:t>)</w:t>
            </w:r>
            <w:r>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16D70506"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r w:rsidR="00510B45">
              <w:rPr>
                <w:rStyle w:val="tlid-translation"/>
                <w:sz w:val="20"/>
                <w:szCs w:val="20"/>
              </w:rPr>
              <w:t xml:space="preserve"> </w:t>
            </w:r>
            <w:proofErr w:type="spellStart"/>
            <w:r w:rsidR="00510B45">
              <w:rPr>
                <w:rStyle w:val="tlid-translation"/>
                <w:sz w:val="20"/>
                <w:szCs w:val="20"/>
              </w:rPr>
              <w:t>and</w:t>
            </w:r>
            <w:proofErr w:type="spellEnd"/>
            <w:r w:rsidR="00510B45">
              <w:rPr>
                <w:rStyle w:val="tlid-translation"/>
                <w:sz w:val="20"/>
                <w:szCs w:val="20"/>
              </w:rPr>
              <w:t xml:space="preserve"> </w:t>
            </w:r>
            <w:r w:rsidR="00510B45" w:rsidRPr="00F7525E">
              <w:rPr>
                <w:rFonts w:eastAsia="Times New Roman"/>
                <w:sz w:val="20"/>
                <w:szCs w:val="20"/>
                <w:lang w:val="en-US" w:eastAsia="pt-BR"/>
              </w:rPr>
              <w:t>E</w:t>
            </w:r>
            <w:proofErr w:type="spellStart"/>
            <w:r w:rsidR="00510B45" w:rsidRPr="00F7525E">
              <w:rPr>
                <w:rFonts w:eastAsia="Times New Roman"/>
                <w:sz w:val="20"/>
                <w:szCs w:val="20"/>
                <w:lang w:eastAsia="pt-BR"/>
              </w:rPr>
              <w:t>menike</w:t>
            </w:r>
            <w:proofErr w:type="spellEnd"/>
            <w:r w:rsidR="00510B45" w:rsidRPr="00F7525E">
              <w:rPr>
                <w:rFonts w:eastAsia="Times New Roman"/>
                <w:sz w:val="20"/>
                <w:szCs w:val="20"/>
                <w:lang w:eastAsia="pt-BR"/>
              </w:rPr>
              <w:t xml:space="preserve"> et al. </w:t>
            </w:r>
            <w:r w:rsidR="00510B45" w:rsidRPr="00F7525E">
              <w:rPr>
                <w:rFonts w:eastAsia="Times New Roman"/>
                <w:sz w:val="20"/>
                <w:szCs w:val="20"/>
                <w:lang w:eastAsia="pt-BR"/>
              </w:rPr>
              <w:fldChar w:fldCharType="begin" w:fldLock="1"/>
            </w:r>
            <w:r w:rsidR="00510B45"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00510B45" w:rsidRPr="00F7525E">
              <w:rPr>
                <w:rFonts w:eastAsia="Times New Roman"/>
                <w:sz w:val="20"/>
                <w:szCs w:val="20"/>
                <w:lang w:eastAsia="pt-BR"/>
              </w:rPr>
              <w:fldChar w:fldCharType="separate"/>
            </w:r>
            <w:r w:rsidR="00510B45" w:rsidRPr="00F7525E">
              <w:rPr>
                <w:rFonts w:eastAsia="Times New Roman"/>
                <w:noProof/>
                <w:sz w:val="20"/>
                <w:szCs w:val="20"/>
                <w:lang w:eastAsia="pt-BR"/>
              </w:rPr>
              <w:t>(2020)</w:t>
            </w:r>
            <w:r w:rsidR="00510B45" w:rsidRPr="00F7525E">
              <w:rPr>
                <w:rFonts w:eastAsia="Times New Roman"/>
                <w:sz w:val="20"/>
                <w:szCs w:val="20"/>
                <w:lang w:eastAsia="pt-BR"/>
              </w:rPr>
              <w:fldChar w:fldCharType="end"/>
            </w:r>
            <w:r w:rsidR="00510B45">
              <w:rPr>
                <w:rStyle w:val="tlid-translation"/>
                <w:sz w:val="20"/>
                <w:szCs w:val="20"/>
              </w:rPr>
              <w:t xml:space="preserve"> </w:t>
            </w:r>
          </w:p>
        </w:tc>
      </w:tr>
      <w:tr w:rsidR="00F7525E" w:rsidRPr="00F7525E" w14:paraId="482849A7" w14:textId="77777777" w:rsidTr="0089298D">
        <w:trPr>
          <w:trHeight w:val="792"/>
          <w:jc w:val="center"/>
        </w:trPr>
        <w:tc>
          <w:tcPr>
            <w:tcW w:w="2127" w:type="dxa"/>
            <w:tcBorders>
              <w:top w:val="single" w:sz="4" w:space="0" w:color="auto"/>
              <w:left w:val="nil"/>
              <w:bottom w:val="single" w:sz="4" w:space="0" w:color="auto"/>
              <w:right w:val="nil"/>
            </w:tcBorders>
            <w:vAlign w:val="center"/>
            <w:hideMark/>
          </w:tcPr>
          <w:p w14:paraId="4FF74D93" w14:textId="77777777" w:rsidR="00F7525E" w:rsidRPr="00F7525E" w:rsidRDefault="00F7525E">
            <w:pPr>
              <w:spacing w:line="360" w:lineRule="auto"/>
              <w:jc w:val="center"/>
              <w:rPr>
                <w:rStyle w:val="tlid-translation"/>
                <w:b/>
                <w:sz w:val="20"/>
                <w:szCs w:val="20"/>
                <w:vertAlign w:val="superscript"/>
                <w:lang w:val="en-US"/>
              </w:rPr>
            </w:pPr>
            <w:r w:rsidRPr="00F7525E">
              <w:rPr>
                <w:rFonts w:eastAsiaTheme="minorEastAsia"/>
                <w:sz w:val="20"/>
                <w:szCs w:val="20"/>
                <w:lang w:val="en-US"/>
              </w:rPr>
              <w:t>Water individual risk</w:t>
            </w:r>
          </w:p>
        </w:tc>
        <w:tc>
          <w:tcPr>
            <w:tcW w:w="6095" w:type="dxa"/>
            <w:tcBorders>
              <w:top w:val="single" w:sz="4" w:space="0" w:color="auto"/>
              <w:left w:val="nil"/>
              <w:bottom w:val="single" w:sz="4" w:space="0" w:color="auto"/>
              <w:right w:val="nil"/>
            </w:tcBorders>
            <w:vAlign w:val="center"/>
            <w:hideMark/>
          </w:tcPr>
          <w:p w14:paraId="5D67E421" w14:textId="1532F6F8" w:rsidR="00F7525E" w:rsidRPr="0002052A" w:rsidRDefault="005B7930">
            <w:pPr>
              <w:spacing w:line="360" w:lineRule="auto"/>
              <w:jc w:val="center"/>
              <w:rPr>
                <w:rStyle w:val="tlid-translation"/>
                <w:color w:val="000000" w:themeColor="text1"/>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R</m:t>
                    </m:r>
                  </m:e>
                  <m:sub>
                    <m:r>
                      <w:rPr>
                        <w:rFonts w:ascii="Cambria Math" w:hAnsi="Cambria Math"/>
                        <w:sz w:val="18"/>
                        <w:szCs w:val="18"/>
                      </w:rPr>
                      <m:t>w</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w</m:t>
                        </m:r>
                      </m:sub>
                    </m:sSub>
                    <m:r>
                      <w:rPr>
                        <w:rFonts w:ascii="Cambria Math" w:hAnsi="Cambria Math"/>
                        <w:sz w:val="18"/>
                        <w:szCs w:val="18"/>
                      </w:rPr>
                      <m:t xml:space="preserve"> (t)</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num>
                  <m:den>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1+CF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den>
                </m:f>
                <m:r>
                  <w:rPr>
                    <w:rFonts w:ascii="Cambria Math" w:eastAsiaTheme="minorEastAsia" w:hAnsi="Cambria Math"/>
                    <w:sz w:val="18"/>
                    <w:szCs w:val="18"/>
                    <w:lang w:val="en-US"/>
                  </w:rPr>
                  <m:t xml:space="preserve">         (38)</m:t>
                </m:r>
              </m:oMath>
            </m:oMathPara>
          </w:p>
        </w:tc>
        <w:tc>
          <w:tcPr>
            <w:tcW w:w="5499" w:type="dxa"/>
            <w:tcBorders>
              <w:top w:val="single" w:sz="4" w:space="0" w:color="auto"/>
              <w:left w:val="nil"/>
              <w:bottom w:val="single" w:sz="4" w:space="0" w:color="auto"/>
              <w:right w:val="nil"/>
            </w:tcBorders>
            <w:vAlign w:val="center"/>
            <w:hideMark/>
          </w:tcPr>
          <w:p w14:paraId="75A7BD1F" w14:textId="77777777" w:rsidR="00F7525E" w:rsidRPr="0002052A" w:rsidRDefault="00F7525E">
            <w:pPr>
              <w:spacing w:line="360" w:lineRule="auto"/>
              <w:jc w:val="center"/>
              <w:rPr>
                <w:rStyle w:val="tlid-translation"/>
                <w:color w:val="000000" w:themeColor="text1"/>
                <w:sz w:val="18"/>
                <w:szCs w:val="18"/>
                <w:lang w:val="en-US"/>
              </w:rPr>
            </w:pPr>
            <w:proofErr w:type="spellStart"/>
            <w:r w:rsidRPr="0002052A">
              <w:rPr>
                <w:rFonts w:eastAsiaTheme="minorEastAsia"/>
                <w:b/>
                <w:bCs/>
                <w:i/>
                <w:sz w:val="18"/>
                <w:szCs w:val="18"/>
                <w:lang w:val="en-US"/>
              </w:rPr>
              <w:t>CF</w:t>
            </w:r>
            <w:r w:rsidRPr="0002052A">
              <w:rPr>
                <w:rFonts w:eastAsiaTheme="minorEastAsia"/>
                <w:b/>
                <w:bCs/>
                <w:i/>
                <w:sz w:val="18"/>
                <w:szCs w:val="18"/>
                <w:vertAlign w:val="subscript"/>
                <w:lang w:val="en-US"/>
              </w:rPr>
              <w:t>w</w:t>
            </w:r>
            <w:proofErr w:type="spellEnd"/>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Water contamination factor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3F0F471F" w14:textId="77777777" w:rsidR="00F7525E" w:rsidRPr="00F7525E" w:rsidRDefault="00F7525E">
            <w:pPr>
              <w:spacing w:line="360" w:lineRule="auto"/>
              <w:jc w:val="center"/>
              <w:rPr>
                <w:rStyle w:val="tlid-translation"/>
                <w:color w:val="000000" w:themeColor="text1"/>
                <w:sz w:val="20"/>
                <w:szCs w:val="20"/>
                <w:lang w:val="en-US"/>
              </w:rPr>
            </w:pPr>
            <w:proofErr w:type="spellStart"/>
            <w:r w:rsidRPr="00F7525E">
              <w:rPr>
                <w:rFonts w:eastAsia="Times New Roman"/>
                <w:sz w:val="20"/>
                <w:szCs w:val="20"/>
                <w:lang w:val="en-US" w:eastAsia="pt-BR"/>
              </w:rPr>
              <w:t>Pagliarini</w:t>
            </w:r>
            <w:proofErr w:type="spellEnd"/>
            <w:r w:rsidRPr="00F7525E">
              <w:rPr>
                <w:rFonts w:eastAsia="Times New Roman"/>
                <w:sz w:val="20"/>
                <w:szCs w:val="20"/>
                <w:lang w:val="en-US" w:eastAsia="pt-BR"/>
              </w:rPr>
              <w:t xml:space="preserve">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065FD575" w14:textId="77777777" w:rsidTr="00510B45">
        <w:trPr>
          <w:trHeight w:val="937"/>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r w:rsidRPr="00F7525E">
              <w:rPr>
                <w:sz w:val="20"/>
                <w:szCs w:val="20"/>
                <w:lang w:val="en-US"/>
              </w:rPr>
              <w:t>Geoaccumulation index</w:t>
            </w:r>
          </w:p>
        </w:tc>
        <w:tc>
          <w:tcPr>
            <w:tcW w:w="6095" w:type="dxa"/>
            <w:tcBorders>
              <w:top w:val="single" w:sz="4" w:space="0" w:color="auto"/>
              <w:left w:val="nil"/>
              <w:bottom w:val="single" w:sz="4" w:space="0" w:color="auto"/>
              <w:right w:val="nil"/>
            </w:tcBorders>
            <w:vAlign w:val="center"/>
            <w:hideMark/>
          </w:tcPr>
          <w:p w14:paraId="71EB71F1" w14:textId="657A9734" w:rsidR="00F7525E" w:rsidRPr="0002052A" w:rsidRDefault="005B7930">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geo</m:t>
                    </m:r>
                  </m:sub>
                  <m:sup>
                    <m:r>
                      <w:rPr>
                        <w:rFonts w:ascii="Cambria Math" w:hAnsi="Cambria Math"/>
                        <w:sz w:val="18"/>
                        <w:szCs w:val="18"/>
                      </w:rPr>
                      <m:t>m</m:t>
                    </m:r>
                  </m:sup>
                </m:sSub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(39)</m:t>
                </m:r>
              </m:oMath>
            </m:oMathPara>
          </w:p>
        </w:tc>
        <w:tc>
          <w:tcPr>
            <w:tcW w:w="5499" w:type="dxa"/>
            <w:tcBorders>
              <w:top w:val="single" w:sz="4" w:space="0" w:color="auto"/>
              <w:left w:val="nil"/>
              <w:bottom w:val="single" w:sz="4" w:space="0" w:color="auto"/>
              <w:right w:val="nil"/>
            </w:tcBorders>
            <w:vAlign w:val="center"/>
          </w:tcPr>
          <w:p w14:paraId="707F1CE4" w14:textId="2D5D6C73" w:rsidR="00F7525E" w:rsidRPr="0002052A" w:rsidRDefault="00F7525E">
            <w:pPr>
              <w:spacing w:line="276" w:lineRule="auto"/>
              <w:jc w:val="center"/>
              <w:rPr>
                <w:sz w:val="18"/>
                <w:szCs w:val="18"/>
                <w:lang w:val="en-US"/>
              </w:rPr>
            </w:pP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322D7B1D" w:rsidR="00F7525E" w:rsidRPr="0002052A" w:rsidRDefault="005B793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EF</m:t>
                    </m:r>
                  </m:e>
                  <m:sub>
                    <m:r>
                      <w:rPr>
                        <w:rFonts w:ascii="Cambria Math" w:hAnsi="Cambria Math"/>
                        <w:sz w:val="18"/>
                        <w:szCs w:val="18"/>
                      </w:rPr>
                      <m:t>m</m:t>
                    </m:r>
                  </m:sub>
                </m:sSub>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(40)</m:t>
                </m:r>
              </m:oMath>
            </m:oMathPara>
          </w:p>
        </w:tc>
        <w:tc>
          <w:tcPr>
            <w:tcW w:w="5499" w:type="dxa"/>
            <w:tcBorders>
              <w:top w:val="single" w:sz="4" w:space="0" w:color="auto"/>
              <w:left w:val="nil"/>
              <w:bottom w:val="single" w:sz="4" w:space="0" w:color="auto"/>
              <w:right w:val="nil"/>
            </w:tcBorders>
            <w:vAlign w:val="center"/>
            <w:hideMark/>
          </w:tcPr>
          <w:p w14:paraId="3551EAEE" w14:textId="6D9A952B" w:rsidR="00F7525E" w:rsidRPr="0002052A" w:rsidRDefault="00F7525E">
            <w:pPr>
              <w:spacing w:line="276" w:lineRule="auto"/>
              <w:jc w:val="center"/>
              <w:rPr>
                <w:sz w:val="18"/>
                <w:szCs w:val="18"/>
                <w:lang w:val="en-US"/>
              </w:rPr>
            </w:pPr>
            <w:proofErr w:type="spellStart"/>
            <w:r w:rsidRPr="0002052A">
              <w:rPr>
                <w:b/>
                <w:bCs/>
                <w:i/>
                <w:sz w:val="18"/>
                <w:szCs w:val="18"/>
                <w:lang w:val="en-US"/>
              </w:rPr>
              <w:t>C</w:t>
            </w:r>
            <w:r w:rsidRPr="0002052A">
              <w:rPr>
                <w:b/>
                <w:bCs/>
                <w:i/>
                <w:sz w:val="18"/>
                <w:szCs w:val="18"/>
                <w:vertAlign w:val="subscript"/>
                <w:lang w:val="en-US"/>
              </w:rPr>
              <w:t>x</w:t>
            </w:r>
            <w:proofErr w:type="spellEnd"/>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proofErr w:type="spellStart"/>
            <w:r w:rsidRPr="0002052A">
              <w:rPr>
                <w:b/>
                <w:bCs/>
                <w:i/>
                <w:sz w:val="18"/>
                <w:szCs w:val="18"/>
                <w:lang w:val="en-US"/>
              </w:rPr>
              <w:t>C</w:t>
            </w:r>
            <w:r w:rsidRPr="0002052A">
              <w:rPr>
                <w:b/>
                <w:bCs/>
                <w:i/>
                <w:sz w:val="18"/>
                <w:szCs w:val="18"/>
                <w:vertAlign w:val="subscript"/>
                <w:lang w:val="en-US"/>
              </w:rPr>
              <w:t>x_ref</w:t>
            </w:r>
            <w:proofErr w:type="spellEnd"/>
            <w:r w:rsidRPr="0002052A">
              <w:rPr>
                <w:sz w:val="18"/>
                <w:szCs w:val="18"/>
                <w:lang w:val="en-US"/>
              </w:rPr>
              <w:t xml:space="preserve"> = Reference chemical species background concentration in</w:t>
            </w:r>
            <w:r w:rsidRPr="0002052A">
              <w:rPr>
                <w:rStyle w:val="tlid-translation"/>
                <w:sz w:val="18"/>
                <w:szCs w:val="18"/>
                <w:lang w:val="en"/>
              </w:rPr>
              <w:t xml:space="preserve"> the</w:t>
            </w:r>
            <w:r w:rsidR="00510B45">
              <w:rPr>
                <w:rStyle w:val="tlid-translation"/>
                <w:sz w:val="18"/>
                <w:szCs w:val="18"/>
                <w:lang w:val="en"/>
              </w:rPr>
              <w:t xml:space="preserve"> soil or</w:t>
            </w:r>
            <w:r w:rsidRPr="0002052A">
              <w:rPr>
                <w:rStyle w:val="tlid-translation"/>
                <w:sz w:val="18"/>
                <w:szCs w:val="18"/>
                <w:lang w:val="en"/>
              </w:rPr>
              <w:t xml:space="preserv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proofErr w:type="spellStart"/>
            <w:r w:rsidRPr="00F7525E">
              <w:rPr>
                <w:rFonts w:eastAsia="Times New Roman"/>
                <w:sz w:val="20"/>
                <w:szCs w:val="20"/>
                <w:lang w:eastAsia="pt-BR"/>
              </w:rPr>
              <w:t>menike</w:t>
            </w:r>
            <w:proofErr w:type="spellEnd"/>
            <w:r w:rsidRPr="00F7525E">
              <w:rPr>
                <w:rFonts w:eastAsia="Times New Roman"/>
                <w:sz w:val="20"/>
                <w:szCs w:val="20"/>
                <w:lang w:eastAsia="pt-BR"/>
              </w:rPr>
              <w:t xml:space="preserv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89298D">
        <w:trPr>
          <w:trHeight w:val="706"/>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47C5B188" w:rsidR="001F3EFE" w:rsidRPr="0002052A" w:rsidRDefault="005B793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PLI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hAnsi="Cambria Math"/>
                            <w:sz w:val="18"/>
                            <w:szCs w:val="18"/>
                          </w:rPr>
                          <m:t xml:space="preserve"> (t)</m:t>
                        </m:r>
                      </m:e>
                    </m:nary>
                  </m:e>
                </m:rad>
                <m:r>
                  <w:rPr>
                    <w:rFonts w:ascii="Cambria Math" w:eastAsiaTheme="minorEastAsia" w:hAnsi="Cambria Math"/>
                    <w:sz w:val="18"/>
                    <w:szCs w:val="18"/>
                    <w:lang w:val="en-US"/>
                  </w:rPr>
                  <m:t xml:space="preserve">          (4</m:t>
                </m:r>
                <m:r>
                  <w:rPr>
                    <w:rFonts w:ascii="Cambria Math" w:eastAsiaTheme="minorEastAsia" w:hAnsi="Cambria Math"/>
                    <w:sz w:val="18"/>
                    <w:szCs w:val="18"/>
                    <w:lang w:val="en-US"/>
                  </w:rPr>
                  <m:t>1</m:t>
                </m:r>
                <m:r>
                  <w:rPr>
                    <w:rFonts w:ascii="Cambria Math" w:eastAsiaTheme="minorEastAsia" w:hAnsi="Cambria Math"/>
                    <w:sz w:val="18"/>
                    <w:szCs w:val="18"/>
                    <w:lang w:val="en-US"/>
                  </w:rPr>
                  <m:t>)</m:t>
                </m:r>
              </m:oMath>
            </m:oMathPara>
          </w:p>
        </w:tc>
        <w:tc>
          <w:tcPr>
            <w:tcW w:w="5499" w:type="dxa"/>
            <w:tcBorders>
              <w:top w:val="double" w:sz="4" w:space="0" w:color="auto"/>
              <w:left w:val="nil"/>
              <w:bottom w:val="single" w:sz="4" w:space="0" w:color="auto"/>
              <w:right w:val="nil"/>
            </w:tcBorders>
            <w:vAlign w:val="center"/>
          </w:tcPr>
          <w:p w14:paraId="0FC7B248" w14:textId="6F71B2A1" w:rsidR="001F3EFE" w:rsidRPr="0002052A" w:rsidRDefault="001F3EFE">
            <w:pPr>
              <w:spacing w:line="360" w:lineRule="auto"/>
              <w:jc w:val="center"/>
              <w:rPr>
                <w:b/>
                <w:bCs/>
                <w:i/>
                <w:sz w:val="18"/>
                <w:szCs w:val="18"/>
                <w:lang w:val="en-US"/>
              </w:rPr>
            </w:pPr>
            <w:proofErr w:type="spellStart"/>
            <w:r w:rsidRPr="0002052A">
              <w:rPr>
                <w:rFonts w:eastAsiaTheme="minorEastAsia"/>
                <w:b/>
                <w:bCs/>
                <w:i/>
                <w:sz w:val="18"/>
                <w:szCs w:val="18"/>
                <w:lang w:val="en-US"/>
              </w:rPr>
              <w:t>CF</w:t>
            </w:r>
            <w:r w:rsidRPr="0002052A">
              <w:rPr>
                <w:rFonts w:eastAsiaTheme="minorEastAsia"/>
                <w:b/>
                <w:bCs/>
                <w:i/>
                <w:sz w:val="18"/>
                <w:szCs w:val="18"/>
                <w:vertAlign w:val="subscript"/>
                <w:lang w:val="en-US"/>
              </w:rPr>
              <w:t>m,i</w:t>
            </w:r>
            <w:proofErr w:type="spellEnd"/>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sz w:val="18"/>
                <w:szCs w:val="18"/>
                <w:lang w:val="en-US"/>
              </w:rPr>
              <w:t xml:space="preserve"> at time </w:t>
            </w:r>
            <w:r w:rsidRPr="0002052A">
              <w:rPr>
                <w:i/>
                <w:iCs/>
                <w:sz w:val="18"/>
                <w:szCs w:val="18"/>
                <w:lang w:val="en-US"/>
              </w:rPr>
              <w:t>t</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064E607D" w14:textId="77777777" w:rsidTr="0089298D">
        <w:trPr>
          <w:trHeight w:val="706"/>
          <w:jc w:val="center"/>
        </w:trPr>
        <w:tc>
          <w:tcPr>
            <w:tcW w:w="2127" w:type="dxa"/>
            <w:tcBorders>
              <w:top w:val="single" w:sz="4" w:space="0" w:color="auto"/>
              <w:left w:val="nil"/>
              <w:bottom w:val="single" w:sz="4" w:space="0" w:color="auto"/>
              <w:right w:val="nil"/>
            </w:tcBorders>
            <w:vAlign w:val="center"/>
            <w:hideMark/>
          </w:tcPr>
          <w:p w14:paraId="42443C78" w14:textId="77777777" w:rsidR="00F7525E" w:rsidRPr="00F7525E" w:rsidRDefault="00F7525E">
            <w:pPr>
              <w:spacing w:line="360" w:lineRule="auto"/>
              <w:jc w:val="center"/>
              <w:rPr>
                <w:sz w:val="20"/>
                <w:szCs w:val="20"/>
                <w:lang w:val="en-US"/>
              </w:rPr>
            </w:pPr>
            <w:r w:rsidRPr="00F7525E">
              <w:rPr>
                <w:sz w:val="20"/>
                <w:szCs w:val="20"/>
                <w:lang w:val="en-US"/>
              </w:rPr>
              <w:t>Water combined risk</w:t>
            </w:r>
          </w:p>
        </w:tc>
        <w:tc>
          <w:tcPr>
            <w:tcW w:w="6095" w:type="dxa"/>
            <w:tcBorders>
              <w:top w:val="single" w:sz="4" w:space="0" w:color="auto"/>
              <w:left w:val="nil"/>
              <w:bottom w:val="single" w:sz="4" w:space="0" w:color="auto"/>
              <w:right w:val="nil"/>
            </w:tcBorders>
            <w:vAlign w:val="center"/>
            <w:hideMark/>
          </w:tcPr>
          <w:p w14:paraId="4ED0AF5E" w14:textId="4042FC68" w:rsidR="00F7525E" w:rsidRPr="0002052A" w:rsidRDefault="005B7930">
            <w:pPr>
              <w:spacing w:line="360" w:lineRule="auto"/>
              <w:jc w:val="center"/>
              <w:rPr>
                <w:rFonts w:eastAsia="Calibri"/>
                <w:i/>
                <w:sz w:val="18"/>
                <w:szCs w:val="18"/>
                <w:lang w:val="en-US"/>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W-comb</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1-</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R</m:t>
                                    </m:r>
                                  </m:e>
                                  <m:sub>
                                    <m:r>
                                      <w:rPr>
                                        <w:rStyle w:val="tlid-translation"/>
                                        <w:rFonts w:ascii="Cambria Math" w:eastAsiaTheme="minorEastAsia" w:hAnsi="Cambria Math"/>
                                        <w:sz w:val="18"/>
                                        <w:szCs w:val="18"/>
                                        <w:lang w:val="en-US"/>
                                      </w:rPr>
                                      <m:t xml:space="preserve">w </m:t>
                                    </m:r>
                                  </m:sub>
                                </m:sSub>
                                <m:r>
                                  <w:rPr>
                                    <w:rStyle w:val="tlid-translation"/>
                                    <w:rFonts w:ascii="Cambria Math" w:eastAsiaTheme="minorEastAsia" w:hAnsi="Cambria Math"/>
                                    <w:sz w:val="18"/>
                                    <w:szCs w:val="18"/>
                                    <w:lang w:val="en-US"/>
                                  </w:rPr>
                                  <m:t>(t)</m:t>
                                </m:r>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r>
                  <w:rPr>
                    <w:rStyle w:val="tlid-translation"/>
                    <w:rFonts w:ascii="Cambria Math" w:eastAsiaTheme="minorEastAsia" w:hAnsi="Cambria Math"/>
                    <w:sz w:val="18"/>
                    <w:szCs w:val="18"/>
                    <w:lang w:val="en-US"/>
                  </w:rPr>
                  <m:t>(4</m:t>
                </m:r>
                <m:r>
                  <w:rPr>
                    <w:rStyle w:val="tlid-translation"/>
                    <w:rFonts w:ascii="Cambria Math" w:eastAsiaTheme="minorEastAsia" w:hAnsi="Cambria Math"/>
                    <w:sz w:val="18"/>
                    <w:szCs w:val="18"/>
                    <w:lang w:val="en-US"/>
                  </w:rPr>
                  <m:t>2</m:t>
                </m:r>
                <m:r>
                  <w:rPr>
                    <w:rStyle w:val="tlid-translation"/>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hideMark/>
          </w:tcPr>
          <w:p w14:paraId="36E498F1" w14:textId="77DEBC87" w:rsidR="00F7525E" w:rsidRPr="0002052A" w:rsidRDefault="00F7525E">
            <w:pPr>
              <w:spacing w:line="360" w:lineRule="auto"/>
              <w:jc w:val="center"/>
              <w:rPr>
                <w:b/>
                <w:bCs/>
                <w:i/>
                <w:sz w:val="18"/>
                <w:szCs w:val="18"/>
                <w:lang w:val="en-US"/>
              </w:rPr>
            </w:pPr>
            <w:proofErr w:type="spellStart"/>
            <w:r w:rsidRPr="0002052A">
              <w:rPr>
                <w:b/>
                <w:bCs/>
                <w:i/>
                <w:sz w:val="18"/>
                <w:szCs w:val="18"/>
                <w:lang w:val="en-US"/>
              </w:rPr>
              <w:t>R</w:t>
            </w:r>
            <w:r w:rsidRPr="0002052A">
              <w:rPr>
                <w:b/>
                <w:bCs/>
                <w:i/>
                <w:sz w:val="18"/>
                <w:szCs w:val="18"/>
                <w:vertAlign w:val="subscript"/>
                <w:lang w:val="en-US"/>
              </w:rPr>
              <w:t>Wi</w:t>
            </w:r>
            <w:proofErr w:type="spellEnd"/>
            <w:r w:rsidRPr="0002052A">
              <w:rPr>
                <w:sz w:val="18"/>
                <w:szCs w:val="18"/>
                <w:lang w:val="en-US"/>
              </w:rPr>
              <w:t xml:space="preserve"> </w:t>
            </w:r>
            <w:r w:rsidRPr="0002052A">
              <w:rPr>
                <w:b/>
                <w:bCs/>
                <w:i/>
                <w:iCs/>
                <w:sz w:val="18"/>
                <w:szCs w:val="18"/>
                <w:lang w:val="en-US"/>
              </w:rPr>
              <w:t>(t)</w:t>
            </w:r>
            <w:r w:rsidRPr="0002052A">
              <w:rPr>
                <w:sz w:val="18"/>
                <w:szCs w:val="18"/>
                <w:lang w:val="en-US"/>
              </w:rPr>
              <w:t xml:space="preserve">= </w:t>
            </w:r>
            <w:r w:rsidRPr="0002052A">
              <w:rPr>
                <w:rFonts w:eastAsiaTheme="minorEastAsia"/>
                <w:sz w:val="18"/>
                <w:szCs w:val="18"/>
                <w:lang w:val="en-US"/>
              </w:rPr>
              <w:t xml:space="preserve">Water individual risk for chemical species </w:t>
            </w:r>
            <w:r w:rsidRPr="0002052A">
              <w:rPr>
                <w:rFonts w:eastAsiaTheme="minorEastAsia"/>
                <w:i/>
                <w:iCs/>
                <w:sz w:val="18"/>
                <w:szCs w:val="18"/>
                <w:lang w:val="en-US"/>
              </w:rPr>
              <w:t>j</w:t>
            </w:r>
            <w:r w:rsidRPr="0002052A">
              <w:rPr>
                <w:rFonts w:eastAsiaTheme="minorEastAsia"/>
                <w:sz w:val="18"/>
                <w:szCs w:val="18"/>
                <w:lang w:val="en-US"/>
              </w:rPr>
              <w:t xml:space="preserve"> at time </w:t>
            </w:r>
            <w:r w:rsidRPr="0002052A">
              <w:rPr>
                <w:rFonts w:eastAsiaTheme="minorEastAsia"/>
                <w:i/>
                <w:iCs/>
                <w:sz w:val="18"/>
                <w:szCs w:val="18"/>
                <w:lang w:val="en-US"/>
              </w:rPr>
              <w:t>t</w:t>
            </w:r>
            <w:r w:rsidR="001F3EFE">
              <w:rPr>
                <w:rFonts w:eastAsiaTheme="minorEastAsia"/>
                <w:i/>
                <w:iCs/>
                <w:sz w:val="18"/>
                <w:szCs w:val="18"/>
                <w:lang w:val="en-US"/>
              </w:rPr>
              <w:t>.</w:t>
            </w:r>
          </w:p>
        </w:tc>
        <w:tc>
          <w:tcPr>
            <w:tcW w:w="1539" w:type="dxa"/>
            <w:tcBorders>
              <w:top w:val="single" w:sz="4" w:space="0" w:color="auto"/>
              <w:left w:val="nil"/>
              <w:bottom w:val="single" w:sz="4" w:space="0" w:color="auto"/>
              <w:right w:val="nil"/>
            </w:tcBorders>
            <w:vAlign w:val="center"/>
            <w:hideMark/>
          </w:tcPr>
          <w:p w14:paraId="7ACC2FB0" w14:textId="77777777" w:rsidR="00F7525E" w:rsidRPr="00F7525E" w:rsidRDefault="00F7525E">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Pagliarini</w:t>
            </w:r>
            <w:proofErr w:type="spellEnd"/>
            <w:r w:rsidRPr="00F7525E">
              <w:rPr>
                <w:rFonts w:eastAsia="Times New Roman"/>
                <w:sz w:val="20"/>
                <w:szCs w:val="20"/>
                <w:lang w:val="en-US" w:eastAsia="pt-BR"/>
              </w:rPr>
              <w:t xml:space="preserve">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58CD985E"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1882E0DA" w:rsidR="00F7525E" w:rsidRPr="0002052A" w:rsidRDefault="005B793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3</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proofErr w:type="spellStart"/>
            <w:r w:rsidRPr="00F7525E">
              <w:rPr>
                <w:rFonts w:eastAsia="Times New Roman"/>
                <w:sz w:val="20"/>
                <w:szCs w:val="20"/>
                <w:lang w:eastAsia="pt-BR"/>
              </w:rPr>
              <w:t>akanson</w:t>
            </w:r>
            <w:proofErr w:type="spellEnd"/>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F7525E" w14:paraId="2A41B706"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36724A3E" w:rsidR="00F7525E" w:rsidRPr="0002052A" w:rsidRDefault="005B793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4</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77777777" w:rsidR="00F7525E" w:rsidRPr="00F7525E" w:rsidRDefault="00F7525E">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Qingjie</w:t>
            </w:r>
            <w:proofErr w:type="spellEnd"/>
            <w:r w:rsidRPr="00F7525E">
              <w:rPr>
                <w:rFonts w:eastAsia="Times New Roman"/>
                <w:sz w:val="20"/>
                <w:szCs w:val="20"/>
                <w:lang w:val="en-US" w:eastAsia="pt-BR"/>
              </w:rPr>
              <w:t xml:space="preserve"> e</w:t>
            </w:r>
            <w:r w:rsidRPr="00F7525E">
              <w:rPr>
                <w:rFonts w:eastAsia="Times New Roman"/>
                <w:sz w:val="20"/>
                <w:szCs w:val="20"/>
                <w:lang w:eastAsia="pt-BR"/>
              </w:rPr>
              <w:t xml:space="preserv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(2008)</w:t>
            </w:r>
            <w:r w:rsidRPr="00F7525E">
              <w:rPr>
                <w:rFonts w:eastAsia="Times New Roman"/>
                <w:sz w:val="20"/>
                <w:szCs w:val="20"/>
                <w:lang w:val="en-US" w:eastAsia="pt-BR"/>
              </w:rPr>
              <w:fldChar w:fldCharType="end"/>
            </w:r>
          </w:p>
        </w:tc>
      </w:tr>
      <w:tr w:rsidR="001F3EFE" w:rsidRPr="00456905" w14:paraId="531A27E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0EAB9430" w:rsidR="001F3EFE" w:rsidRPr="0002052A" w:rsidRDefault="005B793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PERI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r</m:t>
                        </m:r>
                      </m:sub>
                      <m:sup>
                        <m:r>
                          <w:rPr>
                            <w:rFonts w:ascii="Cambria Math" w:hAnsi="Cambria Math"/>
                            <w:sz w:val="18"/>
                            <w:szCs w:val="18"/>
                          </w:rPr>
                          <m:t>j</m:t>
                        </m:r>
                      </m:sup>
                    </m:sSubSup>
                  </m:e>
                </m:nary>
                <m:r>
                  <w:rPr>
                    <w:rFonts w:ascii="Cambria Math" w:eastAsiaTheme="minorEastAsia"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eastAsiaTheme="minorEastAsia" w:hAnsi="Cambria Math"/>
                    <w:sz w:val="18"/>
                    <w:szCs w:val="18"/>
                    <w:lang w:val="en-US"/>
                  </w:rPr>
                  <m:t>(t)         (4</m:t>
                </m:r>
                <m:r>
                  <w:rPr>
                    <w:rFonts w:ascii="Cambria Math" w:eastAsiaTheme="minorEastAsia" w:hAnsi="Cambria Math"/>
                    <w:sz w:val="18"/>
                    <w:szCs w:val="18"/>
                    <w:lang w:val="en-US"/>
                  </w:rPr>
                  <m:t>5</m:t>
                </m:r>
                <m:r>
                  <w:rPr>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proofErr w:type="spellStart"/>
            <w:r w:rsidRPr="00F7525E">
              <w:rPr>
                <w:rFonts w:eastAsia="Times New Roman"/>
                <w:sz w:val="20"/>
                <w:szCs w:val="20"/>
                <w:lang w:eastAsia="pt-BR"/>
              </w:rPr>
              <w:t>menike</w:t>
            </w:r>
            <w:proofErr w:type="spellEnd"/>
            <w:r w:rsidRPr="00F7525E">
              <w:rPr>
                <w:rFonts w:eastAsia="Times New Roman"/>
                <w:sz w:val="20"/>
                <w:szCs w:val="20"/>
                <w:lang w:eastAsia="pt-BR"/>
              </w:rPr>
              <w:t xml:space="preserv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051709D6" w:rsidR="004A5350" w:rsidRPr="001F3EFE" w:rsidRDefault="005B7930"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r>
                                  <w:rPr>
                                    <w:rFonts w:ascii="Cambria Math" w:hAnsi="Cambria Math"/>
                                    <w:sz w:val="18"/>
                                    <w:szCs w:val="18"/>
                                    <w:lang w:val="en-US"/>
                                  </w:rPr>
                                  <m:t xml:space="preserve"> (t)</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(4</m:t>
                </m:r>
                <m:r>
                  <w:rPr>
                    <w:rFonts w:ascii="Cambria Math" w:eastAsiaTheme="minorEastAsia" w:hAnsi="Cambria Math"/>
                    <w:sz w:val="18"/>
                    <w:szCs w:val="18"/>
                    <w:lang w:val="en-US"/>
                  </w:rPr>
                  <m:t>6</m:t>
                </m:r>
                <m:r>
                  <w:rPr>
                    <w:rFonts w:ascii="Cambria Math" w:eastAsiaTheme="minorEastAsia" w:hAnsi="Cambria Math"/>
                    <w:sz w:val="18"/>
                    <w:szCs w:val="18"/>
                    <w:lang w:val="en-US"/>
                  </w:rPr>
                  <m:t>)</m:t>
                </m:r>
              </m:oMath>
            </m:oMathPara>
          </w:p>
        </w:tc>
        <w:tc>
          <w:tcPr>
            <w:tcW w:w="5499" w:type="dxa"/>
            <w:tcBorders>
              <w:top w:val="single" w:sz="4" w:space="0" w:color="auto"/>
              <w:left w:val="nil"/>
              <w:bottom w:val="single" w:sz="4" w:space="0" w:color="auto"/>
              <w:right w:val="nil"/>
            </w:tcBorders>
            <w:vAlign w:val="center"/>
          </w:tcPr>
          <w:p w14:paraId="6BF9D048" w14:textId="784ABC7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w:t>
            </w:r>
            <w:proofErr w:type="spellStart"/>
            <w:r w:rsidRPr="0002052A">
              <w:rPr>
                <w:rFonts w:eastAsiaTheme="minorEastAsia"/>
                <w:b/>
                <w:bCs/>
                <w:i/>
                <w:sz w:val="18"/>
                <w:szCs w:val="18"/>
                <w:lang w:val="en-US"/>
              </w:rPr>
              <w:t>PI</w:t>
            </w:r>
            <w:r w:rsidRPr="0002052A">
              <w:rPr>
                <w:rFonts w:eastAsiaTheme="minorEastAsia"/>
                <w:b/>
                <w:bCs/>
                <w:i/>
                <w:sz w:val="18"/>
                <w:szCs w:val="18"/>
                <w:vertAlign w:val="subscript"/>
                <w:lang w:val="en-US"/>
              </w:rPr>
              <w:t>m</w:t>
            </w:r>
            <w:proofErr w:type="spellEnd"/>
            <w:r w:rsidRPr="0002052A">
              <w:rPr>
                <w:sz w:val="18"/>
                <w:szCs w:val="18"/>
                <w:lang w:val="en-US"/>
              </w:rPr>
              <w:t xml:space="preserve"> </w:t>
            </w:r>
            <w:r w:rsidRPr="0002052A">
              <w:rPr>
                <w:b/>
                <w:bCs/>
                <w:i/>
                <w:iCs/>
                <w:sz w:val="18"/>
                <w:szCs w:val="18"/>
                <w:lang w:val="en-US"/>
              </w:rPr>
              <w:t>(t)</w:t>
            </w:r>
            <w:r w:rsidRPr="0002052A">
              <w:rPr>
                <w:rFonts w:eastAsiaTheme="minorEastAsia"/>
                <w:b/>
                <w:bCs/>
                <w:i/>
                <w:sz w:val="18"/>
                <w:szCs w:val="18"/>
                <w:lang w:val="en-US"/>
              </w:rPr>
              <w:t>›</w:t>
            </w:r>
            <w:r w:rsidRPr="0002052A">
              <w:rPr>
                <w:sz w:val="18"/>
                <w:szCs w:val="18"/>
                <w:lang w:val="en-US"/>
              </w:rPr>
              <w:t xml:space="preserve"> = Average values of the single pollution index at time </w:t>
            </w:r>
            <w:r w:rsidRPr="0002052A">
              <w:rPr>
                <w:i/>
                <w:iCs/>
                <w:sz w:val="18"/>
                <w:szCs w:val="18"/>
                <w:lang w:val="en-US"/>
              </w:rPr>
              <w:t>t</w:t>
            </w:r>
            <w:r w:rsidRPr="0002052A">
              <w:rPr>
                <w:sz w:val="18"/>
                <w:szCs w:val="18"/>
                <w:lang w:val="en-US"/>
              </w:rPr>
              <w:t xml:space="preserve">; </w:t>
            </w:r>
            <w:proofErr w:type="spellStart"/>
            <w:r w:rsidRPr="0002052A">
              <w:rPr>
                <w:rFonts w:eastAsiaTheme="minorEastAsia"/>
                <w:b/>
                <w:bCs/>
                <w:i/>
                <w:sz w:val="18"/>
                <w:szCs w:val="18"/>
                <w:lang w:val="en-US"/>
              </w:rPr>
              <w:t>PI</w:t>
            </w:r>
            <w:r w:rsidRPr="0002052A">
              <w:rPr>
                <w:rFonts w:eastAsiaTheme="minorEastAsia"/>
                <w:b/>
                <w:bCs/>
                <w:i/>
                <w:sz w:val="18"/>
                <w:szCs w:val="18"/>
                <w:vertAlign w:val="subscript"/>
                <w:lang w:val="en-US"/>
              </w:rPr>
              <w:t>m</w:t>
            </w:r>
            <w:proofErr w:type="spellEnd"/>
            <w:r w:rsidRPr="0002052A">
              <w:rPr>
                <w:rFonts w:eastAsiaTheme="minorEastAsia"/>
                <w:b/>
                <w:bCs/>
                <w:i/>
                <w:sz w:val="18"/>
                <w:szCs w:val="18"/>
                <w:vertAlign w:val="subscript"/>
                <w:lang w:val="en-US"/>
              </w:rPr>
              <w:t xml:space="preserve"> </w:t>
            </w:r>
            <w:r w:rsidRPr="0002052A">
              <w:rPr>
                <w:rFonts w:eastAsiaTheme="minorEastAsia"/>
                <w:b/>
                <w:bCs/>
                <w:i/>
                <w:sz w:val="18"/>
                <w:szCs w:val="18"/>
                <w:vertAlign w:val="superscript"/>
                <w:lang w:val="en-US"/>
              </w:rPr>
              <w:t>max</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Maximum obtained value of the single pollution index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proofErr w:type="spellStart"/>
            <w:r w:rsidRPr="00F7525E">
              <w:rPr>
                <w:rStyle w:val="tlid-translation"/>
                <w:color w:val="000000" w:themeColor="text1"/>
                <w:sz w:val="20"/>
                <w:szCs w:val="20"/>
                <w:lang w:val="en-US"/>
              </w:rPr>
              <w:t>Keshavarzi</w:t>
            </w:r>
            <w:proofErr w:type="spellEnd"/>
            <w:r w:rsidRPr="00F7525E">
              <w:rPr>
                <w:rStyle w:val="tlid-translation"/>
                <w:color w:val="000000" w:themeColor="text1"/>
                <w:sz w:val="20"/>
                <w:szCs w:val="20"/>
                <w:lang w:val="en-US"/>
              </w:rPr>
              <w:t xml:space="preserve">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559CEBAC"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m:t>
                    </m:r>
                    <m:r>
                      <w:rPr>
                        <w:rFonts w:ascii="Cambria Math" w:eastAsiaTheme="minorEastAsia" w:hAnsi="Cambria Math"/>
                        <w:sz w:val="18"/>
                        <w:szCs w:val="18"/>
                        <w:lang w:val="en-US"/>
                      </w:rPr>
                      <m:t>7</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1537D3B5" w:rsidR="004A5350" w:rsidRPr="00F7525E" w:rsidRDefault="005B7930" w:rsidP="004A5350">
            <w:pPr>
              <w:spacing w:line="360" w:lineRule="auto"/>
              <w:jc w:val="center"/>
              <w:rPr>
                <w:rFonts w:eastAsia="Times New Roman"/>
                <w:sz w:val="20"/>
                <w:szCs w:val="20"/>
                <w:lang w:val="en-US" w:eastAsia="pt-BR"/>
              </w:rPr>
            </w:pPr>
            <w:r>
              <w:rPr>
                <w:rStyle w:val="tlid-translation"/>
                <w:sz w:val="20"/>
                <w:szCs w:val="20"/>
                <w:lang w:val="en"/>
              </w:rPr>
              <w:t>Gao</w:t>
            </w:r>
            <w:r w:rsidR="004A5350" w:rsidRPr="00F7525E">
              <w:rPr>
                <w:rStyle w:val="tlid-translation"/>
                <w:sz w:val="20"/>
                <w:szCs w:val="20"/>
                <w:lang w:val="en"/>
              </w:rPr>
              <w:t xml:space="preserve"> et al. </w:t>
            </w:r>
            <w:r w:rsidR="003D7BCF">
              <w:rPr>
                <w:rStyle w:val="tlid-translation"/>
                <w:sz w:val="20"/>
                <w:szCs w:val="20"/>
                <w:lang w:val="en"/>
              </w:rPr>
              <w:fldChar w:fldCharType="begin" w:fldLock="1"/>
            </w:r>
            <w:r w:rsidR="006460FE">
              <w:rPr>
                <w:rStyle w:val="tlid-translation"/>
                <w:sz w:val="20"/>
                <w:szCs w:val="20"/>
                <w:lang w:val="en"/>
              </w:rPr>
              <w:instrText>ADDIN CSL_CITATION {"citationItems":[{"id":"ITEM-1","itemData":{"DOI":"10.1016/j.marpolbul.2012.04.026","ISSN":"0025326X","PMID":"22704147","abstract":"Surface sediments from intertidal Bohai Bay were sampled for the geochemical and environmental assessment of six trace metals (Cd, Cr, Cu, Ni, Pb and Zn). Results indicate that sediment grain size plays an important role in controlling the distribution and fractionation of them. Metal concentrations in clayey silt sediments are all clearly higher than in sand and silty sand ones. Cd and Pb in clayey silt sediments are more mobile than in sand and silty sand ones. Two sediment quality guidelines and two geochemical normalization methods (index of geoaccumulation and enrichment factor) were used to judge the potential risk and accumulation of metals. According to the mean probable effects level quotient, the combination of studied metals may have a 21% probability of being toxic. The sediments with high fraction of clay and silt have been contaminated by trace metals to various degrees, among which Cr contributes the most to contamination. © 2012 Published by Elsevier Ltd.","author":[{"dropping-particle":"","family":"Gao","given":"Xuelu","non-dropping-particle":"","parse-names":false,"suffix":""},{"dropping-particle":"","family":"Li","given":"Peimiao","non-dropping-particle":"","parse-names":false,"suffix":""}],"container-title":"Marine Pollution Bulletin","id":"ITEM-1","issue":"8","issued":{"date-parts":[["2012","8"]]},"page":"1529-1536","publisher":"Elsevier Ltd","title":"Concentration and fractionation of trace metals in surface sediments of intertidal Bohai Bay, China","type":"article-journal","volume":"64"},"suppress-author":1,"uris":["http://www.mendeley.com/documents/?uuid=52a34470-9a48-4093-97e0-3b0d54f41ca0"]}],"mendeley":{"formattedCitation":"(2012)","plainTextFormattedCitation":"(2012)","previouslyFormattedCitation":"(2012)"},"properties":{"noteIndex":0},"schema":"https://github.com/citation-style-language/schema/raw/master/csl-citation.json"}</w:instrText>
            </w:r>
            <w:r w:rsidR="003D7BCF">
              <w:rPr>
                <w:rStyle w:val="tlid-translation"/>
                <w:sz w:val="20"/>
                <w:szCs w:val="20"/>
                <w:lang w:val="en"/>
              </w:rPr>
              <w:fldChar w:fldCharType="separate"/>
            </w:r>
            <w:r w:rsidR="003D7BCF" w:rsidRPr="003D7BCF">
              <w:rPr>
                <w:rStyle w:val="tlid-translation"/>
                <w:noProof/>
                <w:sz w:val="20"/>
                <w:szCs w:val="20"/>
                <w:lang w:val="en"/>
              </w:rPr>
              <w:t>(2012)</w:t>
            </w:r>
            <w:r w:rsidR="003D7BCF">
              <w:rPr>
                <w:rStyle w:val="tlid-translation"/>
                <w:sz w:val="20"/>
                <w:szCs w:val="20"/>
                <w:lang w:val="en"/>
              </w:rPr>
              <w:fldChar w:fldCharType="end"/>
            </w:r>
          </w:p>
        </w:tc>
      </w:tr>
      <w:tr w:rsidR="00FC1871" w:rsidRPr="00510B45" w14:paraId="26E6019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86DA0C6" w14:textId="7E892F42" w:rsidR="00FC1871" w:rsidRDefault="00FC1871" w:rsidP="00FC1871">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1C668FE0" w:rsidR="00FC1871" w:rsidRPr="001F3EFE" w:rsidRDefault="00FC1871" w:rsidP="00FC1871">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48</m:t>
                    </m:r>
                  </m:e>
                </m:d>
              </m:oMath>
            </m:oMathPara>
          </w:p>
        </w:tc>
        <w:tc>
          <w:tcPr>
            <w:tcW w:w="5499" w:type="dxa"/>
            <w:tcBorders>
              <w:top w:val="single" w:sz="4" w:space="0" w:color="auto"/>
              <w:left w:val="nil"/>
              <w:bottom w:val="single" w:sz="4" w:space="0" w:color="auto"/>
              <w:right w:val="nil"/>
            </w:tcBorders>
            <w:vAlign w:val="center"/>
          </w:tcPr>
          <w:p w14:paraId="43F5461D" w14:textId="07BA1316" w:rsidR="00FC1871" w:rsidRPr="001F3EFE" w:rsidRDefault="00FC1871" w:rsidP="00FC1871">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5BA15B89" w:rsidR="00FC1871" w:rsidRPr="00FC1871" w:rsidRDefault="00FC1871" w:rsidP="00FC1871">
            <w:pPr>
              <w:spacing w:line="360" w:lineRule="auto"/>
              <w:jc w:val="center"/>
              <w:rPr>
                <w:rFonts w:eastAsia="Times New Roman"/>
                <w:sz w:val="20"/>
                <w:szCs w:val="20"/>
                <w:lang w:val="en-US" w:eastAsia="pt-BR"/>
              </w:rPr>
            </w:pPr>
            <w:r w:rsidRPr="00FC1871">
              <w:rPr>
                <w:rFonts w:eastAsia="Times New Roman"/>
                <w:sz w:val="20"/>
                <w:szCs w:val="20"/>
                <w:lang w:val="en-US" w:eastAsia="pt-BR"/>
              </w:rPr>
              <w:t xml:space="preserve">Gu et al. </w:t>
            </w:r>
            <w:r w:rsidRPr="00FC1871">
              <w:rPr>
                <w:rFonts w:eastAsia="Times New Roman"/>
                <w:sz w:val="20"/>
                <w:szCs w:val="20"/>
                <w:lang w:val="en-US" w:eastAsia="pt-BR"/>
              </w:rPr>
              <w:fldChar w:fldCharType="begin" w:fldLock="1"/>
            </w:r>
            <w:r w:rsidR="003D7BCF">
              <w:rPr>
                <w:rFonts w:eastAsia="Times New Roman"/>
                <w:sz w:val="20"/>
                <w:szCs w:val="20"/>
                <w:lang w:val="en-US" w:eastAsia="pt-BR"/>
              </w:rPr>
              <w:instrText>ADDIN CSL_CITATION {"citationItems":[{"id":"ITEM-1","itemData":{"DOI":"10.1016/j.marpolbul.2016.06.025","ISSN":"0025326X","PMID":"27287864","abstract":"We investigated distribution, sources, and potential risks of polycyclic aromatic hydrocarbons (PAHs) in the surface sediments from the largest mariculture base in the eastern part of the province of Guangdong in southern China. Total concentrations of ∑ PAHs were 29.38–815.46 ng/g (dry weight), with a mean of 421.48 ng/g. The composition of PAHs was characterized by an abundance of low molecular weight PAHs (2–3 benzenoid ring), and Phenanthrene (PHE), Anthracene (AN) and Fluoranthene (FA) were the predominant constituents. PAHs in this area appear to have mainly originated from petroleum sources and the combustion of grass, wood, and coal. PAHs in surface sediments of Zhelin Bay had a 9% incidence of causing adverse biological effects on aquatic organisms, according to the mean effects range–median quotient.","author":[{"dropping-particle":"","family":"Gu","given":"Yang-Guang","non-dropping-particle":"","parse-names":false,"suffix":""},{"dropping-particle":"","family":"Ke","given":"Chang-Liang","non-dropping-particle":"","parse-names":false,"suffix":""},{"dropping-particle":"","family":"Liu","given":"Qi","non-dropping-particle":"","parse-names":false,"suffix":""},{"dropping-particle":"","family":"Lin","given":"Qin","non-dropping-particle":"","parse-names":false,"suffix":""}],"container-title":"Marine Pollution Bulletin","id":"ITEM-1","issue":"1","issued":{"date-parts":[["2016","9"]]},"page":"603-608","publisher":"Elsevier Ltd","title":"Polycyclic aromatic hydrocarbons (PAHs) in sediments of Zhelin Bay, the largest mariculture base on the eastern Guangdong coast, South China: Characterization and risk implications","type":"article-journal","volume":"110"},"suppress-author":1,"uris":["http://www.mendeley.com/documents/?uuid=6aa21cdc-af30-4d5c-b6b1-8a3003469e91"]}],"mendeley":{"formattedCitation":"(2016)","plainTextFormattedCitation":"(2016)","previouslyFormattedCitation":"(2016)"},"properties":{"noteIndex":0},"schema":"https://github.com/citation-style-language/schema/raw/master/csl-citation.json"}</w:instrText>
            </w:r>
            <w:r w:rsidRPr="00FC1871">
              <w:rPr>
                <w:rFonts w:eastAsia="Times New Roman"/>
                <w:sz w:val="20"/>
                <w:szCs w:val="20"/>
                <w:lang w:val="en-US" w:eastAsia="pt-BR"/>
              </w:rPr>
              <w:fldChar w:fldCharType="separate"/>
            </w:r>
            <w:r w:rsidRPr="00FC1871">
              <w:rPr>
                <w:rFonts w:eastAsia="Times New Roman"/>
                <w:noProof/>
                <w:sz w:val="20"/>
                <w:szCs w:val="20"/>
                <w:lang w:val="en-US" w:eastAsia="pt-BR"/>
              </w:rPr>
              <w:t>(2016)</w:t>
            </w:r>
            <w:r w:rsidRPr="00FC1871">
              <w:rPr>
                <w:rFonts w:eastAsia="Times New Roman"/>
                <w:sz w:val="20"/>
                <w:szCs w:val="20"/>
                <w:lang w:val="en-US" w:eastAsia="pt-BR"/>
              </w:rPr>
              <w:fldChar w:fldCharType="end"/>
            </w:r>
          </w:p>
        </w:tc>
      </w:tr>
      <w:tr w:rsidR="00FC1871" w:rsidRPr="00F7525E" w14:paraId="349553C5" w14:textId="77777777" w:rsidTr="0089298D">
        <w:trPr>
          <w:trHeight w:val="839"/>
          <w:jc w:val="center"/>
        </w:trPr>
        <w:tc>
          <w:tcPr>
            <w:tcW w:w="2127" w:type="dxa"/>
            <w:tcBorders>
              <w:top w:val="single" w:sz="4" w:space="0" w:color="auto"/>
              <w:left w:val="nil"/>
              <w:bottom w:val="double" w:sz="4" w:space="0" w:color="auto"/>
              <w:right w:val="nil"/>
            </w:tcBorders>
            <w:vAlign w:val="center"/>
            <w:hideMark/>
          </w:tcPr>
          <w:p w14:paraId="0ECE7437" w14:textId="77777777" w:rsidR="00FC1871" w:rsidRPr="00F7525E" w:rsidRDefault="00FC1871" w:rsidP="00FC1871">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1B5146EB" w:rsidR="00FC1871" w:rsidRPr="0002052A" w:rsidRDefault="00FC1871" w:rsidP="00FC1871">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z</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(49)</m:t>
                </m:r>
              </m:oMath>
            </m:oMathPara>
          </w:p>
        </w:tc>
        <w:tc>
          <w:tcPr>
            <w:tcW w:w="5499" w:type="dxa"/>
            <w:tcBorders>
              <w:top w:val="single" w:sz="4" w:space="0" w:color="auto"/>
              <w:left w:val="nil"/>
              <w:bottom w:val="double" w:sz="4" w:space="0" w:color="auto"/>
              <w:right w:val="nil"/>
            </w:tcBorders>
            <w:vAlign w:val="center"/>
            <w:hideMark/>
          </w:tcPr>
          <w:p w14:paraId="26650DDB" w14:textId="77777777" w:rsidR="00FC1871" w:rsidRPr="0002052A" w:rsidRDefault="00FC1871" w:rsidP="00FC1871">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1CC50CE1" w:rsidR="00FC1871" w:rsidRPr="003D7BCF" w:rsidRDefault="003D7BCF" w:rsidP="00FC1871">
            <w:pPr>
              <w:spacing w:line="360" w:lineRule="auto"/>
              <w:jc w:val="center"/>
              <w:rPr>
                <w:rFonts w:eastAsia="Times New Roman"/>
                <w:sz w:val="20"/>
                <w:szCs w:val="20"/>
                <w:lang w:val="en-US" w:eastAsia="pt-BR"/>
              </w:rPr>
            </w:pPr>
            <w:r w:rsidRPr="003D7BCF">
              <w:rPr>
                <w:rFonts w:eastAsia="Times New Roman"/>
                <w:sz w:val="20"/>
                <w:szCs w:val="20"/>
                <w:lang w:val="en-US" w:eastAsia="pt-BR"/>
              </w:rPr>
              <w:t xml:space="preserve">Zhang et al. </w:t>
            </w:r>
            <w:r w:rsidRPr="003D7BCF">
              <w:rPr>
                <w:rFonts w:eastAsia="Times New Roman"/>
                <w:sz w:val="20"/>
                <w:szCs w:val="20"/>
                <w:lang w:val="en-US" w:eastAsia="pt-BR"/>
              </w:rPr>
              <w:fldChar w:fldCharType="begin" w:fldLock="1"/>
            </w:r>
            <w:r w:rsidRPr="003D7BCF">
              <w:rPr>
                <w:rFonts w:eastAsia="Times New Roman"/>
                <w:sz w:val="20"/>
                <w:szCs w:val="20"/>
                <w:lang w:val="en-US" w:eastAsia="pt-BR"/>
              </w:rPr>
              <w:instrText>ADDIN CSL_CITATION {"citationItems":[{"id":"ITEM-1","itemData":{"DOI":"10.1016/j.ecolind.2016.04.042","ISSN":"1470160X","abstract":"Surface soil (0-20 cm) samples were collected from four chronological sequences of wetlands (i.e., &gt;50-yr-old wetlands, 40-yr-old wetlands, 30-yr-old wetlands and 10-yr-old wetlands) in the Yellow River Delta of China in May and June of 2007. Total contents of Al, As, Cd, Cr, Cu, Ni, Pb and Zn were determined using inductively coupled plasma atomic absorption spectrometry (ICP-AAS) to investigate the levels, sources and toxic risks of heavy metals in these wetlands. Our results showed an decreasing trend for Pb, Cu and Zn along the wetland-forming chronosequence although their pollution levels were low. Both As and Cd exhibited significant enrichment due to their high enrichment factor (EF) values (EF&gt;5), especially in older wetlands (i.e.,&gt;50-yr-old and 40-yr-old wetlands), whereas other heavy metals were minimally or moderately enriched in this region. The results of principal component analysis showed that 83.09% of total variance based on eigenvalues (eigenvalue&gt;1) could be explained by three principal components (PCs) in four wetlands. The source of Al, Cu, Pb and Zn was different from Cd, Cr and Ni. According to the sediment quality guidelines (SQGs) of China, soil samples in the younger wetlands, especially the 10-yr-old wetlands, were moderately polluted by As, Cd and Ni. According to the SQGs of US EPA, all soil samples were heavily polluted by As and moderately polluted by Ni and soil samples in the older wetlands were moderately polluted by Cr. However, with the exception of As and Ni, the contents of other heavy metals in the four wetlands did not exceed the probable effect level (PEL) values. As, Cd and Ni were identified as heavy metals of primary concerns in four wetlands, Cr were of moderate concern in older wetlands, and Pb, Cu and Zn should be paid more attention in younger wetland (i.e., 10-yr-old and 30-yr-old wetlands). A new and sensitive toxic risk index (TRI) is developed for the accurate assessment of toxic risk for heavy metals in wetland soils compared with the sum of the toxic units (TUs), and As, Cr, Ni and Cd showed higher contributions to TRI.","author":[{"dropping-particle":"","family":"Zhang","given":"Guangliang","non-dropping-particle":"","parse-names":false,"suffix":""},{"dropping-particle":"","family":"Bai","given":"Junhong","non-dropping-particle":"","parse-names":false,"suffix":""},{"dropping-particle":"","family":"Zhao","given":"Qingqing","non-dropping-particle":"","parse-names":false,"suffix":""},{"dropping-particle":"","family":"Lu","given":"Qiongqiong","non-dropping-particle":"","parse-names":false,"suffix":""},{"dropping-particle":"","family":"Jia","given":"Jia","non-dropping-particle":"","parse-names":false,"suffix":""},{"dropping-particle":"","family":"Wen","given":"Xiaojun","non-dropping-particle":"","parse-names":false,"suffix":""}],"container-title":"Ecological Indicators","id":"ITEM-1","issued":{"date-parts":[["2016","10"]]},"page":"331-339","publisher":"Elsevier Ltd","title":"Heavy metals in wetland soils along a wetland-forming chronosequence in the Yellow River Delta of China: Levels, sources and toxic risks","type":"article-journal","volume":"69"},"suppress-author":1,"uris":["http://www.mendeley.com/documents/?uuid=880c3984-35eb-4e6a-b8ef-e4230981e770"]}],"mendeley":{"formattedCitation":"(2016)","plainTextFormattedCitation":"(2016)","previouslyFormattedCitation":"(2016)"},"properties":{"noteIndex":0},"schema":"https://github.com/citation-style-language/schema/raw/master/csl-citation.json"}</w:instrText>
            </w:r>
            <w:r w:rsidRPr="003D7BCF">
              <w:rPr>
                <w:rFonts w:eastAsia="Times New Roman"/>
                <w:sz w:val="20"/>
                <w:szCs w:val="20"/>
                <w:lang w:val="en-US" w:eastAsia="pt-BR"/>
              </w:rPr>
              <w:fldChar w:fldCharType="separate"/>
            </w:r>
            <w:r w:rsidRPr="003D7BCF">
              <w:rPr>
                <w:rFonts w:eastAsia="Times New Roman"/>
                <w:noProof/>
                <w:sz w:val="20"/>
                <w:szCs w:val="20"/>
                <w:lang w:val="en-US" w:eastAsia="pt-BR"/>
              </w:rPr>
              <w:t>(2016)</w:t>
            </w:r>
            <w:r w:rsidRPr="003D7BCF">
              <w:rPr>
                <w:rFonts w:eastAsia="Times New Roman"/>
                <w:sz w:val="20"/>
                <w:szCs w:val="20"/>
                <w:lang w:val="en-US" w:eastAsia="pt-BR"/>
              </w:rPr>
              <w:fldChar w:fldCharType="end"/>
            </w:r>
          </w:p>
        </w:tc>
      </w:tr>
      <w:tr w:rsidR="00FC1871"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C1871" w:rsidRPr="00F7525E" w:rsidRDefault="00FC1871" w:rsidP="00FC1871">
            <w:pPr>
              <w:jc w:val="center"/>
              <w:rPr>
                <w:rFonts w:eastAsia="Times New Roman"/>
                <w:sz w:val="20"/>
                <w:szCs w:val="20"/>
                <w:lang w:val="en-US" w:eastAsia="pt-BR"/>
              </w:rPr>
            </w:pPr>
            <w:r w:rsidRPr="00F7525E">
              <w:rPr>
                <w:b/>
                <w:bCs/>
                <w:sz w:val="20"/>
                <w:szCs w:val="20"/>
                <w:lang w:val="en-US"/>
              </w:rPr>
              <w:t>Integrated pollution indices</w:t>
            </w:r>
          </w:p>
        </w:tc>
      </w:tr>
      <w:tr w:rsidR="00FC1871"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C1871" w:rsidRPr="00F7525E" w:rsidRDefault="00FC1871" w:rsidP="00FC1871">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46424955" w:rsidR="00FC1871" w:rsidRPr="00F7525E" w:rsidRDefault="00FC1871" w:rsidP="00FC1871">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r>
                          <w:rPr>
                            <w:rStyle w:val="tlid-translation"/>
                            <w:rFonts w:ascii="Cambria Math" w:eastAsiaTheme="minorEastAsia" w:hAnsi="Cambria Math"/>
                            <w:sz w:val="18"/>
                            <w:szCs w:val="18"/>
                          </w:rPr>
                          <m:t xml:space="preserve"> (t)</m:t>
                        </m:r>
                      </m:num>
                      <m:den>
                        <m:r>
                          <w:rPr>
                            <w:rFonts w:ascii="Cambria Math" w:hAnsi="Cambria Math"/>
                            <w:sz w:val="18"/>
                            <w:szCs w:val="18"/>
                            <w:lang w:val="en-US"/>
                          </w:rPr>
                          <m:t>MPI (t)</m:t>
                        </m:r>
                      </m:den>
                    </m:f>
                  </m:e>
                </m:d>
                <m:r>
                  <w:rPr>
                    <w:rFonts w:ascii="Cambria Math" w:eastAsiaTheme="minorEastAsia" w:hAnsi="Cambria Math"/>
                    <w:sz w:val="18"/>
                    <w:szCs w:val="18"/>
                    <w:lang w:val="en-US"/>
                  </w:rPr>
                  <m:t xml:space="preserve">         (50)</m:t>
                </m:r>
              </m:oMath>
            </m:oMathPara>
          </w:p>
        </w:tc>
        <w:tc>
          <w:tcPr>
            <w:tcW w:w="5499" w:type="dxa"/>
            <w:tcBorders>
              <w:top w:val="double" w:sz="4" w:space="0" w:color="auto"/>
              <w:left w:val="nil"/>
              <w:bottom w:val="double" w:sz="4" w:space="0" w:color="auto"/>
              <w:right w:val="nil"/>
            </w:tcBorders>
            <w:vAlign w:val="center"/>
            <w:hideMark/>
          </w:tcPr>
          <w:p w14:paraId="57AD7042" w14:textId="77777777" w:rsidR="00FC1871" w:rsidRPr="0002052A" w:rsidRDefault="00FC1871" w:rsidP="00FC1871">
            <w:pPr>
              <w:spacing w:line="360" w:lineRule="auto"/>
              <w:jc w:val="center"/>
              <w:rPr>
                <w:sz w:val="18"/>
                <w:szCs w:val="18"/>
                <w:lang w:val="en-US"/>
              </w:rPr>
            </w:pPr>
            <w:proofErr w:type="spellStart"/>
            <w:r w:rsidRPr="0002052A">
              <w:rPr>
                <w:b/>
                <w:bCs/>
                <w:i/>
                <w:sz w:val="18"/>
                <w:szCs w:val="18"/>
                <w:lang w:val="en-US"/>
              </w:rPr>
              <w:t>PLI</w:t>
            </w:r>
            <w:r w:rsidRPr="0002052A">
              <w:rPr>
                <w:b/>
                <w:bCs/>
                <w:i/>
                <w:sz w:val="18"/>
                <w:szCs w:val="18"/>
                <w:vertAlign w:val="subscript"/>
                <w:lang w:val="en-US"/>
              </w:rPr>
              <w:t>sed</w:t>
            </w:r>
            <w:proofErr w:type="spellEnd"/>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at time </w:t>
            </w:r>
            <w:r w:rsidRPr="0002052A">
              <w:rPr>
                <w:i/>
                <w:iCs/>
                <w:sz w:val="18"/>
                <w:szCs w:val="18"/>
                <w:lang w:val="en-US"/>
              </w:rPr>
              <w:t>t</w:t>
            </w:r>
            <w:r w:rsidRPr="0002052A">
              <w:rPr>
                <w:sz w:val="18"/>
                <w:szCs w:val="18"/>
                <w:lang w:val="en-US"/>
              </w:rPr>
              <w:t xml:space="preserve">; </w:t>
            </w:r>
            <w:r w:rsidRPr="0002052A">
              <w:rPr>
                <w:b/>
                <w:bCs/>
                <w:i/>
                <w:sz w:val="18"/>
                <w:szCs w:val="18"/>
                <w:lang w:val="en-US"/>
              </w:rPr>
              <w:t xml:space="preserve">MPI (t) </w:t>
            </w:r>
            <w:r w:rsidRPr="0002052A">
              <w:rPr>
                <w:iCs/>
                <w:sz w:val="18"/>
                <w:szCs w:val="18"/>
                <w:lang w:val="en-US"/>
              </w:rPr>
              <w:t xml:space="preserve">= </w:t>
            </w:r>
            <w:r w:rsidRPr="0002052A">
              <w:rPr>
                <w:sz w:val="18"/>
                <w:szCs w:val="18"/>
                <w:lang w:val="en-US"/>
              </w:rPr>
              <w:t>Metal pollution index at time</w:t>
            </w:r>
            <w:r w:rsidRPr="0002052A">
              <w:rPr>
                <w:i/>
                <w:iCs/>
                <w:sz w:val="18"/>
                <w:szCs w:val="18"/>
                <w:lang w:val="en-US"/>
              </w:rPr>
              <w:t xml:space="preserve"> t</w:t>
            </w:r>
            <w:r w:rsidRPr="0002052A">
              <w:rPr>
                <w:sz w:val="18"/>
                <w:szCs w:val="18"/>
                <w:lang w:val="en-US"/>
              </w:rPr>
              <w:t>.</w:t>
            </w:r>
          </w:p>
        </w:tc>
        <w:tc>
          <w:tcPr>
            <w:tcW w:w="1539" w:type="dxa"/>
            <w:tcBorders>
              <w:top w:val="double" w:sz="4" w:space="0" w:color="auto"/>
              <w:left w:val="nil"/>
              <w:bottom w:val="double" w:sz="4" w:space="0" w:color="auto"/>
              <w:right w:val="nil"/>
            </w:tcBorders>
            <w:vAlign w:val="center"/>
            <w:hideMark/>
          </w:tcPr>
          <w:p w14:paraId="33B86BA5" w14:textId="77777777" w:rsidR="00FC1871" w:rsidRPr="00F7525E" w:rsidRDefault="00FC1871" w:rsidP="00FC1871">
            <w:pPr>
              <w:spacing w:line="360" w:lineRule="auto"/>
              <w:jc w:val="center"/>
              <w:rPr>
                <w:rFonts w:eastAsia="Times New Roman"/>
                <w:sz w:val="20"/>
                <w:szCs w:val="20"/>
                <w:lang w:val="en-US" w:eastAsia="pt-BR"/>
              </w:rPr>
            </w:pPr>
            <w:proofErr w:type="spellStart"/>
            <w:r w:rsidRPr="00F7525E">
              <w:rPr>
                <w:rFonts w:eastAsia="Times New Roman"/>
                <w:sz w:val="20"/>
                <w:szCs w:val="20"/>
                <w:lang w:val="en-US" w:eastAsia="pt-BR"/>
              </w:rPr>
              <w:t>Sedeño</w:t>
            </w:r>
            <w:proofErr w:type="spellEnd"/>
            <w:r w:rsidRPr="00F7525E">
              <w:rPr>
                <w:rFonts w:eastAsia="Times New Roman"/>
                <w:sz w:val="20"/>
                <w:szCs w:val="20"/>
                <w:lang w:val="en-US" w:eastAsia="pt-BR"/>
              </w:rPr>
              <w:t xml:space="preserve">-Díaz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C1871"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FC1871" w:rsidRPr="00F7525E" w:rsidRDefault="00FC1871" w:rsidP="00FC1871">
            <w:pPr>
              <w:jc w:val="center"/>
              <w:rPr>
                <w:i/>
                <w:iCs/>
                <w:sz w:val="20"/>
                <w:szCs w:val="20"/>
                <w:lang w:val="en-US"/>
              </w:rPr>
            </w:pPr>
            <w:r w:rsidRPr="00F7525E">
              <w:rPr>
                <w:b/>
                <w:bCs/>
                <w:sz w:val="20"/>
                <w:szCs w:val="20"/>
                <w:lang w:val="en-US"/>
              </w:rPr>
              <w:lastRenderedPageBreak/>
              <w:t>Integrated pollution indices</w:t>
            </w:r>
          </w:p>
        </w:tc>
      </w:tr>
      <w:tr w:rsidR="00FC1871"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C1871" w:rsidRPr="00F7525E" w:rsidRDefault="00FC1871" w:rsidP="00FC1871">
            <w:pPr>
              <w:jc w:val="center"/>
              <w:rPr>
                <w:rFonts w:eastAsia="Times New Roman"/>
                <w:i/>
                <w:iCs/>
                <w:sz w:val="20"/>
                <w:szCs w:val="20"/>
                <w:lang w:val="en-US" w:eastAsia="pt-BR"/>
              </w:rPr>
            </w:pPr>
            <w:r w:rsidRPr="00F7525E">
              <w:rPr>
                <w:i/>
                <w:iCs/>
                <w:sz w:val="20"/>
                <w:szCs w:val="20"/>
                <w:lang w:val="en-US"/>
              </w:rPr>
              <w:t>Chemical Line of Evidence</w:t>
            </w:r>
          </w:p>
        </w:tc>
      </w:tr>
      <w:tr w:rsidR="00FC1871"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C1871" w:rsidRPr="00F7525E" w:rsidRDefault="00FC1871" w:rsidP="00FC1871">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4EE207F3" w:rsidR="00FC1871" w:rsidRPr="0002052A" w:rsidRDefault="00FC187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51</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C1871" w:rsidRPr="0002052A" w:rsidRDefault="00FC1871" w:rsidP="00FC1871">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C1871" w:rsidRPr="00F7525E" w:rsidRDefault="00FC1871" w:rsidP="00FC1871">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C1871" w:rsidRPr="00C47575"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C1871" w:rsidRPr="00F7525E" w:rsidRDefault="00FC1871" w:rsidP="00FC1871">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53780628" w:rsidR="00FC1871" w:rsidRPr="0002052A" w:rsidRDefault="00FC187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52</m:t>
                    </m:r>
                  </m:e>
                </m:d>
              </m:oMath>
            </m:oMathPara>
          </w:p>
        </w:tc>
        <w:tc>
          <w:tcPr>
            <w:tcW w:w="5499" w:type="dxa"/>
            <w:tcBorders>
              <w:top w:val="single" w:sz="4" w:space="0" w:color="auto"/>
              <w:left w:val="nil"/>
              <w:bottom w:val="single" w:sz="4" w:space="0" w:color="auto"/>
              <w:right w:val="nil"/>
            </w:tcBorders>
            <w:vAlign w:val="center"/>
          </w:tcPr>
          <w:p w14:paraId="3EA4AF5B" w14:textId="77777777" w:rsidR="00FC1871" w:rsidRPr="00F7525E" w:rsidRDefault="00FC1871" w:rsidP="00FC1871">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C1871" w:rsidRPr="00F7525E" w:rsidRDefault="00FC1871" w:rsidP="00FC1871">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C1871" w:rsidRPr="00C47575"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FC1871" w:rsidRPr="00F7525E" w:rsidRDefault="00FC1871" w:rsidP="00FC1871">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5D777321" w:rsidR="00FC1871" w:rsidRPr="00D51121" w:rsidRDefault="00FC1871" w:rsidP="00FC1871">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53</m:t>
                    </m:r>
                  </m:e>
                </m:d>
              </m:oMath>
            </m:oMathPara>
          </w:p>
        </w:tc>
        <w:tc>
          <w:tcPr>
            <w:tcW w:w="5499" w:type="dxa"/>
            <w:tcBorders>
              <w:top w:val="single" w:sz="4" w:space="0" w:color="auto"/>
              <w:left w:val="nil"/>
              <w:bottom w:val="single" w:sz="4" w:space="0" w:color="auto"/>
              <w:right w:val="nil"/>
            </w:tcBorders>
            <w:vAlign w:val="center"/>
          </w:tcPr>
          <w:p w14:paraId="18216B1F" w14:textId="6E22A1AF" w:rsidR="00FC1871" w:rsidRPr="00F7525E" w:rsidRDefault="00FC1871" w:rsidP="00FC1871">
            <w:pPr>
              <w:spacing w:line="360" w:lineRule="auto"/>
              <w:jc w:val="center"/>
              <w:rPr>
                <w:rFonts w:eastAsiaTheme="minorEastAsia"/>
                <w:sz w:val="20"/>
                <w:szCs w:val="20"/>
                <w:lang w:val="en-US"/>
              </w:rPr>
            </w:pPr>
            <w:proofErr w:type="spellStart"/>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proofErr w:type="spellEnd"/>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FC1871" w:rsidRPr="00C47575"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FC1871" w:rsidRPr="00F7525E" w:rsidRDefault="00FC1871" w:rsidP="00FC1871">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772781A5" w:rsidR="00FC1871" w:rsidRPr="00D51121" w:rsidRDefault="00FC187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(54)</m:t>
                </m:r>
              </m:oMath>
            </m:oMathPara>
          </w:p>
        </w:tc>
        <w:tc>
          <w:tcPr>
            <w:tcW w:w="5499" w:type="dxa"/>
            <w:tcBorders>
              <w:top w:val="single" w:sz="4" w:space="0" w:color="auto"/>
              <w:left w:val="nil"/>
              <w:bottom w:val="single" w:sz="4" w:space="0" w:color="auto"/>
              <w:right w:val="nil"/>
            </w:tcBorders>
            <w:vAlign w:val="center"/>
          </w:tcPr>
          <w:p w14:paraId="31CF5D06" w14:textId="7BE6F1C5" w:rsidR="00FC1871" w:rsidRPr="00F7525E" w:rsidRDefault="00FC1871" w:rsidP="00FC1871">
            <w:pPr>
              <w:spacing w:line="360" w:lineRule="auto"/>
              <w:jc w:val="center"/>
              <w:rPr>
                <w:rFonts w:eastAsiaTheme="minorEastAsia"/>
                <w:sz w:val="20"/>
                <w:szCs w:val="20"/>
                <w:lang w:val="en-US"/>
              </w:rPr>
            </w:pPr>
            <w:proofErr w:type="spellStart"/>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proofErr w:type="spellEnd"/>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FC1871" w:rsidRPr="00C47575"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FC1871" w:rsidRPr="00F7525E" w:rsidRDefault="00FC1871" w:rsidP="00FC1871">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09D4EA7C" w:rsidR="00FC1871" w:rsidRPr="00D51121" w:rsidRDefault="00FC187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(55)</m:t>
                </m:r>
              </m:oMath>
            </m:oMathPara>
          </w:p>
        </w:tc>
        <w:tc>
          <w:tcPr>
            <w:tcW w:w="5499" w:type="dxa"/>
            <w:tcBorders>
              <w:top w:val="single" w:sz="4" w:space="0" w:color="auto"/>
              <w:left w:val="nil"/>
              <w:bottom w:val="double" w:sz="4" w:space="0" w:color="auto"/>
              <w:right w:val="nil"/>
            </w:tcBorders>
            <w:vAlign w:val="center"/>
          </w:tcPr>
          <w:p w14:paraId="5994B40B" w14:textId="647E7C4D" w:rsidR="00FC1871" w:rsidRPr="00DF30B8" w:rsidRDefault="00FC1871" w:rsidP="00FC1871">
            <w:pPr>
              <w:spacing w:line="360" w:lineRule="auto"/>
              <w:jc w:val="center"/>
              <w:rPr>
                <w:rFonts w:eastAsiaTheme="minorEastAsia"/>
                <w:sz w:val="20"/>
                <w:szCs w:val="20"/>
                <w:lang w:val="en-US"/>
              </w:rPr>
            </w:pPr>
            <w:proofErr w:type="spellStart"/>
            <w:r w:rsidRPr="00DF30B8">
              <w:rPr>
                <w:b/>
                <w:bCs/>
                <w:i/>
                <w:iCs/>
                <w:sz w:val="18"/>
                <w:szCs w:val="20"/>
                <w:lang w:val="en-US"/>
              </w:rPr>
              <w:t>Risk</w:t>
            </w:r>
            <w:r w:rsidRPr="00DF30B8">
              <w:rPr>
                <w:b/>
                <w:bCs/>
                <w:i/>
                <w:iCs/>
                <w:sz w:val="18"/>
                <w:szCs w:val="20"/>
                <w:vertAlign w:val="subscript"/>
                <w:lang w:val="en-US"/>
              </w:rPr>
              <w:t>ChemLoE</w:t>
            </w:r>
            <w:proofErr w:type="spellEnd"/>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compartments.</w:t>
            </w:r>
          </w:p>
        </w:tc>
        <w:tc>
          <w:tcPr>
            <w:tcW w:w="1539" w:type="dxa"/>
            <w:tcBorders>
              <w:top w:val="single" w:sz="4" w:space="0" w:color="auto"/>
              <w:left w:val="nil"/>
              <w:bottom w:val="double" w:sz="4" w:space="0" w:color="auto"/>
              <w:right w:val="nil"/>
            </w:tcBorders>
            <w:vAlign w:val="center"/>
          </w:tcPr>
          <w:p w14:paraId="38CBE3FD" w14:textId="2959AB69"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2000"/>
        <w:gridCol w:w="1283"/>
        <w:gridCol w:w="1368"/>
        <w:gridCol w:w="2217"/>
        <w:gridCol w:w="2295"/>
        <w:gridCol w:w="1337"/>
        <w:gridCol w:w="1110"/>
        <w:gridCol w:w="1292"/>
      </w:tblGrid>
      <w:tr w:rsidR="003D0F1C" w:rsidRPr="00C47575" w14:paraId="09A7C6A9" w14:textId="77777777" w:rsidTr="003D0F1C">
        <w:trPr>
          <w:trHeight w:val="486"/>
          <w:jc w:val="center"/>
        </w:trPr>
        <w:tc>
          <w:tcPr>
            <w:tcW w:w="1155" w:type="dxa"/>
            <w:tcBorders>
              <w:top w:val="double" w:sz="4" w:space="0" w:color="auto"/>
              <w:left w:val="nil"/>
              <w:bottom w:val="double" w:sz="4" w:space="0" w:color="auto"/>
              <w:right w:val="nil"/>
            </w:tcBorders>
            <w:vAlign w:val="center"/>
            <w:hideMark/>
          </w:tcPr>
          <w:p w14:paraId="4231C81E" w14:textId="77777777" w:rsidR="003D0F1C" w:rsidRPr="00D51121" w:rsidRDefault="003D0F1C">
            <w:pPr>
              <w:spacing w:line="360" w:lineRule="auto"/>
              <w:jc w:val="center"/>
              <w:rPr>
                <w:rStyle w:val="tlid-translation"/>
                <w:b/>
                <w:lang w:val="en-US"/>
              </w:rPr>
            </w:pPr>
            <w:r>
              <w:rPr>
                <w:rStyle w:val="tlid-translation"/>
                <w:b/>
                <w:sz w:val="20"/>
                <w:szCs w:val="20"/>
                <w:lang w:val="en-US"/>
              </w:rPr>
              <w:t>Chemical species</w:t>
            </w:r>
          </w:p>
        </w:tc>
        <w:tc>
          <w:tcPr>
            <w:tcW w:w="2000" w:type="dxa"/>
            <w:tcBorders>
              <w:top w:val="double" w:sz="4" w:space="0" w:color="auto"/>
              <w:left w:val="nil"/>
              <w:bottom w:val="double" w:sz="4" w:space="0" w:color="auto"/>
              <w:right w:val="nil"/>
            </w:tcBorders>
            <w:vAlign w:val="center"/>
            <w:hideMark/>
          </w:tcPr>
          <w:p w14:paraId="0AD6F2CE" w14:textId="77777777" w:rsidR="003D0F1C" w:rsidRDefault="003D0F1C">
            <w:pPr>
              <w:spacing w:line="360" w:lineRule="auto"/>
              <w:jc w:val="center"/>
              <w:rPr>
                <w:rStyle w:val="tlid-translation"/>
                <w:b/>
                <w:bCs/>
                <w:sz w:val="20"/>
                <w:szCs w:val="20"/>
                <w:vertAlign w:val="superscript"/>
                <w:lang w:val="en-US"/>
              </w:rPr>
            </w:pPr>
            <w:proofErr w:type="spellStart"/>
            <w:r>
              <w:rPr>
                <w:b/>
                <w:bCs/>
                <w:i/>
                <w:iCs/>
                <w:sz w:val="20"/>
                <w:szCs w:val="20"/>
                <w:lang w:val="en-US"/>
              </w:rPr>
              <w:t>C</w:t>
            </w:r>
            <w:r>
              <w:rPr>
                <w:b/>
                <w:bCs/>
                <w:i/>
                <w:iCs/>
                <w:sz w:val="20"/>
                <w:szCs w:val="20"/>
                <w:vertAlign w:val="subscript"/>
                <w:lang w:val="en-US"/>
              </w:rPr>
              <w:t>soil_ref</w:t>
            </w:r>
            <w:proofErr w:type="spellEnd"/>
            <w:r>
              <w:rPr>
                <w:rStyle w:val="tlid-translation"/>
                <w:b/>
                <w:bCs/>
                <w:sz w:val="20"/>
                <w:szCs w:val="20"/>
                <w:lang w:val="en-US"/>
              </w:rPr>
              <w:t xml:space="preserve"> </w:t>
            </w:r>
            <w:r w:rsidRPr="003D0F1C">
              <w:rPr>
                <w:rStyle w:val="tlid-translation"/>
                <w:sz w:val="20"/>
                <w:szCs w:val="20"/>
                <w:vertAlign w:val="superscript"/>
                <w:lang w:val="en-US"/>
              </w:rPr>
              <w:t xml:space="preserve"> a</w:t>
            </w:r>
          </w:p>
          <w:p w14:paraId="732D7C62" w14:textId="77777777" w:rsidR="003D0F1C" w:rsidRDefault="003D0F1C">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283" w:type="dxa"/>
            <w:tcBorders>
              <w:top w:val="double" w:sz="4" w:space="0" w:color="auto"/>
              <w:left w:val="nil"/>
              <w:bottom w:val="double" w:sz="4" w:space="0" w:color="auto"/>
              <w:right w:val="nil"/>
            </w:tcBorders>
          </w:tcPr>
          <w:p w14:paraId="7320FC28" w14:textId="0AB959FB" w:rsidR="003D0F1C" w:rsidRDefault="003D0F1C" w:rsidP="003D0F1C">
            <w:pPr>
              <w:spacing w:line="360" w:lineRule="auto"/>
              <w:jc w:val="center"/>
              <w:rPr>
                <w:rStyle w:val="tlid-translation"/>
                <w:b/>
                <w:bCs/>
                <w:sz w:val="20"/>
                <w:szCs w:val="20"/>
                <w:vertAlign w:val="superscript"/>
                <w:lang w:val="en-US"/>
              </w:rPr>
            </w:pPr>
            <w:proofErr w:type="spellStart"/>
            <w:r>
              <w:rPr>
                <w:b/>
                <w:bCs/>
                <w:i/>
                <w:iCs/>
                <w:sz w:val="20"/>
                <w:szCs w:val="20"/>
                <w:lang w:val="en-US"/>
              </w:rPr>
              <w:t>C</w:t>
            </w:r>
            <w:r>
              <w:rPr>
                <w:b/>
                <w:bCs/>
                <w:i/>
                <w:iCs/>
                <w:sz w:val="20"/>
                <w:szCs w:val="20"/>
                <w:vertAlign w:val="subscript"/>
                <w:lang w:val="en-US"/>
              </w:rPr>
              <w:t>sed_ref</w:t>
            </w:r>
            <w:proofErr w:type="spellEnd"/>
            <w:r>
              <w:rPr>
                <w:rStyle w:val="tlid-translation"/>
                <w:b/>
                <w:bCs/>
                <w:sz w:val="20"/>
                <w:szCs w:val="20"/>
                <w:lang w:val="en-US"/>
              </w:rPr>
              <w:t xml:space="preserve"> </w:t>
            </w:r>
            <w:r w:rsidRPr="003D0F1C">
              <w:rPr>
                <w:rStyle w:val="tlid-translation"/>
                <w:sz w:val="20"/>
                <w:szCs w:val="20"/>
                <w:vertAlign w:val="superscript"/>
                <w:lang w:val="en-US"/>
              </w:rPr>
              <w:t xml:space="preserve"> b</w:t>
            </w:r>
          </w:p>
          <w:p w14:paraId="60FB3D6B" w14:textId="537687A9" w:rsidR="003D0F1C" w:rsidRDefault="003D0F1C" w:rsidP="003D0F1C">
            <w:pPr>
              <w:spacing w:line="360" w:lineRule="auto"/>
              <w:jc w:val="center"/>
              <w:rPr>
                <w:b/>
                <w:bCs/>
                <w:i/>
                <w:i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368" w:type="dxa"/>
            <w:tcBorders>
              <w:top w:val="double" w:sz="4" w:space="0" w:color="auto"/>
              <w:left w:val="nil"/>
              <w:bottom w:val="double" w:sz="4" w:space="0" w:color="auto"/>
              <w:right w:val="nil"/>
            </w:tcBorders>
            <w:hideMark/>
          </w:tcPr>
          <w:p w14:paraId="3309BA9B" w14:textId="74A597B7" w:rsidR="003D0F1C" w:rsidRDefault="003D0F1C">
            <w:pPr>
              <w:spacing w:line="360" w:lineRule="auto"/>
              <w:jc w:val="center"/>
              <w:rPr>
                <w:rStyle w:val="tlid-translation"/>
                <w:b/>
                <w:bCs/>
                <w:sz w:val="20"/>
                <w:szCs w:val="20"/>
                <w:vertAlign w:val="superscript"/>
                <w:lang w:val="en-US"/>
              </w:rPr>
            </w:pPr>
            <w:proofErr w:type="spellStart"/>
            <w:r>
              <w:rPr>
                <w:b/>
                <w:bCs/>
                <w:i/>
                <w:iCs/>
                <w:sz w:val="20"/>
                <w:szCs w:val="20"/>
                <w:lang w:val="en-US"/>
              </w:rPr>
              <w:t>C</w:t>
            </w:r>
            <w:r>
              <w:rPr>
                <w:b/>
                <w:bCs/>
                <w:i/>
                <w:iCs/>
                <w:sz w:val="20"/>
                <w:szCs w:val="20"/>
                <w:vertAlign w:val="subscript"/>
                <w:lang w:val="en-US"/>
              </w:rPr>
              <w:t>TL_soil</w:t>
            </w:r>
            <w:proofErr w:type="spellEnd"/>
            <w:r>
              <w:rPr>
                <w:b/>
                <w:bCs/>
                <w:i/>
                <w:iCs/>
                <w:sz w:val="20"/>
                <w:szCs w:val="20"/>
                <w:vertAlign w:val="subscript"/>
                <w:lang w:val="en-US"/>
              </w:rPr>
              <w:t xml:space="preserve"> </w:t>
            </w:r>
            <w:r w:rsidRPr="003D0F1C">
              <w:rPr>
                <w:b/>
                <w:bCs/>
                <w:sz w:val="20"/>
                <w:szCs w:val="20"/>
                <w:vertAlign w:val="superscript"/>
                <w:lang w:val="en-US"/>
              </w:rPr>
              <w:t xml:space="preserve"> </w:t>
            </w:r>
            <w:r w:rsidRPr="003D0F1C">
              <w:rPr>
                <w:sz w:val="20"/>
                <w:szCs w:val="20"/>
                <w:vertAlign w:val="superscript"/>
                <w:lang w:val="en-US"/>
              </w:rPr>
              <w:t>c</w:t>
            </w:r>
          </w:p>
          <w:p w14:paraId="1748A1A8" w14:textId="77777777" w:rsidR="003D0F1C" w:rsidRPr="001A68DA" w:rsidRDefault="003D0F1C">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217" w:type="dxa"/>
            <w:tcBorders>
              <w:top w:val="double" w:sz="4" w:space="0" w:color="auto"/>
              <w:left w:val="nil"/>
              <w:bottom w:val="double" w:sz="4" w:space="0" w:color="auto"/>
              <w:right w:val="nil"/>
            </w:tcBorders>
          </w:tcPr>
          <w:p w14:paraId="22F9BE94" w14:textId="18F579A8" w:rsidR="003D0F1C" w:rsidRDefault="003D0F1C" w:rsidP="003D0F1C">
            <w:pPr>
              <w:spacing w:line="360" w:lineRule="auto"/>
              <w:jc w:val="center"/>
              <w:rPr>
                <w:rStyle w:val="tlid-translation"/>
                <w:b/>
                <w:bCs/>
                <w:sz w:val="20"/>
                <w:szCs w:val="20"/>
                <w:vertAlign w:val="superscript"/>
                <w:lang w:val="en-US"/>
              </w:rPr>
            </w:pPr>
            <w:proofErr w:type="spellStart"/>
            <w:r>
              <w:rPr>
                <w:b/>
                <w:bCs/>
                <w:i/>
                <w:iCs/>
                <w:sz w:val="20"/>
                <w:szCs w:val="20"/>
                <w:lang w:val="en-US"/>
              </w:rPr>
              <w:t>C</w:t>
            </w:r>
            <w:r>
              <w:rPr>
                <w:b/>
                <w:bCs/>
                <w:i/>
                <w:iCs/>
                <w:sz w:val="20"/>
                <w:szCs w:val="20"/>
                <w:vertAlign w:val="subscript"/>
                <w:lang w:val="en-US"/>
              </w:rPr>
              <w:t>TL_sed</w:t>
            </w:r>
            <w:proofErr w:type="spellEnd"/>
            <w:r>
              <w:rPr>
                <w:b/>
                <w:bCs/>
                <w:i/>
                <w:iCs/>
                <w:sz w:val="20"/>
                <w:szCs w:val="20"/>
                <w:vertAlign w:val="subscript"/>
                <w:lang w:val="en-US"/>
              </w:rPr>
              <w:t xml:space="preserve">  </w:t>
            </w:r>
            <w:r w:rsidRPr="003D0F1C">
              <w:rPr>
                <w:sz w:val="20"/>
                <w:szCs w:val="20"/>
                <w:vertAlign w:val="superscript"/>
                <w:lang w:val="en-US"/>
              </w:rPr>
              <w:t>d</w:t>
            </w:r>
          </w:p>
          <w:p w14:paraId="73F98B7A" w14:textId="6210FDA5" w:rsidR="003D0F1C" w:rsidRDefault="003D0F1C" w:rsidP="003D0F1C">
            <w:pPr>
              <w:spacing w:line="360" w:lineRule="auto"/>
              <w:jc w:val="center"/>
              <w:rPr>
                <w:b/>
                <w:bCs/>
                <w:i/>
                <w:i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295" w:type="dxa"/>
            <w:tcBorders>
              <w:top w:val="double" w:sz="4" w:space="0" w:color="auto"/>
              <w:left w:val="nil"/>
              <w:bottom w:val="double" w:sz="4" w:space="0" w:color="auto"/>
              <w:right w:val="nil"/>
            </w:tcBorders>
            <w:vAlign w:val="center"/>
            <w:hideMark/>
          </w:tcPr>
          <w:p w14:paraId="586E593C" w14:textId="7F6B6811" w:rsidR="003D0F1C" w:rsidRPr="001A68DA" w:rsidRDefault="003D0F1C">
            <w:pPr>
              <w:spacing w:line="360" w:lineRule="auto"/>
              <w:jc w:val="center"/>
              <w:rPr>
                <w:rStyle w:val="tlid-translation"/>
                <w:vertAlign w:val="superscript"/>
                <w:lang w:val="en-US"/>
              </w:rPr>
            </w:pPr>
            <w:proofErr w:type="spellStart"/>
            <w:r>
              <w:rPr>
                <w:b/>
                <w:bCs/>
                <w:i/>
                <w:iCs/>
                <w:sz w:val="20"/>
                <w:szCs w:val="20"/>
                <w:lang w:val="en-US"/>
              </w:rPr>
              <w:t>C</w:t>
            </w:r>
            <w:r>
              <w:rPr>
                <w:b/>
                <w:bCs/>
                <w:i/>
                <w:iCs/>
                <w:sz w:val="20"/>
                <w:szCs w:val="20"/>
                <w:vertAlign w:val="subscript"/>
                <w:lang w:val="en-US"/>
              </w:rPr>
              <w:t>water_ref</w:t>
            </w:r>
            <w:proofErr w:type="spellEnd"/>
            <w:r>
              <w:rPr>
                <w:rStyle w:val="tlid-translation"/>
                <w:b/>
                <w:bCs/>
                <w:sz w:val="20"/>
                <w:szCs w:val="20"/>
                <w:lang w:val="en-US"/>
              </w:rPr>
              <w:t xml:space="preserve"> and </w:t>
            </w:r>
            <w:proofErr w:type="spellStart"/>
            <w:r>
              <w:rPr>
                <w:b/>
                <w:bCs/>
                <w:i/>
                <w:iCs/>
                <w:sz w:val="20"/>
                <w:szCs w:val="20"/>
                <w:lang w:val="en-US"/>
              </w:rPr>
              <w:t>C</w:t>
            </w:r>
            <w:r>
              <w:rPr>
                <w:b/>
                <w:bCs/>
                <w:i/>
                <w:iCs/>
                <w:sz w:val="20"/>
                <w:szCs w:val="20"/>
                <w:vertAlign w:val="subscript"/>
                <w:lang w:val="en-US"/>
              </w:rPr>
              <w:t>TL_water</w:t>
            </w:r>
            <w:proofErr w:type="spellEnd"/>
            <w:r>
              <w:rPr>
                <w:b/>
                <w:bCs/>
                <w:i/>
                <w:iCs/>
                <w:sz w:val="20"/>
                <w:szCs w:val="20"/>
                <w:vertAlign w:val="subscript"/>
                <w:lang w:val="en-US"/>
              </w:rPr>
              <w:t xml:space="preserve"> </w:t>
            </w:r>
            <w:r>
              <w:rPr>
                <w:b/>
                <w:bCs/>
                <w:i/>
                <w:iCs/>
                <w:sz w:val="20"/>
                <w:szCs w:val="20"/>
                <w:vertAlign w:val="superscript"/>
                <w:lang w:val="en-US"/>
              </w:rPr>
              <w:t xml:space="preserve"> </w:t>
            </w:r>
            <w:r>
              <w:rPr>
                <w:sz w:val="20"/>
                <w:szCs w:val="20"/>
                <w:vertAlign w:val="superscript"/>
                <w:lang w:val="en-US"/>
              </w:rPr>
              <w:t>e</w:t>
            </w:r>
          </w:p>
          <w:p w14:paraId="1C623D46" w14:textId="77777777" w:rsidR="003D0F1C" w:rsidRDefault="003D0F1C">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337" w:type="dxa"/>
            <w:tcBorders>
              <w:top w:val="double" w:sz="4" w:space="0" w:color="auto"/>
              <w:left w:val="nil"/>
              <w:bottom w:val="double" w:sz="4" w:space="0" w:color="auto"/>
              <w:right w:val="nil"/>
            </w:tcBorders>
            <w:vAlign w:val="center"/>
            <w:hideMark/>
          </w:tcPr>
          <w:p w14:paraId="617DFFDF" w14:textId="77777777" w:rsidR="003D0F1C" w:rsidRDefault="003D0F1C">
            <w:pPr>
              <w:spacing w:line="360" w:lineRule="auto"/>
              <w:jc w:val="center"/>
              <w:rPr>
                <w:rStyle w:val="tlid-translation"/>
                <w:b/>
                <w:bCs/>
                <w:i/>
                <w:iCs/>
                <w:sz w:val="20"/>
                <w:szCs w:val="20"/>
                <w:vertAlign w:val="superscript"/>
                <w:lang w:val="en-US"/>
              </w:rPr>
            </w:pPr>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
        </w:tc>
        <w:tc>
          <w:tcPr>
            <w:tcW w:w="1110" w:type="dxa"/>
            <w:tcBorders>
              <w:top w:val="double" w:sz="4" w:space="0" w:color="auto"/>
              <w:left w:val="nil"/>
              <w:bottom w:val="double" w:sz="4" w:space="0" w:color="auto"/>
              <w:right w:val="nil"/>
            </w:tcBorders>
            <w:vAlign w:val="center"/>
            <w:hideMark/>
          </w:tcPr>
          <w:p w14:paraId="39CDF88F" w14:textId="77777777" w:rsidR="003D0F1C" w:rsidRDefault="003D0F1C">
            <w:pPr>
              <w:spacing w:line="360" w:lineRule="auto"/>
              <w:jc w:val="center"/>
              <w:rPr>
                <w:rStyle w:val="tlid-translation"/>
                <w:b/>
                <w:bCs/>
                <w:sz w:val="20"/>
                <w:szCs w:val="20"/>
                <w:lang w:val="en-US"/>
              </w:rPr>
            </w:pPr>
            <w:r>
              <w:rPr>
                <w:b/>
                <w:bCs/>
                <w:i/>
                <w:iCs/>
                <w:sz w:val="20"/>
                <w:szCs w:val="20"/>
              </w:rPr>
              <w:t>α</w:t>
            </w:r>
            <w:r>
              <w:rPr>
                <w:b/>
                <w:bCs/>
                <w:i/>
                <w:iCs/>
                <w:sz w:val="20"/>
                <w:szCs w:val="20"/>
                <w:vertAlign w:val="superscript"/>
                <w:lang w:val="en-US"/>
              </w:rPr>
              <w:t xml:space="preserve">  **</w:t>
            </w:r>
          </w:p>
        </w:tc>
        <w:tc>
          <w:tcPr>
            <w:tcW w:w="1292" w:type="dxa"/>
            <w:tcBorders>
              <w:top w:val="double" w:sz="4" w:space="0" w:color="auto"/>
              <w:left w:val="nil"/>
              <w:bottom w:val="double" w:sz="4" w:space="0" w:color="auto"/>
              <w:right w:val="nil"/>
            </w:tcBorders>
            <w:vAlign w:val="center"/>
            <w:hideMark/>
          </w:tcPr>
          <w:p w14:paraId="2DC56B07" w14:textId="77777777" w:rsidR="003D0F1C" w:rsidRDefault="003D0F1C">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3D0F1C" w:rsidRPr="00C47575" w14:paraId="229FC2E2" w14:textId="77777777" w:rsidTr="00136952">
        <w:trPr>
          <w:trHeight w:val="504"/>
          <w:jc w:val="center"/>
        </w:trPr>
        <w:tc>
          <w:tcPr>
            <w:tcW w:w="1155" w:type="dxa"/>
            <w:tcBorders>
              <w:top w:val="double" w:sz="4" w:space="0" w:color="auto"/>
              <w:left w:val="nil"/>
              <w:bottom w:val="nil"/>
              <w:right w:val="nil"/>
            </w:tcBorders>
            <w:vAlign w:val="center"/>
          </w:tcPr>
          <w:p w14:paraId="047CF014" w14:textId="2B2A6DF4" w:rsidR="003D0F1C" w:rsidRDefault="00136952">
            <w:pPr>
              <w:spacing w:before="240" w:line="360" w:lineRule="auto"/>
              <w:jc w:val="center"/>
              <w:rPr>
                <w:rStyle w:val="tlid-translation"/>
                <w:b/>
                <w:sz w:val="20"/>
                <w:szCs w:val="20"/>
                <w:lang w:val="en-US"/>
              </w:rPr>
            </w:pPr>
            <w:r>
              <w:rPr>
                <w:rStyle w:val="tlid-translation"/>
                <w:b/>
                <w:sz w:val="20"/>
                <w:szCs w:val="20"/>
                <w:lang w:val="en-US"/>
              </w:rPr>
              <w:t>As</w:t>
            </w:r>
          </w:p>
        </w:tc>
        <w:tc>
          <w:tcPr>
            <w:tcW w:w="2000" w:type="dxa"/>
            <w:tcBorders>
              <w:top w:val="double" w:sz="4" w:space="0" w:color="auto"/>
              <w:left w:val="nil"/>
              <w:bottom w:val="nil"/>
              <w:right w:val="nil"/>
            </w:tcBorders>
            <w:vAlign w:val="center"/>
          </w:tcPr>
          <w:p w14:paraId="4812E8F6" w14:textId="04A3820B" w:rsidR="003D0F1C" w:rsidRDefault="001A0DFC">
            <w:pPr>
              <w:spacing w:before="240" w:line="360" w:lineRule="auto"/>
              <w:jc w:val="center"/>
              <w:rPr>
                <w:rStyle w:val="tlid-translation"/>
                <w:sz w:val="20"/>
                <w:szCs w:val="20"/>
                <w:lang w:val="en-US"/>
              </w:rPr>
            </w:pPr>
            <w:r>
              <w:rPr>
                <w:rStyle w:val="tlid-translation"/>
                <w:sz w:val="20"/>
                <w:szCs w:val="20"/>
                <w:lang w:val="en-US"/>
              </w:rPr>
              <w:t>-</w:t>
            </w:r>
          </w:p>
        </w:tc>
        <w:tc>
          <w:tcPr>
            <w:tcW w:w="1283" w:type="dxa"/>
            <w:tcBorders>
              <w:top w:val="double" w:sz="4" w:space="0" w:color="auto"/>
              <w:left w:val="nil"/>
              <w:bottom w:val="nil"/>
              <w:right w:val="nil"/>
            </w:tcBorders>
          </w:tcPr>
          <w:p w14:paraId="66BCA5E7" w14:textId="4301C59E" w:rsidR="003D0F1C" w:rsidRDefault="007F0531">
            <w:pPr>
              <w:spacing w:before="240" w:line="360" w:lineRule="auto"/>
              <w:jc w:val="center"/>
              <w:rPr>
                <w:rStyle w:val="tlid-translation"/>
                <w:sz w:val="20"/>
                <w:szCs w:val="20"/>
                <w:lang w:val="en-US"/>
              </w:rPr>
            </w:pPr>
            <w:r>
              <w:rPr>
                <w:rStyle w:val="tlid-translation"/>
                <w:sz w:val="20"/>
                <w:szCs w:val="20"/>
                <w:lang w:val="en-US"/>
              </w:rPr>
              <w:t>14.25</w:t>
            </w:r>
          </w:p>
        </w:tc>
        <w:tc>
          <w:tcPr>
            <w:tcW w:w="1368" w:type="dxa"/>
            <w:tcBorders>
              <w:top w:val="double" w:sz="4" w:space="0" w:color="auto"/>
              <w:left w:val="nil"/>
              <w:bottom w:val="nil"/>
              <w:right w:val="nil"/>
            </w:tcBorders>
          </w:tcPr>
          <w:p w14:paraId="187FF9F7" w14:textId="62B9DD8B"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2217" w:type="dxa"/>
            <w:tcBorders>
              <w:top w:val="double" w:sz="4" w:space="0" w:color="auto"/>
              <w:left w:val="nil"/>
              <w:bottom w:val="nil"/>
              <w:right w:val="nil"/>
            </w:tcBorders>
          </w:tcPr>
          <w:p w14:paraId="16B31459" w14:textId="7B2FAF76" w:rsidR="003D0F1C" w:rsidRDefault="007F0531">
            <w:pPr>
              <w:spacing w:before="240" w:line="360" w:lineRule="auto"/>
              <w:jc w:val="center"/>
              <w:rPr>
                <w:rStyle w:val="tlid-translation"/>
                <w:sz w:val="20"/>
                <w:szCs w:val="20"/>
                <w:lang w:val="en-US"/>
              </w:rPr>
            </w:pPr>
            <w:r>
              <w:rPr>
                <w:rStyle w:val="tlid-translation"/>
                <w:sz w:val="20"/>
                <w:szCs w:val="20"/>
                <w:lang w:val="en-US"/>
              </w:rPr>
              <w:t>19.00</w:t>
            </w:r>
          </w:p>
        </w:tc>
        <w:tc>
          <w:tcPr>
            <w:tcW w:w="2295" w:type="dxa"/>
            <w:tcBorders>
              <w:top w:val="double" w:sz="4" w:space="0" w:color="auto"/>
              <w:left w:val="nil"/>
              <w:bottom w:val="nil"/>
              <w:right w:val="nil"/>
            </w:tcBorders>
            <w:vAlign w:val="center"/>
          </w:tcPr>
          <w:p w14:paraId="00A52EFC" w14:textId="6F6B4BCF"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1337" w:type="dxa"/>
            <w:tcBorders>
              <w:top w:val="double" w:sz="4" w:space="0" w:color="auto"/>
              <w:left w:val="nil"/>
              <w:bottom w:val="nil"/>
              <w:right w:val="nil"/>
            </w:tcBorders>
            <w:vAlign w:val="center"/>
          </w:tcPr>
          <w:p w14:paraId="3DDFB171" w14:textId="2ABBFC77" w:rsidR="003D0F1C" w:rsidRDefault="007F0531">
            <w:pPr>
              <w:spacing w:before="240" w:line="360" w:lineRule="auto"/>
              <w:jc w:val="center"/>
              <w:rPr>
                <w:rStyle w:val="tlid-translation"/>
                <w:sz w:val="20"/>
                <w:szCs w:val="20"/>
                <w:lang w:val="en-US"/>
              </w:rPr>
            </w:pPr>
            <w:r>
              <w:rPr>
                <w:rStyle w:val="tlid-translation"/>
                <w:sz w:val="20"/>
                <w:szCs w:val="20"/>
                <w:lang w:val="en-US"/>
              </w:rPr>
              <w:t>10.00</w:t>
            </w:r>
          </w:p>
        </w:tc>
        <w:tc>
          <w:tcPr>
            <w:tcW w:w="1110" w:type="dxa"/>
            <w:tcBorders>
              <w:top w:val="double" w:sz="4" w:space="0" w:color="auto"/>
              <w:left w:val="nil"/>
              <w:bottom w:val="nil"/>
              <w:right w:val="nil"/>
            </w:tcBorders>
            <w:vAlign w:val="center"/>
          </w:tcPr>
          <w:p w14:paraId="49A7239A" w14:textId="7F790F88"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1292" w:type="dxa"/>
            <w:tcBorders>
              <w:top w:val="double" w:sz="4" w:space="0" w:color="auto"/>
              <w:left w:val="nil"/>
              <w:bottom w:val="nil"/>
              <w:right w:val="nil"/>
            </w:tcBorders>
            <w:vAlign w:val="center"/>
          </w:tcPr>
          <w:p w14:paraId="2C0DA5D6" w14:textId="6255CB77"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r>
      <w:tr w:rsidR="00136952" w:rsidRPr="00C47575" w14:paraId="0CCD8A5E" w14:textId="77777777" w:rsidTr="00136952">
        <w:trPr>
          <w:trHeight w:val="486"/>
          <w:jc w:val="center"/>
        </w:trPr>
        <w:tc>
          <w:tcPr>
            <w:tcW w:w="1155" w:type="dxa"/>
            <w:vAlign w:val="center"/>
          </w:tcPr>
          <w:p w14:paraId="66041E28" w14:textId="356E1376"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Co</w:t>
            </w:r>
          </w:p>
        </w:tc>
        <w:tc>
          <w:tcPr>
            <w:tcW w:w="2000" w:type="dxa"/>
            <w:vAlign w:val="center"/>
          </w:tcPr>
          <w:p w14:paraId="4705DE5D" w14:textId="5AED5AA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3.50</w:t>
            </w:r>
          </w:p>
        </w:tc>
        <w:tc>
          <w:tcPr>
            <w:tcW w:w="1283" w:type="dxa"/>
          </w:tcPr>
          <w:p w14:paraId="143412CE" w14:textId="753EB326"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7.00</w:t>
            </w:r>
          </w:p>
        </w:tc>
        <w:tc>
          <w:tcPr>
            <w:tcW w:w="1368" w:type="dxa"/>
          </w:tcPr>
          <w:p w14:paraId="47307CF6" w14:textId="5EBB88C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35.00</w:t>
            </w:r>
          </w:p>
        </w:tc>
        <w:tc>
          <w:tcPr>
            <w:tcW w:w="2217" w:type="dxa"/>
          </w:tcPr>
          <w:p w14:paraId="4655A45C" w14:textId="479F4B1B"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2A36C7C7" w14:textId="5B7AA7B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5.00E-2</w:t>
            </w:r>
          </w:p>
        </w:tc>
        <w:tc>
          <w:tcPr>
            <w:tcW w:w="1337" w:type="dxa"/>
            <w:vAlign w:val="center"/>
          </w:tcPr>
          <w:p w14:paraId="5D442DD1" w14:textId="0B80C92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vAlign w:val="center"/>
          </w:tcPr>
          <w:p w14:paraId="1B9E9002" w14:textId="66B1EDC7"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3.23</w:t>
            </w:r>
          </w:p>
        </w:tc>
        <w:tc>
          <w:tcPr>
            <w:tcW w:w="1292" w:type="dxa"/>
            <w:vAlign w:val="center"/>
          </w:tcPr>
          <w:p w14:paraId="2D07517A" w14:textId="52FBDAD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0.6120</w:t>
            </w:r>
          </w:p>
        </w:tc>
      </w:tr>
      <w:tr w:rsidR="00136952" w:rsidRPr="00C47575" w14:paraId="31A615AD" w14:textId="77777777" w:rsidTr="00136952">
        <w:trPr>
          <w:trHeight w:val="504"/>
          <w:jc w:val="center"/>
        </w:trPr>
        <w:tc>
          <w:tcPr>
            <w:tcW w:w="1155" w:type="dxa"/>
            <w:vAlign w:val="center"/>
          </w:tcPr>
          <w:p w14:paraId="4441F1D8" w14:textId="5B81E8C7"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Cr</w:t>
            </w:r>
          </w:p>
        </w:tc>
        <w:tc>
          <w:tcPr>
            <w:tcW w:w="2000" w:type="dxa"/>
            <w:vAlign w:val="center"/>
          </w:tcPr>
          <w:p w14:paraId="30E7C010" w14:textId="24845AFE" w:rsidR="00136952" w:rsidRDefault="001A0DFC" w:rsidP="00136952">
            <w:pPr>
              <w:spacing w:before="240" w:line="360" w:lineRule="auto"/>
              <w:jc w:val="center"/>
              <w:rPr>
                <w:rStyle w:val="tlid-translation"/>
                <w:sz w:val="20"/>
                <w:szCs w:val="20"/>
                <w:lang w:val="en-US"/>
              </w:rPr>
            </w:pPr>
            <w:r>
              <w:rPr>
                <w:rStyle w:val="tlid-translation"/>
                <w:sz w:val="20"/>
                <w:szCs w:val="20"/>
                <w:lang w:val="en-US"/>
              </w:rPr>
              <w:t>-</w:t>
            </w:r>
          </w:p>
        </w:tc>
        <w:tc>
          <w:tcPr>
            <w:tcW w:w="1283" w:type="dxa"/>
          </w:tcPr>
          <w:p w14:paraId="2D68FEE0" w14:textId="300F4645"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28.31</w:t>
            </w:r>
          </w:p>
        </w:tc>
        <w:tc>
          <w:tcPr>
            <w:tcW w:w="1368" w:type="dxa"/>
          </w:tcPr>
          <w:p w14:paraId="45C0026D" w14:textId="0F750905"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2217" w:type="dxa"/>
          </w:tcPr>
          <w:p w14:paraId="39C03A90" w14:textId="7EF2897F"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81.00</w:t>
            </w:r>
          </w:p>
        </w:tc>
        <w:tc>
          <w:tcPr>
            <w:tcW w:w="2295" w:type="dxa"/>
            <w:vAlign w:val="center"/>
          </w:tcPr>
          <w:p w14:paraId="7229D68D" w14:textId="58152832"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1337" w:type="dxa"/>
            <w:vAlign w:val="center"/>
          </w:tcPr>
          <w:p w14:paraId="37544984" w14:textId="543980CA"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2.00</w:t>
            </w:r>
          </w:p>
        </w:tc>
        <w:tc>
          <w:tcPr>
            <w:tcW w:w="1110" w:type="dxa"/>
            <w:vAlign w:val="center"/>
          </w:tcPr>
          <w:p w14:paraId="3795176F" w14:textId="3D0EA870"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1292" w:type="dxa"/>
            <w:vAlign w:val="center"/>
          </w:tcPr>
          <w:p w14:paraId="6DB0C5ED" w14:textId="7660AF78"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r>
      <w:tr w:rsidR="00136952" w:rsidRPr="00C47575" w14:paraId="0D9CB48F" w14:textId="77777777" w:rsidTr="00136952">
        <w:trPr>
          <w:trHeight w:val="504"/>
          <w:jc w:val="center"/>
        </w:trPr>
        <w:tc>
          <w:tcPr>
            <w:tcW w:w="1155" w:type="dxa"/>
            <w:vAlign w:val="center"/>
          </w:tcPr>
          <w:p w14:paraId="4B9A5BFF" w14:textId="14DC2E73"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Cu</w:t>
            </w:r>
          </w:p>
        </w:tc>
        <w:tc>
          <w:tcPr>
            <w:tcW w:w="2000" w:type="dxa"/>
            <w:vAlign w:val="center"/>
          </w:tcPr>
          <w:p w14:paraId="7BC830C8" w14:textId="5DEEA241"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5.94</w:t>
            </w:r>
          </w:p>
        </w:tc>
        <w:tc>
          <w:tcPr>
            <w:tcW w:w="1283" w:type="dxa"/>
          </w:tcPr>
          <w:p w14:paraId="087C42AE" w14:textId="64B1B30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0.79</w:t>
            </w:r>
          </w:p>
        </w:tc>
        <w:tc>
          <w:tcPr>
            <w:tcW w:w="1368" w:type="dxa"/>
          </w:tcPr>
          <w:p w14:paraId="4A045F1E" w14:textId="26D3857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200.00</w:t>
            </w:r>
          </w:p>
        </w:tc>
        <w:tc>
          <w:tcPr>
            <w:tcW w:w="2217" w:type="dxa"/>
          </w:tcPr>
          <w:p w14:paraId="17F39485" w14:textId="5B27DDD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34.00</w:t>
            </w:r>
          </w:p>
        </w:tc>
        <w:tc>
          <w:tcPr>
            <w:tcW w:w="2295" w:type="dxa"/>
            <w:vAlign w:val="center"/>
          </w:tcPr>
          <w:p w14:paraId="24C1E27C" w14:textId="26055CBE"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9.00E-3</w:t>
            </w:r>
          </w:p>
        </w:tc>
        <w:tc>
          <w:tcPr>
            <w:tcW w:w="1337" w:type="dxa"/>
            <w:vAlign w:val="center"/>
          </w:tcPr>
          <w:p w14:paraId="3908D76E" w14:textId="5997B5C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vAlign w:val="center"/>
          </w:tcPr>
          <w:p w14:paraId="233D608B" w14:textId="2C24B90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2.78</w:t>
            </w:r>
          </w:p>
        </w:tc>
        <w:tc>
          <w:tcPr>
            <w:tcW w:w="1292" w:type="dxa"/>
            <w:vAlign w:val="center"/>
          </w:tcPr>
          <w:p w14:paraId="04AD7636" w14:textId="17DA39ED"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0.3914</w:t>
            </w:r>
          </w:p>
        </w:tc>
      </w:tr>
      <w:tr w:rsidR="00136952" w:rsidRPr="00C47575" w14:paraId="34685A22" w14:textId="77777777" w:rsidTr="00136952">
        <w:trPr>
          <w:trHeight w:val="486"/>
          <w:jc w:val="center"/>
        </w:trPr>
        <w:tc>
          <w:tcPr>
            <w:tcW w:w="1155" w:type="dxa"/>
            <w:vAlign w:val="center"/>
          </w:tcPr>
          <w:p w14:paraId="4FC79B9A" w14:textId="08678325"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Fe</w:t>
            </w:r>
          </w:p>
        </w:tc>
        <w:tc>
          <w:tcPr>
            <w:tcW w:w="2000" w:type="dxa"/>
            <w:vAlign w:val="center"/>
          </w:tcPr>
          <w:p w14:paraId="37A951FD" w14:textId="061EE2F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16048.09</w:t>
            </w:r>
          </w:p>
        </w:tc>
        <w:tc>
          <w:tcPr>
            <w:tcW w:w="1283" w:type="dxa"/>
          </w:tcPr>
          <w:p w14:paraId="5B728E0F" w14:textId="434C4D8C"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17824.60</w:t>
            </w:r>
          </w:p>
        </w:tc>
        <w:tc>
          <w:tcPr>
            <w:tcW w:w="1368" w:type="dxa"/>
          </w:tcPr>
          <w:p w14:paraId="75BB3817" w14:textId="69F5938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2217" w:type="dxa"/>
          </w:tcPr>
          <w:p w14:paraId="5EF2D173" w14:textId="2C1AAEC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2A63BAC0" w14:textId="0D29FA5D"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3.00E-1</w:t>
            </w:r>
          </w:p>
        </w:tc>
        <w:tc>
          <w:tcPr>
            <w:tcW w:w="1337" w:type="dxa"/>
            <w:vAlign w:val="center"/>
          </w:tcPr>
          <w:p w14:paraId="5261E338" w14:textId="1E76847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110" w:type="dxa"/>
            <w:vAlign w:val="center"/>
          </w:tcPr>
          <w:p w14:paraId="1056CD9D" w14:textId="43C4E2C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292" w:type="dxa"/>
            <w:vAlign w:val="center"/>
          </w:tcPr>
          <w:p w14:paraId="6D1AB395" w14:textId="733C0D4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r>
      <w:tr w:rsidR="00136952" w:rsidRPr="00C47575" w14:paraId="37BAC65A" w14:textId="77777777" w:rsidTr="00136952">
        <w:trPr>
          <w:trHeight w:val="504"/>
          <w:jc w:val="center"/>
        </w:trPr>
        <w:tc>
          <w:tcPr>
            <w:tcW w:w="1155" w:type="dxa"/>
            <w:vAlign w:val="center"/>
          </w:tcPr>
          <w:p w14:paraId="22569FB2" w14:textId="7BFB94AF"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Mn</w:t>
            </w:r>
          </w:p>
        </w:tc>
        <w:tc>
          <w:tcPr>
            <w:tcW w:w="2000" w:type="dxa"/>
            <w:vAlign w:val="center"/>
          </w:tcPr>
          <w:p w14:paraId="7039453B" w14:textId="7D83E83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173.41</w:t>
            </w:r>
          </w:p>
        </w:tc>
        <w:tc>
          <w:tcPr>
            <w:tcW w:w="1283" w:type="dxa"/>
          </w:tcPr>
          <w:p w14:paraId="02A3926F" w14:textId="56C24F3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196.50</w:t>
            </w:r>
          </w:p>
        </w:tc>
        <w:tc>
          <w:tcPr>
            <w:tcW w:w="1368" w:type="dxa"/>
          </w:tcPr>
          <w:p w14:paraId="6021D2E8" w14:textId="486FB24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2217" w:type="dxa"/>
          </w:tcPr>
          <w:p w14:paraId="2BBBBDBA" w14:textId="494CA990"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0CA4EC78" w14:textId="0017788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1.00E-1</w:t>
            </w:r>
          </w:p>
        </w:tc>
        <w:tc>
          <w:tcPr>
            <w:tcW w:w="1337" w:type="dxa"/>
            <w:vAlign w:val="center"/>
          </w:tcPr>
          <w:p w14:paraId="48C2ADDF" w14:textId="1F78B7DB"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w:t>
            </w:r>
          </w:p>
        </w:tc>
        <w:tc>
          <w:tcPr>
            <w:tcW w:w="1110" w:type="dxa"/>
            <w:vAlign w:val="center"/>
          </w:tcPr>
          <w:p w14:paraId="6F9527F7" w14:textId="7531FEF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292" w:type="dxa"/>
            <w:vAlign w:val="center"/>
          </w:tcPr>
          <w:p w14:paraId="482B1468" w14:textId="1A0FFA6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r>
      <w:tr w:rsidR="00136952" w:rsidRPr="00C47575" w14:paraId="0E2D4E6B" w14:textId="77777777" w:rsidTr="00136952">
        <w:trPr>
          <w:trHeight w:val="504"/>
          <w:jc w:val="center"/>
        </w:trPr>
        <w:tc>
          <w:tcPr>
            <w:tcW w:w="1155" w:type="dxa"/>
            <w:tcBorders>
              <w:top w:val="nil"/>
              <w:left w:val="nil"/>
              <w:bottom w:val="nil"/>
              <w:right w:val="nil"/>
            </w:tcBorders>
            <w:vAlign w:val="center"/>
          </w:tcPr>
          <w:p w14:paraId="13584C1B" w14:textId="2D3D375C"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Ni</w:t>
            </w:r>
          </w:p>
        </w:tc>
        <w:tc>
          <w:tcPr>
            <w:tcW w:w="2000" w:type="dxa"/>
            <w:tcBorders>
              <w:top w:val="nil"/>
              <w:left w:val="nil"/>
              <w:bottom w:val="nil"/>
              <w:right w:val="nil"/>
            </w:tcBorders>
            <w:vAlign w:val="center"/>
          </w:tcPr>
          <w:p w14:paraId="3D6C6061" w14:textId="20818DB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7.63</w:t>
            </w:r>
          </w:p>
        </w:tc>
        <w:tc>
          <w:tcPr>
            <w:tcW w:w="1283" w:type="dxa"/>
            <w:tcBorders>
              <w:top w:val="nil"/>
              <w:left w:val="nil"/>
              <w:bottom w:val="nil"/>
              <w:right w:val="nil"/>
            </w:tcBorders>
          </w:tcPr>
          <w:p w14:paraId="11AC1888" w14:textId="2C9613E1"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9.00</w:t>
            </w:r>
          </w:p>
        </w:tc>
        <w:tc>
          <w:tcPr>
            <w:tcW w:w="1368" w:type="dxa"/>
            <w:tcBorders>
              <w:top w:val="nil"/>
              <w:left w:val="nil"/>
              <w:bottom w:val="nil"/>
              <w:right w:val="nil"/>
            </w:tcBorders>
          </w:tcPr>
          <w:p w14:paraId="01BA4867" w14:textId="2525FE9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70.00</w:t>
            </w:r>
          </w:p>
        </w:tc>
        <w:tc>
          <w:tcPr>
            <w:tcW w:w="2217" w:type="dxa"/>
            <w:tcBorders>
              <w:top w:val="nil"/>
              <w:left w:val="nil"/>
              <w:bottom w:val="nil"/>
              <w:right w:val="nil"/>
            </w:tcBorders>
          </w:tcPr>
          <w:p w14:paraId="77797162" w14:textId="7B71321C"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20.90</w:t>
            </w:r>
          </w:p>
        </w:tc>
        <w:tc>
          <w:tcPr>
            <w:tcW w:w="2295" w:type="dxa"/>
            <w:tcBorders>
              <w:top w:val="nil"/>
              <w:left w:val="nil"/>
              <w:bottom w:val="nil"/>
              <w:right w:val="nil"/>
            </w:tcBorders>
            <w:vAlign w:val="center"/>
          </w:tcPr>
          <w:p w14:paraId="62783EC1" w14:textId="3DA4DCA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2.50E-2</w:t>
            </w:r>
          </w:p>
        </w:tc>
        <w:tc>
          <w:tcPr>
            <w:tcW w:w="1337" w:type="dxa"/>
            <w:tcBorders>
              <w:top w:val="nil"/>
              <w:left w:val="nil"/>
              <w:bottom w:val="nil"/>
              <w:right w:val="nil"/>
            </w:tcBorders>
            <w:vAlign w:val="center"/>
          </w:tcPr>
          <w:p w14:paraId="06DE8065" w14:textId="78B16E1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tcBorders>
              <w:top w:val="nil"/>
              <w:left w:val="nil"/>
              <w:bottom w:val="nil"/>
              <w:right w:val="nil"/>
            </w:tcBorders>
            <w:vAlign w:val="center"/>
          </w:tcPr>
          <w:p w14:paraId="20F05186" w14:textId="49D98BD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2.81</w:t>
            </w:r>
          </w:p>
        </w:tc>
        <w:tc>
          <w:tcPr>
            <w:tcW w:w="1292" w:type="dxa"/>
            <w:tcBorders>
              <w:top w:val="nil"/>
              <w:left w:val="nil"/>
              <w:bottom w:val="nil"/>
              <w:right w:val="nil"/>
            </w:tcBorders>
            <w:vAlign w:val="center"/>
          </w:tcPr>
          <w:p w14:paraId="3E744950" w14:textId="39D6EAD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0.4355</w:t>
            </w:r>
          </w:p>
        </w:tc>
      </w:tr>
      <w:tr w:rsidR="00136952" w:rsidRPr="00C47575" w14:paraId="3625DAFB" w14:textId="77777777" w:rsidTr="00136952">
        <w:trPr>
          <w:trHeight w:val="504"/>
          <w:jc w:val="center"/>
        </w:trPr>
        <w:tc>
          <w:tcPr>
            <w:tcW w:w="1155" w:type="dxa"/>
            <w:tcBorders>
              <w:top w:val="nil"/>
              <w:left w:val="nil"/>
              <w:bottom w:val="nil"/>
              <w:right w:val="nil"/>
            </w:tcBorders>
            <w:vAlign w:val="center"/>
          </w:tcPr>
          <w:p w14:paraId="0C933F46" w14:textId="712B675D"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Pb</w:t>
            </w:r>
          </w:p>
        </w:tc>
        <w:tc>
          <w:tcPr>
            <w:tcW w:w="2000" w:type="dxa"/>
            <w:tcBorders>
              <w:top w:val="nil"/>
              <w:left w:val="nil"/>
              <w:bottom w:val="nil"/>
              <w:right w:val="nil"/>
            </w:tcBorders>
            <w:vAlign w:val="center"/>
          </w:tcPr>
          <w:p w14:paraId="07EF27FD" w14:textId="29294A0E"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19.48</w:t>
            </w:r>
          </w:p>
        </w:tc>
        <w:tc>
          <w:tcPr>
            <w:tcW w:w="1283" w:type="dxa"/>
            <w:tcBorders>
              <w:top w:val="nil"/>
              <w:left w:val="nil"/>
              <w:bottom w:val="nil"/>
              <w:right w:val="nil"/>
            </w:tcBorders>
          </w:tcPr>
          <w:p w14:paraId="7CDDDA4A" w14:textId="13805F02"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29.27</w:t>
            </w:r>
          </w:p>
        </w:tc>
        <w:tc>
          <w:tcPr>
            <w:tcW w:w="1368" w:type="dxa"/>
            <w:tcBorders>
              <w:top w:val="nil"/>
              <w:left w:val="nil"/>
              <w:bottom w:val="nil"/>
              <w:right w:val="nil"/>
            </w:tcBorders>
          </w:tcPr>
          <w:p w14:paraId="660C50BA" w14:textId="300ACAE3"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180.00</w:t>
            </w:r>
          </w:p>
        </w:tc>
        <w:tc>
          <w:tcPr>
            <w:tcW w:w="2217" w:type="dxa"/>
            <w:tcBorders>
              <w:top w:val="nil"/>
              <w:left w:val="nil"/>
              <w:bottom w:val="nil"/>
              <w:right w:val="nil"/>
            </w:tcBorders>
          </w:tcPr>
          <w:p w14:paraId="0181D58D" w14:textId="72874C6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46.70</w:t>
            </w:r>
          </w:p>
        </w:tc>
        <w:tc>
          <w:tcPr>
            <w:tcW w:w="2295" w:type="dxa"/>
            <w:tcBorders>
              <w:top w:val="nil"/>
              <w:left w:val="nil"/>
              <w:bottom w:val="nil"/>
              <w:right w:val="nil"/>
            </w:tcBorders>
            <w:vAlign w:val="center"/>
          </w:tcPr>
          <w:p w14:paraId="6CEA3DDD" w14:textId="29162B1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1.00E-2</w:t>
            </w:r>
          </w:p>
        </w:tc>
        <w:tc>
          <w:tcPr>
            <w:tcW w:w="1337" w:type="dxa"/>
            <w:tcBorders>
              <w:top w:val="nil"/>
              <w:left w:val="nil"/>
              <w:bottom w:val="nil"/>
              <w:right w:val="nil"/>
            </w:tcBorders>
            <w:vAlign w:val="center"/>
          </w:tcPr>
          <w:p w14:paraId="7154379A" w14:textId="5280469B"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tcBorders>
              <w:top w:val="nil"/>
              <w:left w:val="nil"/>
              <w:bottom w:val="nil"/>
              <w:right w:val="nil"/>
            </w:tcBorders>
            <w:vAlign w:val="center"/>
          </w:tcPr>
          <w:p w14:paraId="46E5FF1D" w14:textId="1E219110"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3.69</w:t>
            </w:r>
          </w:p>
        </w:tc>
        <w:tc>
          <w:tcPr>
            <w:tcW w:w="1292" w:type="dxa"/>
            <w:tcBorders>
              <w:top w:val="nil"/>
              <w:left w:val="nil"/>
              <w:bottom w:val="nil"/>
              <w:right w:val="nil"/>
            </w:tcBorders>
            <w:vAlign w:val="center"/>
          </w:tcPr>
          <w:p w14:paraId="0078D23B" w14:textId="08C6C3B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0.4852</w:t>
            </w:r>
          </w:p>
        </w:tc>
      </w:tr>
      <w:tr w:rsidR="00136952" w:rsidRPr="00C47575" w14:paraId="29D06D5F" w14:textId="77777777" w:rsidTr="003D0F1C">
        <w:trPr>
          <w:trHeight w:val="504"/>
          <w:jc w:val="center"/>
        </w:trPr>
        <w:tc>
          <w:tcPr>
            <w:tcW w:w="1155" w:type="dxa"/>
            <w:tcBorders>
              <w:top w:val="nil"/>
              <w:left w:val="nil"/>
              <w:bottom w:val="double" w:sz="4" w:space="0" w:color="auto"/>
              <w:right w:val="nil"/>
            </w:tcBorders>
            <w:vAlign w:val="center"/>
          </w:tcPr>
          <w:p w14:paraId="6B5D49F7" w14:textId="727E564D"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Zn</w:t>
            </w:r>
          </w:p>
        </w:tc>
        <w:tc>
          <w:tcPr>
            <w:tcW w:w="2000" w:type="dxa"/>
            <w:tcBorders>
              <w:top w:val="nil"/>
              <w:left w:val="nil"/>
              <w:bottom w:val="double" w:sz="4" w:space="0" w:color="auto"/>
              <w:right w:val="nil"/>
            </w:tcBorders>
            <w:vAlign w:val="center"/>
          </w:tcPr>
          <w:p w14:paraId="74EB8389" w14:textId="73C1BBF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45.41</w:t>
            </w:r>
          </w:p>
        </w:tc>
        <w:tc>
          <w:tcPr>
            <w:tcW w:w="1283" w:type="dxa"/>
            <w:tcBorders>
              <w:top w:val="nil"/>
              <w:left w:val="nil"/>
              <w:bottom w:val="double" w:sz="4" w:space="0" w:color="auto"/>
              <w:right w:val="nil"/>
            </w:tcBorders>
          </w:tcPr>
          <w:p w14:paraId="0A2213E3" w14:textId="24C5696F"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37.74</w:t>
            </w:r>
          </w:p>
        </w:tc>
        <w:tc>
          <w:tcPr>
            <w:tcW w:w="1368" w:type="dxa"/>
            <w:tcBorders>
              <w:top w:val="nil"/>
              <w:left w:val="nil"/>
              <w:bottom w:val="double" w:sz="4" w:space="0" w:color="auto"/>
              <w:right w:val="nil"/>
            </w:tcBorders>
          </w:tcPr>
          <w:p w14:paraId="58619B58" w14:textId="6A54AD1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450.00</w:t>
            </w:r>
          </w:p>
        </w:tc>
        <w:tc>
          <w:tcPr>
            <w:tcW w:w="2217" w:type="dxa"/>
            <w:tcBorders>
              <w:top w:val="nil"/>
              <w:left w:val="nil"/>
              <w:bottom w:val="double" w:sz="4" w:space="0" w:color="auto"/>
              <w:right w:val="nil"/>
            </w:tcBorders>
          </w:tcPr>
          <w:p w14:paraId="33915B6E" w14:textId="7704492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150.00</w:t>
            </w:r>
          </w:p>
        </w:tc>
        <w:tc>
          <w:tcPr>
            <w:tcW w:w="2295" w:type="dxa"/>
            <w:tcBorders>
              <w:top w:val="nil"/>
              <w:left w:val="nil"/>
              <w:bottom w:val="double" w:sz="4" w:space="0" w:color="auto"/>
              <w:right w:val="nil"/>
            </w:tcBorders>
            <w:vAlign w:val="center"/>
          </w:tcPr>
          <w:p w14:paraId="6A6D6A58" w14:textId="4D81851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1.80E-1</w:t>
            </w:r>
          </w:p>
        </w:tc>
        <w:tc>
          <w:tcPr>
            <w:tcW w:w="1337" w:type="dxa"/>
            <w:tcBorders>
              <w:top w:val="nil"/>
              <w:left w:val="nil"/>
              <w:bottom w:val="double" w:sz="4" w:space="0" w:color="auto"/>
              <w:right w:val="nil"/>
            </w:tcBorders>
            <w:vAlign w:val="center"/>
          </w:tcPr>
          <w:p w14:paraId="02959494" w14:textId="7CDC1B4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w:t>
            </w:r>
          </w:p>
        </w:tc>
        <w:tc>
          <w:tcPr>
            <w:tcW w:w="1110" w:type="dxa"/>
            <w:tcBorders>
              <w:top w:val="nil"/>
              <w:left w:val="nil"/>
              <w:bottom w:val="double" w:sz="4" w:space="0" w:color="auto"/>
              <w:right w:val="nil"/>
            </w:tcBorders>
            <w:vAlign w:val="center"/>
          </w:tcPr>
          <w:p w14:paraId="3F71A6BE" w14:textId="23101F2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3.32</w:t>
            </w:r>
          </w:p>
        </w:tc>
        <w:tc>
          <w:tcPr>
            <w:tcW w:w="1292" w:type="dxa"/>
            <w:tcBorders>
              <w:top w:val="nil"/>
              <w:left w:val="nil"/>
              <w:bottom w:val="double" w:sz="4" w:space="0" w:color="auto"/>
              <w:right w:val="nil"/>
            </w:tcBorders>
            <w:vAlign w:val="center"/>
          </w:tcPr>
          <w:p w14:paraId="06168A9D" w14:textId="3C890931"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0.3970</w:t>
            </w:r>
          </w:p>
        </w:tc>
      </w:tr>
    </w:tbl>
    <w:p w14:paraId="7B2615DD" w14:textId="0439F683"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w:t>
      </w:r>
      <w:r w:rsidR="003D0F1C">
        <w:rPr>
          <w:rStyle w:val="tlid-translation"/>
          <w:sz w:val="20"/>
          <w:szCs w:val="20"/>
          <w:lang w:val="en-US"/>
        </w:rPr>
        <w:t xml:space="preserve"> </w:t>
      </w:r>
      <w:r w:rsidR="003D0F1C">
        <w:rPr>
          <w:rStyle w:val="tlid-translation"/>
          <w:sz w:val="20"/>
          <w:szCs w:val="20"/>
          <w:vertAlign w:val="superscript"/>
          <w:lang w:val="en-US"/>
        </w:rPr>
        <w:t>b</w:t>
      </w:r>
      <w:r w:rsidR="003D0F1C">
        <w:rPr>
          <w:rStyle w:val="tlid-translation"/>
          <w:sz w:val="20"/>
          <w:szCs w:val="20"/>
          <w:lang w:val="en-US"/>
        </w:rPr>
        <w:t xml:space="preserve"> </w:t>
      </w:r>
      <w:r w:rsidR="003D0F1C">
        <w:rPr>
          <w:rStyle w:val="tlid-translation"/>
          <w:sz w:val="20"/>
          <w:lang w:val="en-US"/>
        </w:rPr>
        <w:t xml:space="preserve">Values taken from </w:t>
      </w:r>
      <w:bookmarkStart w:id="2" w:name="_Hlk56155331"/>
      <w:r w:rsidR="003D0F1C" w:rsidRPr="003D0F1C">
        <w:rPr>
          <w:rStyle w:val="tlid-translation"/>
          <w:sz w:val="20"/>
          <w:szCs w:val="20"/>
          <w:lang w:val="en-US"/>
        </w:rPr>
        <w:t xml:space="preserve">Cruz </w:t>
      </w:r>
      <w:r w:rsidR="003D0F1C" w:rsidRPr="003D0F1C">
        <w:rPr>
          <w:rStyle w:val="tlid-translation"/>
          <w:sz w:val="20"/>
          <w:szCs w:val="20"/>
          <w:lang w:val="en-US"/>
        </w:rPr>
        <w:fldChar w:fldCharType="begin" w:fldLock="1"/>
      </w:r>
      <w:r w:rsidR="003D0F1C" w:rsidRPr="003D0F1C">
        <w:rPr>
          <w:rStyle w:val="tlid-translation"/>
          <w:sz w:val="20"/>
          <w:szCs w:val="20"/>
          <w:lang w:val="en-US"/>
        </w:rPr>
        <w:instrText>ADDIN CSL_CITATION {"citationItems":[{"id":"ITEM-1","itemData":{"author":[{"dropping-particle":"","family":"Cruz","given":"F. da C.","non-dropping-particle":"","parse-names":false,"suffix":""}],"id":"ITEM-1","issued":{"date-parts":[["2013"]]},"number-of-pages":"77","publisher":"Thesis (Master's degree) – Federal University of Bahia","title":"Background ambiental de elementos traço em substrato de manguezais dos municípios de una, canavieiras e belmonte, Bahia","type":"thesis"},"suppress-author":1,"uris":["http://www.mendeley.com/documents/?uuid=e8668a40-ab6f-4249-80fa-8355cb014bcb"]}],"mendeley":{"formattedCitation":"(2013)","plainTextFormattedCitation":"(2013)","previouslyFormattedCitation":"(2013)"},"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(2013)</w:t>
      </w:r>
      <w:r w:rsidR="003D0F1C" w:rsidRPr="003D0F1C">
        <w:rPr>
          <w:rStyle w:val="tlid-translation"/>
          <w:sz w:val="20"/>
          <w:szCs w:val="20"/>
          <w:lang w:val="en-US"/>
        </w:rPr>
        <w:fldChar w:fldCharType="end"/>
      </w:r>
      <w:r w:rsidR="003D0F1C" w:rsidRPr="003D0F1C">
        <w:rPr>
          <w:rStyle w:val="tlid-translation"/>
          <w:sz w:val="20"/>
          <w:szCs w:val="20"/>
          <w:lang w:val="en-US"/>
        </w:rPr>
        <w:t xml:space="preserve"> and Mendes </w:t>
      </w:r>
      <w:r w:rsidR="003D0F1C" w:rsidRPr="003D0F1C">
        <w:rPr>
          <w:rStyle w:val="tlid-translation"/>
          <w:sz w:val="20"/>
          <w:szCs w:val="20"/>
          <w:lang w:val="en-US"/>
        </w:rPr>
        <w:fldChar w:fldCharType="begin" w:fldLock="1"/>
      </w:r>
      <w:r w:rsidR="003D0F1C" w:rsidRPr="003D0F1C">
        <w:rPr>
          <w:rStyle w:val="tlid-translation"/>
          <w:sz w:val="20"/>
          <w:szCs w:val="20"/>
          <w:lang w:val="en-US"/>
        </w:rPr>
        <w:instrText>ADDIN CSL_CITATION {"citationItems":[{"id":"ITEM-1","itemData":{"author":[{"dropping-particle":"","family":"Mendes","given":"Natália Micheli Tavares do Nascimento Silva","non-dropping-particle":"","parse-names":false,"suffix":""}],"id":"ITEM-1","issued":{"date-parts":[["2015"]]},"number-of-pages":"133","publisher":"Thesis (Doctorate's degree) – Federal University of Pernambuco","title":"Background geooquímico para sedimentos de regiões estuarinas de Pernambuco","type":"thesis"},"suppress-author":1,"uris":["http://www.mendeley.com/documents/?uuid=2381e4e1-ba8d-400a-866a-14f2e03809a2"]}],"mendeley":{"formattedCitation":"(2015)","plainTextFormattedCitation":"(2015)","previouslyFormattedCitation":"(2015)"},"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(2015)</w:t>
      </w:r>
      <w:r w:rsidR="003D0F1C" w:rsidRPr="003D0F1C">
        <w:rPr>
          <w:rStyle w:val="tlid-translation"/>
          <w:sz w:val="20"/>
          <w:szCs w:val="20"/>
          <w:lang w:val="en-US"/>
        </w:rPr>
        <w:fldChar w:fldCharType="end"/>
      </w:r>
      <w:bookmarkEnd w:id="2"/>
      <w:r w:rsidR="003D0F1C">
        <w:rPr>
          <w:rStyle w:val="tlid-translation"/>
          <w:sz w:val="20"/>
          <w:lang w:val="en-US"/>
        </w:rPr>
        <w:t>;</w:t>
      </w:r>
      <w:r>
        <w:rPr>
          <w:rStyle w:val="tlid-translation"/>
          <w:sz w:val="20"/>
          <w:szCs w:val="20"/>
          <w:lang w:val="en-US"/>
        </w:rPr>
        <w:t xml:space="preserve"> </w:t>
      </w:r>
      <w:r w:rsidR="003D0F1C">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w:t>
      </w:r>
      <w:r w:rsidR="003D0F1C" w:rsidRPr="003D0F1C">
        <w:rPr>
          <w:rStyle w:val="tlid-translation"/>
          <w:sz w:val="20"/>
          <w:szCs w:val="20"/>
          <w:vertAlign w:val="superscript"/>
          <w:lang w:val="en-US"/>
        </w:rPr>
        <w:t xml:space="preserve"> </w:t>
      </w:r>
      <w:r w:rsidR="003D0F1C">
        <w:rPr>
          <w:rStyle w:val="tlid-translation"/>
          <w:sz w:val="20"/>
          <w:szCs w:val="20"/>
          <w:vertAlign w:val="superscript"/>
          <w:lang w:val="en-US"/>
        </w:rPr>
        <w:t>d</w:t>
      </w:r>
      <w:r w:rsidR="003D0F1C">
        <w:rPr>
          <w:rStyle w:val="tlid-translation"/>
          <w:sz w:val="20"/>
          <w:szCs w:val="20"/>
          <w:lang w:val="en-US"/>
        </w:rPr>
        <w:t xml:space="preserve"> </w:t>
      </w:r>
      <w:r w:rsidR="003D0F1C">
        <w:rPr>
          <w:rStyle w:val="tlid-translation"/>
          <w:sz w:val="20"/>
          <w:lang w:val="en-US"/>
        </w:rPr>
        <w:t xml:space="preserve">Values taken </w:t>
      </w:r>
      <w:r w:rsidR="003D0F1C" w:rsidRPr="003D0F1C">
        <w:rPr>
          <w:rStyle w:val="tlid-translation"/>
          <w:sz w:val="20"/>
          <w:lang w:val="en-US"/>
        </w:rPr>
        <w:t>from</w:t>
      </w:r>
      <w:r w:rsidR="003D0F1C" w:rsidRPr="003D0F1C">
        <w:rPr>
          <w:rStyle w:val="tlid-translation"/>
          <w:sz w:val="20"/>
          <w:szCs w:val="20"/>
          <w:lang w:val="en-US"/>
        </w:rPr>
        <w:t xml:space="preserve"> CONAMA </w:t>
      </w:r>
      <w:r w:rsidR="003D0F1C" w:rsidRPr="003D0F1C">
        <w:rPr>
          <w:rStyle w:val="tlid-translation"/>
          <w:sz w:val="20"/>
          <w:szCs w:val="20"/>
          <w:lang w:val="en-US"/>
        </w:rPr>
        <w:fldChar w:fldCharType="begin" w:fldLock="1"/>
      </w:r>
      <w:r w:rsidR="00876AC6">
        <w:rPr>
          <w:rStyle w:val="tlid-translation"/>
          <w:sz w:val="20"/>
          <w:szCs w:val="20"/>
          <w:lang w:val="en-US"/>
        </w:rPr>
        <w:instrText>ADDIN CSL_CITATION {"citationItems":[{"id":"ITEM-1","itemData":{"abstract":"Estabelece as diretrizes gerais e os procedimentos referenciais para o gerenciamento do material a ser dragado em águas sob jurisdição nacional","author":[{"dropping-particle":"","family":"CONAMA","given":"","non-dropping-particle":"","parse-names":false,"suffix":""}],"container-title":"Conselho Nacional do Meio Ambiente, Diário Oficial [da] República Federativa do Brasil","id":"ITEM-1","issued":{"date-parts":[["2012"]]},"title":"Estabelece as diretrizes gerais e os procedimentos referenciais para o gerenciamento do material a ser dragado em águas sob jurisdição nacional","type":"report"},"suppress-author":1,"uris":["http://www.mendeley.com/documents/?uuid=7d00035b-3bdf-426f-ab0d-feb97a5c2b27"]}],"mendeley":{"formattedCitation":"(2012)","plainTextFormattedCitation":"(2012)","previouslyFormattedCitation":"(2012)"},"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(2012)</w:t>
      </w:r>
      <w:r w:rsidR="003D0F1C" w:rsidRPr="003D0F1C">
        <w:rPr>
          <w:rStyle w:val="tlid-translation"/>
          <w:sz w:val="20"/>
          <w:szCs w:val="20"/>
          <w:lang w:val="en-US"/>
        </w:rPr>
        <w:fldChar w:fldCharType="end"/>
      </w:r>
      <w:r w:rsidR="003D0F1C" w:rsidRPr="003D0F1C">
        <w:rPr>
          <w:rStyle w:val="tlid-translation"/>
          <w:sz w:val="20"/>
          <w:szCs w:val="20"/>
          <w:lang w:val="en-US"/>
        </w:rPr>
        <w:t>;</w:t>
      </w:r>
      <w:r>
        <w:rPr>
          <w:rStyle w:val="tlid-translation"/>
          <w:sz w:val="20"/>
          <w:szCs w:val="20"/>
          <w:lang w:val="en-US"/>
        </w:rPr>
        <w:t xml:space="preserve"> </w:t>
      </w:r>
      <w:r w:rsidR="003D0F1C">
        <w:rPr>
          <w:rStyle w:val="tlid-translation"/>
          <w:sz w:val="20"/>
          <w:szCs w:val="20"/>
          <w:vertAlign w:val="superscript"/>
          <w:lang w:val="en-US"/>
        </w:rPr>
        <w:t>e</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sidRPr="006460FE">
        <w:rPr>
          <w:rStyle w:val="tlid-translation"/>
          <w:sz w:val="20"/>
          <w:szCs w:val="20"/>
          <w:lang w:val="en-US"/>
        </w:rPr>
        <w:t>;</w:t>
      </w:r>
      <w:r w:rsidRPr="006460FE">
        <w:rPr>
          <w:rStyle w:val="tlid-translation"/>
          <w:sz w:val="20"/>
          <w:szCs w:val="20"/>
          <w:vertAlign w:val="superscript"/>
          <w:lang w:val="en-US"/>
        </w:rPr>
        <w:t xml:space="preserve"> *</w:t>
      </w:r>
      <w:r w:rsidRPr="006460FE">
        <w:rPr>
          <w:rStyle w:val="tlid-translation"/>
          <w:sz w:val="20"/>
          <w:szCs w:val="20"/>
          <w:lang w:val="en-US"/>
        </w:rPr>
        <w:t xml:space="preserve"> </w:t>
      </w:r>
      <w:r>
        <w:rPr>
          <w:rStyle w:val="tlid-translation"/>
          <w:sz w:val="20"/>
          <w:lang w:val="en-US"/>
        </w:rPr>
        <w:t xml:space="preserve">Values taken from </w:t>
      </w:r>
      <w:proofErr w:type="spellStart"/>
      <w:r w:rsidRPr="006460FE">
        <w:rPr>
          <w:sz w:val="20"/>
          <w:szCs w:val="20"/>
          <w:lang w:val="en-US"/>
        </w:rPr>
        <w:t>Hakanson</w:t>
      </w:r>
      <w:proofErr w:type="spellEnd"/>
      <w:r w:rsidRPr="006460FE">
        <w:rPr>
          <w:rStyle w:val="tlid-translation"/>
          <w:sz w:val="20"/>
          <w:szCs w:val="20"/>
          <w:lang w:val="en-US"/>
        </w:rPr>
        <w:t xml:space="preserve"> </w:t>
      </w:r>
      <w:r>
        <w:rPr>
          <w:rStyle w:val="tlid-translation"/>
          <w:sz w:val="20"/>
          <w:szCs w:val="20"/>
          <w:lang w:val="en-US"/>
        </w:rPr>
        <w:fldChar w:fldCharType="begin" w:fldLock="1"/>
      </w:r>
      <w:r w:rsidRPr="006460FE">
        <w:rPr>
          <w:rStyle w:val="tlid-translation"/>
          <w:sz w:val="20"/>
          <w:szCs w:val="20"/>
          <w:lang w:val="en-US"/>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418"/>
        <w:gridCol w:w="425"/>
        <w:gridCol w:w="993"/>
        <w:gridCol w:w="424"/>
        <w:gridCol w:w="142"/>
        <w:gridCol w:w="284"/>
        <w:gridCol w:w="709"/>
        <w:gridCol w:w="566"/>
        <w:gridCol w:w="851"/>
        <w:gridCol w:w="143"/>
        <w:gridCol w:w="707"/>
        <w:gridCol w:w="709"/>
        <w:gridCol w:w="72"/>
        <w:gridCol w:w="353"/>
        <w:gridCol w:w="567"/>
        <w:gridCol w:w="568"/>
        <w:gridCol w:w="850"/>
        <w:gridCol w:w="508"/>
        <w:gridCol w:w="80"/>
        <w:gridCol w:w="1439"/>
      </w:tblGrid>
      <w:tr w:rsidR="00405D8B" w:rsidRPr="00405D8B" w14:paraId="6E06F219" w14:textId="77777777" w:rsidTr="00582AB0">
        <w:trPr>
          <w:trHeight w:val="396"/>
          <w:jc w:val="center"/>
        </w:trPr>
        <w:tc>
          <w:tcPr>
            <w:tcW w:w="2409" w:type="dxa"/>
            <w:tcBorders>
              <w:top w:val="double" w:sz="4" w:space="0" w:color="auto"/>
            </w:tcBorders>
            <w:vAlign w:val="center"/>
          </w:tcPr>
          <w:p w14:paraId="5415AD31" w14:textId="77777777" w:rsidR="00405D8B" w:rsidRPr="00405D8B" w:rsidRDefault="00405D8B" w:rsidP="00582AB0">
            <w:pPr>
              <w:spacing w:line="276" w:lineRule="auto"/>
              <w:jc w:val="center"/>
              <w:rPr>
                <w:b/>
                <w:bCs/>
                <w:sz w:val="20"/>
                <w:szCs w:val="20"/>
                <w:lang w:val="en-US"/>
              </w:rPr>
            </w:pPr>
            <w:r w:rsidRPr="00405D8B">
              <w:rPr>
                <w:rStyle w:val="tlid-translation"/>
                <w:b/>
                <w:sz w:val="20"/>
                <w:szCs w:val="20"/>
                <w:lang w:val="en-US"/>
              </w:rPr>
              <w:t>Category</w:t>
            </w:r>
          </w:p>
        </w:tc>
        <w:tc>
          <w:tcPr>
            <w:tcW w:w="1418" w:type="dxa"/>
            <w:tcBorders>
              <w:top w:val="double" w:sz="4" w:space="0" w:color="auto"/>
            </w:tcBorders>
            <w:vAlign w:val="center"/>
          </w:tcPr>
          <w:p w14:paraId="5EA223BD"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0</w:t>
            </w:r>
          </w:p>
        </w:tc>
        <w:tc>
          <w:tcPr>
            <w:tcW w:w="1842" w:type="dxa"/>
            <w:gridSpan w:val="3"/>
            <w:tcBorders>
              <w:top w:val="double" w:sz="4" w:space="0" w:color="auto"/>
            </w:tcBorders>
            <w:vAlign w:val="center"/>
          </w:tcPr>
          <w:p w14:paraId="0D41FBEE"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1</w:t>
            </w:r>
          </w:p>
        </w:tc>
        <w:tc>
          <w:tcPr>
            <w:tcW w:w="1701" w:type="dxa"/>
            <w:gridSpan w:val="4"/>
            <w:tcBorders>
              <w:top w:val="double" w:sz="4" w:space="0" w:color="auto"/>
            </w:tcBorders>
            <w:vAlign w:val="center"/>
          </w:tcPr>
          <w:p w14:paraId="376A8D03"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2</w:t>
            </w:r>
          </w:p>
        </w:tc>
        <w:tc>
          <w:tcPr>
            <w:tcW w:w="1701" w:type="dxa"/>
            <w:gridSpan w:val="3"/>
            <w:tcBorders>
              <w:top w:val="double" w:sz="4" w:space="0" w:color="auto"/>
            </w:tcBorders>
            <w:vAlign w:val="center"/>
          </w:tcPr>
          <w:p w14:paraId="0DB084BC"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3</w:t>
            </w:r>
          </w:p>
        </w:tc>
        <w:tc>
          <w:tcPr>
            <w:tcW w:w="1701" w:type="dxa"/>
            <w:gridSpan w:val="4"/>
            <w:tcBorders>
              <w:top w:val="double" w:sz="4" w:space="0" w:color="auto"/>
            </w:tcBorders>
            <w:vAlign w:val="center"/>
          </w:tcPr>
          <w:p w14:paraId="47E0CF34"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4</w:t>
            </w:r>
          </w:p>
        </w:tc>
        <w:tc>
          <w:tcPr>
            <w:tcW w:w="1926" w:type="dxa"/>
            <w:gridSpan w:val="3"/>
            <w:tcBorders>
              <w:top w:val="double" w:sz="4" w:space="0" w:color="auto"/>
            </w:tcBorders>
            <w:vAlign w:val="center"/>
          </w:tcPr>
          <w:p w14:paraId="1679CC7E"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5</w:t>
            </w:r>
          </w:p>
        </w:tc>
        <w:tc>
          <w:tcPr>
            <w:tcW w:w="1519" w:type="dxa"/>
            <w:gridSpan w:val="2"/>
            <w:tcBorders>
              <w:top w:val="double" w:sz="4" w:space="0" w:color="auto"/>
            </w:tcBorders>
            <w:vAlign w:val="center"/>
          </w:tcPr>
          <w:p w14:paraId="59A6C601"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6</w:t>
            </w:r>
          </w:p>
        </w:tc>
      </w:tr>
      <w:tr w:rsidR="00405D8B" w:rsidRPr="00405D8B" w14:paraId="6BBCEC72" w14:textId="77777777" w:rsidTr="00582AB0">
        <w:trPr>
          <w:trHeight w:val="396"/>
          <w:jc w:val="center"/>
        </w:trPr>
        <w:tc>
          <w:tcPr>
            <w:tcW w:w="2409" w:type="dxa"/>
            <w:tcBorders>
              <w:bottom w:val="double" w:sz="4" w:space="0" w:color="auto"/>
            </w:tcBorders>
            <w:vAlign w:val="center"/>
          </w:tcPr>
          <w:p w14:paraId="1B828BD7" w14:textId="77777777" w:rsidR="00405D8B" w:rsidRPr="00405D8B" w:rsidRDefault="00405D8B" w:rsidP="00582AB0">
            <w:pPr>
              <w:spacing w:line="276" w:lineRule="auto"/>
              <w:jc w:val="center"/>
              <w:rPr>
                <w:rStyle w:val="tlid-translation"/>
                <w:b/>
                <w:bCs/>
                <w:sz w:val="20"/>
                <w:szCs w:val="20"/>
                <w:lang w:val="en-US"/>
              </w:rPr>
            </w:pPr>
            <w:r w:rsidRPr="00405D8B">
              <w:rPr>
                <w:b/>
                <w:bCs/>
                <w:sz w:val="20"/>
                <w:szCs w:val="20"/>
                <w:lang w:val="en-US"/>
              </w:rPr>
              <w:t>Contamination level</w:t>
            </w:r>
          </w:p>
        </w:tc>
        <w:tc>
          <w:tcPr>
            <w:tcW w:w="1418" w:type="dxa"/>
            <w:tcBorders>
              <w:bottom w:val="double" w:sz="4" w:space="0" w:color="auto"/>
            </w:tcBorders>
            <w:shd w:val="clear" w:color="auto" w:fill="9CC2E5" w:themeFill="accent1" w:themeFillTint="99"/>
            <w:vAlign w:val="center"/>
          </w:tcPr>
          <w:p w14:paraId="7A3B7A2A" w14:textId="77777777" w:rsidR="00405D8B" w:rsidRPr="00405D8B" w:rsidRDefault="00405D8B" w:rsidP="00582AB0">
            <w:pPr>
              <w:spacing w:line="276" w:lineRule="auto"/>
              <w:jc w:val="center"/>
              <w:rPr>
                <w:rStyle w:val="tlid-translation"/>
                <w:sz w:val="20"/>
                <w:szCs w:val="20"/>
                <w:vertAlign w:val="subscript"/>
                <w:lang w:val="en-US"/>
              </w:rPr>
            </w:pPr>
            <w:r w:rsidRPr="00405D8B">
              <w:rPr>
                <w:rStyle w:val="tlid-translation"/>
                <w:sz w:val="20"/>
                <w:szCs w:val="20"/>
                <w:lang w:val="en-US"/>
              </w:rPr>
              <w:t>Unpolluted</w:t>
            </w:r>
          </w:p>
        </w:tc>
        <w:tc>
          <w:tcPr>
            <w:tcW w:w="1842" w:type="dxa"/>
            <w:gridSpan w:val="3"/>
            <w:tcBorders>
              <w:bottom w:val="double" w:sz="4" w:space="0" w:color="auto"/>
            </w:tcBorders>
            <w:shd w:val="clear" w:color="auto" w:fill="DEEAF6" w:themeFill="accent1" w:themeFillTint="33"/>
            <w:vAlign w:val="center"/>
          </w:tcPr>
          <w:p w14:paraId="56CA8CE6"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Low to moderately polluted</w:t>
            </w:r>
          </w:p>
        </w:tc>
        <w:tc>
          <w:tcPr>
            <w:tcW w:w="1701" w:type="dxa"/>
            <w:gridSpan w:val="4"/>
            <w:tcBorders>
              <w:bottom w:val="double" w:sz="4" w:space="0" w:color="auto"/>
            </w:tcBorders>
            <w:shd w:val="clear" w:color="auto" w:fill="95FE90"/>
            <w:vAlign w:val="center"/>
          </w:tcPr>
          <w:p w14:paraId="338C4645"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Moderately polluted</w:t>
            </w:r>
          </w:p>
        </w:tc>
        <w:tc>
          <w:tcPr>
            <w:tcW w:w="1701" w:type="dxa"/>
            <w:gridSpan w:val="3"/>
            <w:tcBorders>
              <w:bottom w:val="double" w:sz="4" w:space="0" w:color="auto"/>
            </w:tcBorders>
            <w:shd w:val="clear" w:color="auto" w:fill="FFF2CC" w:themeFill="accent4" w:themeFillTint="33"/>
            <w:vAlign w:val="center"/>
          </w:tcPr>
          <w:p w14:paraId="2770A26E"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Moderately to heavily polluted</w:t>
            </w:r>
          </w:p>
        </w:tc>
        <w:tc>
          <w:tcPr>
            <w:tcW w:w="1701" w:type="dxa"/>
            <w:gridSpan w:val="4"/>
            <w:tcBorders>
              <w:bottom w:val="double" w:sz="4" w:space="0" w:color="auto"/>
            </w:tcBorders>
            <w:shd w:val="clear" w:color="auto" w:fill="FFD966" w:themeFill="accent4" w:themeFillTint="99"/>
            <w:vAlign w:val="center"/>
          </w:tcPr>
          <w:p w14:paraId="271415E0"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Heavily polluted</w:t>
            </w:r>
          </w:p>
        </w:tc>
        <w:tc>
          <w:tcPr>
            <w:tcW w:w="1926" w:type="dxa"/>
            <w:gridSpan w:val="3"/>
            <w:tcBorders>
              <w:bottom w:val="double" w:sz="4" w:space="0" w:color="auto"/>
            </w:tcBorders>
            <w:shd w:val="clear" w:color="auto" w:fill="F7CAAC" w:themeFill="accent2" w:themeFillTint="66"/>
            <w:vAlign w:val="center"/>
          </w:tcPr>
          <w:p w14:paraId="489809E4"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Heavily to extremely polluted</w:t>
            </w:r>
          </w:p>
        </w:tc>
        <w:tc>
          <w:tcPr>
            <w:tcW w:w="1519" w:type="dxa"/>
            <w:gridSpan w:val="2"/>
            <w:tcBorders>
              <w:bottom w:val="double" w:sz="4" w:space="0" w:color="auto"/>
            </w:tcBorders>
            <w:shd w:val="clear" w:color="auto" w:fill="FF4B4B"/>
            <w:vAlign w:val="center"/>
          </w:tcPr>
          <w:p w14:paraId="0BC04FAA"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Extremely polluted</w:t>
            </w:r>
          </w:p>
        </w:tc>
      </w:tr>
      <w:tr w:rsidR="00405D8B" w:rsidRPr="00405D8B" w14:paraId="40AAF0CB" w14:textId="77777777" w:rsidTr="004B60B2">
        <w:trPr>
          <w:trHeight w:val="411"/>
          <w:jc w:val="center"/>
        </w:trPr>
        <w:tc>
          <w:tcPr>
            <w:tcW w:w="2409" w:type="dxa"/>
            <w:tcBorders>
              <w:top w:val="double" w:sz="4" w:space="0" w:color="auto"/>
            </w:tcBorders>
            <w:vAlign w:val="center"/>
          </w:tcPr>
          <w:p w14:paraId="49C7BA63" w14:textId="77777777" w:rsidR="00405D8B" w:rsidRPr="00405D8B" w:rsidRDefault="00405D8B" w:rsidP="00582AB0">
            <w:pPr>
              <w:spacing w:line="276" w:lineRule="auto"/>
              <w:jc w:val="center"/>
              <w:rPr>
                <w:rStyle w:val="tlid-translation"/>
                <w:sz w:val="20"/>
                <w:szCs w:val="20"/>
                <w:vertAlign w:val="superscript"/>
                <w:lang w:val="en-US"/>
              </w:rPr>
            </w:pPr>
            <w:r w:rsidRPr="00405D8B">
              <w:rPr>
                <w:rStyle w:val="tlid-translation"/>
                <w:i/>
                <w:iCs/>
                <w:sz w:val="20"/>
                <w:szCs w:val="20"/>
                <w:lang w:val="en-US"/>
              </w:rPr>
              <w:t>CF</w:t>
            </w:r>
            <w:r w:rsidRPr="00405D8B">
              <w:rPr>
                <w:rStyle w:val="tlid-translation"/>
                <w:sz w:val="20"/>
                <w:szCs w:val="20"/>
                <w:lang w:val="en-US"/>
              </w:rPr>
              <w:t xml:space="preserve"> </w:t>
            </w:r>
            <w:r w:rsidRPr="00405D8B">
              <w:rPr>
                <w:rStyle w:val="tlid-translation"/>
                <w:sz w:val="20"/>
                <w:szCs w:val="20"/>
                <w:vertAlign w:val="superscript"/>
                <w:lang w:val="en-US"/>
              </w:rPr>
              <w:t>a</w:t>
            </w:r>
          </w:p>
        </w:tc>
        <w:tc>
          <w:tcPr>
            <w:tcW w:w="1418" w:type="dxa"/>
            <w:tcBorders>
              <w:top w:val="double" w:sz="4" w:space="0" w:color="auto"/>
            </w:tcBorders>
            <w:vAlign w:val="center"/>
          </w:tcPr>
          <w:p w14:paraId="0E46543D"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&lt; 1</w:t>
            </w:r>
          </w:p>
        </w:tc>
        <w:tc>
          <w:tcPr>
            <w:tcW w:w="1842" w:type="dxa"/>
            <w:gridSpan w:val="3"/>
            <w:tcBorders>
              <w:top w:val="double" w:sz="4" w:space="0" w:color="auto"/>
            </w:tcBorders>
            <w:vAlign w:val="center"/>
          </w:tcPr>
          <w:p w14:paraId="3B1A6DB2"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tcBorders>
              <w:top w:val="double" w:sz="4" w:space="0" w:color="auto"/>
            </w:tcBorders>
            <w:vAlign w:val="center"/>
          </w:tcPr>
          <w:p w14:paraId="7FEF0EB7"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1 – 3</w:t>
            </w:r>
          </w:p>
        </w:tc>
        <w:tc>
          <w:tcPr>
            <w:tcW w:w="1701" w:type="dxa"/>
            <w:gridSpan w:val="3"/>
            <w:tcBorders>
              <w:top w:val="double" w:sz="4" w:space="0" w:color="auto"/>
            </w:tcBorders>
            <w:vAlign w:val="center"/>
          </w:tcPr>
          <w:p w14:paraId="11148682"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tcBorders>
              <w:top w:val="double" w:sz="4" w:space="0" w:color="auto"/>
            </w:tcBorders>
            <w:vAlign w:val="center"/>
          </w:tcPr>
          <w:p w14:paraId="5B78DECD"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3 – 6</w:t>
            </w:r>
          </w:p>
        </w:tc>
        <w:tc>
          <w:tcPr>
            <w:tcW w:w="1926" w:type="dxa"/>
            <w:gridSpan w:val="3"/>
            <w:tcBorders>
              <w:top w:val="double" w:sz="4" w:space="0" w:color="auto"/>
            </w:tcBorders>
            <w:vAlign w:val="center"/>
          </w:tcPr>
          <w:p w14:paraId="47083371"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w:t>
            </w:r>
          </w:p>
        </w:tc>
        <w:tc>
          <w:tcPr>
            <w:tcW w:w="1519" w:type="dxa"/>
            <w:gridSpan w:val="2"/>
            <w:tcBorders>
              <w:top w:val="double" w:sz="4" w:space="0" w:color="auto"/>
            </w:tcBorders>
            <w:vAlign w:val="center"/>
          </w:tcPr>
          <w:p w14:paraId="20AA4F25"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&gt; 6</w:t>
            </w:r>
          </w:p>
        </w:tc>
      </w:tr>
      <w:tr w:rsidR="004B60B2" w:rsidRPr="00405D8B" w14:paraId="7BF1DBD5" w14:textId="77777777" w:rsidTr="004B60B2">
        <w:trPr>
          <w:trHeight w:val="411"/>
          <w:jc w:val="center"/>
        </w:trPr>
        <w:tc>
          <w:tcPr>
            <w:tcW w:w="2409" w:type="dxa"/>
            <w:vAlign w:val="center"/>
          </w:tcPr>
          <w:p w14:paraId="1F4A94A6" w14:textId="43D109F9" w:rsidR="004B60B2" w:rsidRPr="00405D8B" w:rsidRDefault="004B60B2" w:rsidP="004B60B2">
            <w:pPr>
              <w:spacing w:line="276" w:lineRule="auto"/>
              <w:jc w:val="center"/>
              <w:rPr>
                <w:rStyle w:val="tlid-translation"/>
                <w:i/>
                <w:iCs/>
                <w:sz w:val="20"/>
                <w:szCs w:val="20"/>
                <w:lang w:val="en-US"/>
              </w:rPr>
            </w:pPr>
            <w:proofErr w:type="spellStart"/>
            <w:r>
              <w:rPr>
                <w:rStyle w:val="tlid-translation"/>
                <w:i/>
                <w:iCs/>
                <w:sz w:val="20"/>
                <w:szCs w:val="20"/>
                <w:lang w:val="en-US"/>
              </w:rPr>
              <w:t>R</w:t>
            </w:r>
            <w:r>
              <w:rPr>
                <w:rStyle w:val="tlid-translation"/>
                <w:i/>
                <w:iCs/>
                <w:sz w:val="20"/>
                <w:szCs w:val="20"/>
                <w:vertAlign w:val="subscript"/>
                <w:lang w:val="en-US"/>
              </w:rPr>
              <w:t>w</w:t>
            </w:r>
            <w:proofErr w:type="spellEnd"/>
            <w:r>
              <w:rPr>
                <w:rStyle w:val="tlid-translation"/>
                <w:i/>
                <w:iCs/>
                <w:sz w:val="20"/>
                <w:szCs w:val="20"/>
                <w:vertAlign w:val="subscript"/>
                <w:lang w:val="en-US"/>
              </w:rPr>
              <w:t>-comb</w:t>
            </w:r>
          </w:p>
        </w:tc>
        <w:tc>
          <w:tcPr>
            <w:tcW w:w="1418" w:type="dxa"/>
            <w:vAlign w:val="center"/>
          </w:tcPr>
          <w:p w14:paraId="0B3559A8" w14:textId="45785CB7"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tcPr>
          <w:p w14:paraId="18BD4219" w14:textId="3589A85B"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0.25</w:t>
            </w:r>
          </w:p>
        </w:tc>
        <w:tc>
          <w:tcPr>
            <w:tcW w:w="1701" w:type="dxa"/>
            <w:gridSpan w:val="4"/>
            <w:vAlign w:val="center"/>
          </w:tcPr>
          <w:p w14:paraId="2F9D782C" w14:textId="7D0C76A8"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0.25 – 0.50</w:t>
            </w:r>
          </w:p>
        </w:tc>
        <w:tc>
          <w:tcPr>
            <w:tcW w:w="1701" w:type="dxa"/>
            <w:gridSpan w:val="3"/>
            <w:vAlign w:val="center"/>
          </w:tcPr>
          <w:p w14:paraId="47180793" w14:textId="623115CC"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701" w:type="dxa"/>
            <w:gridSpan w:val="4"/>
            <w:vAlign w:val="center"/>
          </w:tcPr>
          <w:p w14:paraId="7FE77933" w14:textId="101E1C3D"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0.50 – 0.75</w:t>
            </w:r>
          </w:p>
        </w:tc>
        <w:tc>
          <w:tcPr>
            <w:tcW w:w="1926" w:type="dxa"/>
            <w:gridSpan w:val="3"/>
            <w:vAlign w:val="center"/>
          </w:tcPr>
          <w:p w14:paraId="6E21A1D2" w14:textId="6E2DFD90"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519" w:type="dxa"/>
            <w:gridSpan w:val="2"/>
            <w:vAlign w:val="center"/>
          </w:tcPr>
          <w:p w14:paraId="1B49DEB7" w14:textId="7565805C"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0.75</w:t>
            </w:r>
          </w:p>
        </w:tc>
      </w:tr>
      <w:tr w:rsidR="004B60B2" w:rsidRPr="00405D8B" w14:paraId="7C882E65" w14:textId="77777777" w:rsidTr="00582AB0">
        <w:trPr>
          <w:trHeight w:val="411"/>
          <w:jc w:val="center"/>
        </w:trPr>
        <w:tc>
          <w:tcPr>
            <w:tcW w:w="2409" w:type="dxa"/>
            <w:vAlign w:val="center"/>
          </w:tcPr>
          <w:p w14:paraId="78E477FB"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mC</w:t>
            </w:r>
            <w:r w:rsidRPr="00405D8B">
              <w:rPr>
                <w:rStyle w:val="tlid-translation"/>
                <w:i/>
                <w:iCs/>
                <w:sz w:val="20"/>
                <w:szCs w:val="20"/>
                <w:vertAlign w:val="subscript"/>
                <w:lang w:val="en-US"/>
              </w:rPr>
              <w:t>d</w:t>
            </w:r>
            <w:r w:rsidRPr="00405D8B">
              <w:rPr>
                <w:rStyle w:val="tlid-translation"/>
                <w:sz w:val="20"/>
                <w:szCs w:val="20"/>
                <w:lang w:val="en-US"/>
              </w:rPr>
              <w:t xml:space="preserve"> </w:t>
            </w:r>
            <w:r w:rsidRPr="00405D8B">
              <w:rPr>
                <w:rStyle w:val="tlid-translation"/>
                <w:sz w:val="20"/>
                <w:szCs w:val="20"/>
                <w:vertAlign w:val="superscript"/>
                <w:lang w:val="en-US"/>
              </w:rPr>
              <w:t>b</w:t>
            </w:r>
          </w:p>
        </w:tc>
        <w:tc>
          <w:tcPr>
            <w:tcW w:w="1418" w:type="dxa"/>
            <w:vAlign w:val="center"/>
          </w:tcPr>
          <w:p w14:paraId="6FDBC906"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1.5</w:t>
            </w:r>
          </w:p>
        </w:tc>
        <w:tc>
          <w:tcPr>
            <w:tcW w:w="1842" w:type="dxa"/>
            <w:gridSpan w:val="3"/>
            <w:vAlign w:val="center"/>
          </w:tcPr>
          <w:p w14:paraId="5DBBDA4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1.5 – 2.0</w:t>
            </w:r>
          </w:p>
        </w:tc>
        <w:tc>
          <w:tcPr>
            <w:tcW w:w="1701" w:type="dxa"/>
            <w:gridSpan w:val="4"/>
            <w:vAlign w:val="center"/>
          </w:tcPr>
          <w:p w14:paraId="0AB27DD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2.0 – 4.0</w:t>
            </w:r>
          </w:p>
        </w:tc>
        <w:tc>
          <w:tcPr>
            <w:tcW w:w="1701" w:type="dxa"/>
            <w:gridSpan w:val="3"/>
            <w:vAlign w:val="center"/>
          </w:tcPr>
          <w:p w14:paraId="7C92479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4.0 – 8.0</w:t>
            </w:r>
          </w:p>
        </w:tc>
        <w:tc>
          <w:tcPr>
            <w:tcW w:w="1701" w:type="dxa"/>
            <w:gridSpan w:val="4"/>
            <w:vAlign w:val="center"/>
          </w:tcPr>
          <w:p w14:paraId="12D2602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8.0 – 16.0</w:t>
            </w:r>
          </w:p>
        </w:tc>
        <w:tc>
          <w:tcPr>
            <w:tcW w:w="1926" w:type="dxa"/>
            <w:gridSpan w:val="3"/>
            <w:vAlign w:val="center"/>
          </w:tcPr>
          <w:p w14:paraId="2BC067D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16.0 – 32.0</w:t>
            </w:r>
          </w:p>
        </w:tc>
        <w:tc>
          <w:tcPr>
            <w:tcW w:w="1519" w:type="dxa"/>
            <w:gridSpan w:val="2"/>
            <w:vAlign w:val="center"/>
          </w:tcPr>
          <w:p w14:paraId="0F5CF74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32</w:t>
            </w:r>
          </w:p>
        </w:tc>
      </w:tr>
      <w:tr w:rsidR="004B60B2" w:rsidRPr="00405D8B" w14:paraId="4D273457" w14:textId="77777777" w:rsidTr="00582AB0">
        <w:trPr>
          <w:trHeight w:val="411"/>
          <w:jc w:val="center"/>
        </w:trPr>
        <w:tc>
          <w:tcPr>
            <w:tcW w:w="2409" w:type="dxa"/>
            <w:vAlign w:val="center"/>
          </w:tcPr>
          <w:p w14:paraId="0F68C856"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IPI</w:t>
            </w:r>
            <w:r w:rsidRPr="00405D8B">
              <w:rPr>
                <w:rStyle w:val="tlid-translation"/>
                <w:i/>
                <w:iCs/>
                <w:sz w:val="20"/>
                <w:szCs w:val="20"/>
                <w:vertAlign w:val="subscript"/>
                <w:lang w:val="en-US"/>
              </w:rPr>
              <w:t>Th</w:t>
            </w:r>
            <w:r w:rsidRPr="00405D8B">
              <w:rPr>
                <w:rStyle w:val="tlid-translation"/>
                <w:sz w:val="20"/>
                <w:szCs w:val="20"/>
                <w:vertAlign w:val="superscript"/>
                <w:lang w:val="en-US"/>
              </w:rPr>
              <w:t xml:space="preserve"> c</w:t>
            </w:r>
          </w:p>
        </w:tc>
        <w:tc>
          <w:tcPr>
            <w:tcW w:w="1418" w:type="dxa"/>
            <w:vAlign w:val="center"/>
          </w:tcPr>
          <w:p w14:paraId="41DA579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842" w:type="dxa"/>
            <w:gridSpan w:val="3"/>
            <w:vAlign w:val="center"/>
          </w:tcPr>
          <w:p w14:paraId="705F3F94"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1</w:t>
            </w:r>
          </w:p>
        </w:tc>
        <w:tc>
          <w:tcPr>
            <w:tcW w:w="1701" w:type="dxa"/>
            <w:gridSpan w:val="4"/>
            <w:vAlign w:val="center"/>
          </w:tcPr>
          <w:p w14:paraId="1116F70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2</w:t>
            </w:r>
          </w:p>
        </w:tc>
        <w:tc>
          <w:tcPr>
            <w:tcW w:w="1701" w:type="dxa"/>
            <w:gridSpan w:val="3"/>
            <w:vAlign w:val="center"/>
          </w:tcPr>
          <w:p w14:paraId="3910389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vAlign w:val="center"/>
          </w:tcPr>
          <w:p w14:paraId="3E57B94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 – 5</w:t>
            </w:r>
          </w:p>
        </w:tc>
        <w:tc>
          <w:tcPr>
            <w:tcW w:w="1926" w:type="dxa"/>
            <w:gridSpan w:val="3"/>
            <w:vAlign w:val="center"/>
          </w:tcPr>
          <w:p w14:paraId="466C542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519" w:type="dxa"/>
            <w:gridSpan w:val="2"/>
            <w:vAlign w:val="center"/>
          </w:tcPr>
          <w:p w14:paraId="44E62BB2"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&gt; 5</w:t>
            </w:r>
          </w:p>
        </w:tc>
      </w:tr>
      <w:tr w:rsidR="004B60B2" w:rsidRPr="00405D8B" w14:paraId="5321DD30" w14:textId="77777777" w:rsidTr="00582AB0">
        <w:trPr>
          <w:trHeight w:val="411"/>
          <w:jc w:val="center"/>
        </w:trPr>
        <w:tc>
          <w:tcPr>
            <w:tcW w:w="2409" w:type="dxa"/>
            <w:vAlign w:val="center"/>
          </w:tcPr>
          <w:p w14:paraId="740FBDED"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EF</w:t>
            </w:r>
            <w:r w:rsidRPr="00405D8B">
              <w:rPr>
                <w:rStyle w:val="tlid-translation"/>
                <w:sz w:val="20"/>
                <w:szCs w:val="20"/>
                <w:lang w:val="en-US"/>
              </w:rPr>
              <w:t xml:space="preserve"> </w:t>
            </w:r>
            <w:r w:rsidRPr="00405D8B">
              <w:rPr>
                <w:rStyle w:val="tlid-translation"/>
                <w:sz w:val="20"/>
                <w:szCs w:val="20"/>
                <w:vertAlign w:val="superscript"/>
                <w:lang w:val="en-US"/>
              </w:rPr>
              <w:t>a</w:t>
            </w:r>
          </w:p>
        </w:tc>
        <w:tc>
          <w:tcPr>
            <w:tcW w:w="1418" w:type="dxa"/>
            <w:vAlign w:val="center"/>
          </w:tcPr>
          <w:p w14:paraId="1AF6228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w:t>
            </w:r>
          </w:p>
        </w:tc>
        <w:tc>
          <w:tcPr>
            <w:tcW w:w="1842" w:type="dxa"/>
            <w:gridSpan w:val="3"/>
            <w:vAlign w:val="center"/>
          </w:tcPr>
          <w:p w14:paraId="6F96C75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3</w:t>
            </w:r>
          </w:p>
        </w:tc>
        <w:tc>
          <w:tcPr>
            <w:tcW w:w="1701" w:type="dxa"/>
            <w:gridSpan w:val="4"/>
            <w:vAlign w:val="center"/>
          </w:tcPr>
          <w:p w14:paraId="066A46F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 – 5</w:t>
            </w:r>
          </w:p>
        </w:tc>
        <w:tc>
          <w:tcPr>
            <w:tcW w:w="1701" w:type="dxa"/>
            <w:gridSpan w:val="3"/>
            <w:vAlign w:val="center"/>
          </w:tcPr>
          <w:p w14:paraId="363092F2"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5 – 10</w:t>
            </w:r>
          </w:p>
        </w:tc>
        <w:tc>
          <w:tcPr>
            <w:tcW w:w="1701" w:type="dxa"/>
            <w:gridSpan w:val="4"/>
            <w:vAlign w:val="center"/>
          </w:tcPr>
          <w:p w14:paraId="0082306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10 – 25</w:t>
            </w:r>
          </w:p>
        </w:tc>
        <w:tc>
          <w:tcPr>
            <w:tcW w:w="1926" w:type="dxa"/>
            <w:gridSpan w:val="3"/>
            <w:vAlign w:val="center"/>
          </w:tcPr>
          <w:p w14:paraId="1D8679EA"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25 – 50</w:t>
            </w:r>
          </w:p>
        </w:tc>
        <w:tc>
          <w:tcPr>
            <w:tcW w:w="1519" w:type="dxa"/>
            <w:gridSpan w:val="2"/>
            <w:vAlign w:val="center"/>
          </w:tcPr>
          <w:p w14:paraId="4AFFD1D6"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&gt; 50</w:t>
            </w:r>
          </w:p>
        </w:tc>
      </w:tr>
      <w:tr w:rsidR="004B60B2" w:rsidRPr="00405D8B" w14:paraId="32E09F91" w14:textId="77777777" w:rsidTr="00582AB0">
        <w:trPr>
          <w:trHeight w:val="411"/>
          <w:jc w:val="center"/>
        </w:trPr>
        <w:tc>
          <w:tcPr>
            <w:tcW w:w="2409" w:type="dxa"/>
            <w:vAlign w:val="center"/>
          </w:tcPr>
          <w:p w14:paraId="552F65E2"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I</w:t>
            </w:r>
            <w:r w:rsidRPr="00405D8B">
              <w:rPr>
                <w:rStyle w:val="tlid-translation"/>
                <w:i/>
                <w:iCs/>
                <w:sz w:val="20"/>
                <w:szCs w:val="20"/>
                <w:vertAlign w:val="subscript"/>
                <w:lang w:val="en-US"/>
              </w:rPr>
              <w:t>geo</w:t>
            </w:r>
            <w:r w:rsidRPr="00405D8B">
              <w:rPr>
                <w:rStyle w:val="tlid-translation"/>
                <w:sz w:val="20"/>
                <w:szCs w:val="20"/>
                <w:vertAlign w:val="superscript"/>
                <w:lang w:val="en-US"/>
              </w:rPr>
              <w:t xml:space="preserve"> a</w:t>
            </w:r>
          </w:p>
        </w:tc>
        <w:tc>
          <w:tcPr>
            <w:tcW w:w="1418" w:type="dxa"/>
            <w:vAlign w:val="center"/>
          </w:tcPr>
          <w:p w14:paraId="16647B1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0</w:t>
            </w:r>
          </w:p>
        </w:tc>
        <w:tc>
          <w:tcPr>
            <w:tcW w:w="1842" w:type="dxa"/>
            <w:gridSpan w:val="3"/>
            <w:vAlign w:val="center"/>
          </w:tcPr>
          <w:p w14:paraId="27D257E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0 – 1</w:t>
            </w:r>
          </w:p>
        </w:tc>
        <w:tc>
          <w:tcPr>
            <w:tcW w:w="1701" w:type="dxa"/>
            <w:gridSpan w:val="4"/>
            <w:vAlign w:val="center"/>
          </w:tcPr>
          <w:p w14:paraId="4B83F8A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2</w:t>
            </w:r>
          </w:p>
        </w:tc>
        <w:tc>
          <w:tcPr>
            <w:tcW w:w="1701" w:type="dxa"/>
            <w:gridSpan w:val="3"/>
            <w:vAlign w:val="center"/>
          </w:tcPr>
          <w:p w14:paraId="20E66161"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 – 3</w:t>
            </w:r>
          </w:p>
        </w:tc>
        <w:tc>
          <w:tcPr>
            <w:tcW w:w="1701" w:type="dxa"/>
            <w:gridSpan w:val="4"/>
            <w:vAlign w:val="center"/>
          </w:tcPr>
          <w:p w14:paraId="413289C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 – 4</w:t>
            </w:r>
          </w:p>
        </w:tc>
        <w:tc>
          <w:tcPr>
            <w:tcW w:w="1926" w:type="dxa"/>
            <w:gridSpan w:val="3"/>
            <w:vAlign w:val="center"/>
          </w:tcPr>
          <w:p w14:paraId="4ADB577A"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4 – 5</w:t>
            </w:r>
          </w:p>
        </w:tc>
        <w:tc>
          <w:tcPr>
            <w:tcW w:w="1519" w:type="dxa"/>
            <w:gridSpan w:val="2"/>
            <w:vAlign w:val="center"/>
          </w:tcPr>
          <w:p w14:paraId="5BB7BD2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5</w:t>
            </w:r>
          </w:p>
        </w:tc>
      </w:tr>
      <w:tr w:rsidR="004B60B2" w:rsidRPr="00405D8B" w14:paraId="114084CC" w14:textId="77777777" w:rsidTr="00582AB0">
        <w:trPr>
          <w:trHeight w:val="411"/>
          <w:jc w:val="center"/>
        </w:trPr>
        <w:tc>
          <w:tcPr>
            <w:tcW w:w="2409" w:type="dxa"/>
            <w:vAlign w:val="center"/>
          </w:tcPr>
          <w:p w14:paraId="76A49370" w14:textId="0A921A89" w:rsidR="004B60B2" w:rsidRPr="00405D8B" w:rsidRDefault="004B60B2" w:rsidP="004B60B2">
            <w:pPr>
              <w:spacing w:line="276" w:lineRule="auto"/>
              <w:jc w:val="center"/>
              <w:rPr>
                <w:rStyle w:val="tlid-translation"/>
                <w:i/>
                <w:iCs/>
                <w:sz w:val="20"/>
                <w:szCs w:val="20"/>
                <w:lang w:val="en-US"/>
              </w:rPr>
            </w:pPr>
            <w:proofErr w:type="spellStart"/>
            <w:r>
              <w:rPr>
                <w:rStyle w:val="tlid-translation"/>
                <w:i/>
                <w:iCs/>
                <w:sz w:val="20"/>
                <w:szCs w:val="20"/>
                <w:lang w:val="en-US"/>
              </w:rPr>
              <w:t>PI</w:t>
            </w:r>
            <w:r>
              <w:rPr>
                <w:rStyle w:val="tlid-translation"/>
                <w:i/>
                <w:iCs/>
                <w:sz w:val="20"/>
                <w:szCs w:val="20"/>
                <w:vertAlign w:val="subscript"/>
                <w:lang w:val="en-US"/>
              </w:rPr>
              <w:t>Nem</w:t>
            </w:r>
            <w:proofErr w:type="spellEnd"/>
          </w:p>
        </w:tc>
        <w:tc>
          <w:tcPr>
            <w:tcW w:w="1418" w:type="dxa"/>
            <w:vAlign w:val="center"/>
          </w:tcPr>
          <w:p w14:paraId="22B918F7" w14:textId="2210B424"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vAlign w:val="center"/>
          </w:tcPr>
          <w:p w14:paraId="31FF7726" w14:textId="75DB8FA8"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4"/>
            <w:vAlign w:val="center"/>
          </w:tcPr>
          <w:p w14:paraId="308AC838" w14:textId="03232449"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tcPr>
          <w:p w14:paraId="572FD6E5" w14:textId="7633A88F"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2 – 3</w:t>
            </w:r>
          </w:p>
        </w:tc>
        <w:tc>
          <w:tcPr>
            <w:tcW w:w="1701" w:type="dxa"/>
            <w:gridSpan w:val="4"/>
            <w:vAlign w:val="center"/>
          </w:tcPr>
          <w:p w14:paraId="61540520" w14:textId="36D65DF4"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vAlign w:val="center"/>
          </w:tcPr>
          <w:p w14:paraId="6F559914" w14:textId="58DF28B0"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519" w:type="dxa"/>
            <w:gridSpan w:val="2"/>
            <w:vAlign w:val="center"/>
          </w:tcPr>
          <w:p w14:paraId="41DE8927" w14:textId="0428D9FB"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r>
      <w:tr w:rsidR="004B60B2" w:rsidRPr="00405D8B" w14:paraId="2972B348" w14:textId="77777777" w:rsidTr="00582AB0">
        <w:trPr>
          <w:trHeight w:val="411"/>
          <w:jc w:val="center"/>
        </w:trPr>
        <w:tc>
          <w:tcPr>
            <w:tcW w:w="2409" w:type="dxa"/>
            <w:tcBorders>
              <w:top w:val="double" w:sz="4" w:space="0" w:color="auto"/>
            </w:tcBorders>
            <w:vAlign w:val="center"/>
          </w:tcPr>
          <w:p w14:paraId="6E565710" w14:textId="77777777" w:rsidR="004B60B2" w:rsidRPr="00405D8B" w:rsidRDefault="004B60B2" w:rsidP="004B60B2">
            <w:pPr>
              <w:spacing w:line="276" w:lineRule="auto"/>
              <w:jc w:val="center"/>
              <w:rPr>
                <w:b/>
                <w:sz w:val="20"/>
                <w:szCs w:val="20"/>
                <w:lang w:val="en-US"/>
              </w:rPr>
            </w:pPr>
            <w:r w:rsidRPr="00405D8B">
              <w:rPr>
                <w:rStyle w:val="tlid-translation"/>
                <w:b/>
                <w:sz w:val="20"/>
                <w:szCs w:val="20"/>
                <w:lang w:val="en-US"/>
              </w:rPr>
              <w:t>Category</w:t>
            </w:r>
          </w:p>
        </w:tc>
        <w:tc>
          <w:tcPr>
            <w:tcW w:w="1843" w:type="dxa"/>
            <w:gridSpan w:val="2"/>
            <w:tcBorders>
              <w:top w:val="double" w:sz="4" w:space="0" w:color="auto"/>
            </w:tcBorders>
            <w:vAlign w:val="center"/>
          </w:tcPr>
          <w:p w14:paraId="0156F568" w14:textId="77777777" w:rsidR="004B60B2" w:rsidRPr="00405D8B" w:rsidRDefault="004B60B2" w:rsidP="004B60B2">
            <w:pPr>
              <w:spacing w:line="276" w:lineRule="auto"/>
              <w:jc w:val="center"/>
              <w:rPr>
                <w:rStyle w:val="tlid-translation"/>
                <w:b/>
                <w:sz w:val="20"/>
                <w:szCs w:val="22"/>
                <w:lang w:val="en-US"/>
              </w:rPr>
            </w:pPr>
            <w:r w:rsidRPr="00405D8B">
              <w:rPr>
                <w:rStyle w:val="tlid-translation"/>
                <w:b/>
                <w:sz w:val="20"/>
                <w:szCs w:val="22"/>
                <w:lang w:val="en-US"/>
              </w:rPr>
              <w:t>0</w:t>
            </w:r>
          </w:p>
        </w:tc>
        <w:tc>
          <w:tcPr>
            <w:tcW w:w="1843" w:type="dxa"/>
            <w:gridSpan w:val="4"/>
            <w:tcBorders>
              <w:top w:val="double" w:sz="4" w:space="0" w:color="auto"/>
            </w:tcBorders>
            <w:vAlign w:val="center"/>
          </w:tcPr>
          <w:p w14:paraId="00113C2D"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1</w:t>
            </w:r>
          </w:p>
        </w:tc>
        <w:tc>
          <w:tcPr>
            <w:tcW w:w="2126" w:type="dxa"/>
            <w:gridSpan w:val="3"/>
            <w:tcBorders>
              <w:top w:val="double" w:sz="4" w:space="0" w:color="auto"/>
            </w:tcBorders>
            <w:vAlign w:val="center"/>
          </w:tcPr>
          <w:p w14:paraId="303E2FF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2</w:t>
            </w:r>
          </w:p>
        </w:tc>
        <w:tc>
          <w:tcPr>
            <w:tcW w:w="1984" w:type="dxa"/>
            <w:gridSpan w:val="5"/>
            <w:tcBorders>
              <w:top w:val="double" w:sz="4" w:space="0" w:color="auto"/>
            </w:tcBorders>
            <w:vAlign w:val="center"/>
          </w:tcPr>
          <w:p w14:paraId="5CC2DCBF"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3</w:t>
            </w:r>
          </w:p>
        </w:tc>
        <w:tc>
          <w:tcPr>
            <w:tcW w:w="1985" w:type="dxa"/>
            <w:gridSpan w:val="3"/>
            <w:tcBorders>
              <w:top w:val="double" w:sz="4" w:space="0" w:color="auto"/>
            </w:tcBorders>
            <w:vAlign w:val="center"/>
          </w:tcPr>
          <w:p w14:paraId="3A9B801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4</w:t>
            </w:r>
          </w:p>
        </w:tc>
        <w:tc>
          <w:tcPr>
            <w:tcW w:w="2027" w:type="dxa"/>
            <w:gridSpan w:val="3"/>
            <w:tcBorders>
              <w:top w:val="double" w:sz="4" w:space="0" w:color="auto"/>
            </w:tcBorders>
            <w:vAlign w:val="center"/>
          </w:tcPr>
          <w:p w14:paraId="7A8DB55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5</w:t>
            </w:r>
          </w:p>
        </w:tc>
      </w:tr>
      <w:tr w:rsidR="004B60B2" w:rsidRPr="00405D8B" w14:paraId="566FC903" w14:textId="77777777" w:rsidTr="00582AB0">
        <w:trPr>
          <w:trHeight w:val="411"/>
          <w:jc w:val="center"/>
        </w:trPr>
        <w:tc>
          <w:tcPr>
            <w:tcW w:w="2409" w:type="dxa"/>
            <w:tcBorders>
              <w:bottom w:val="double" w:sz="4" w:space="0" w:color="auto"/>
            </w:tcBorders>
            <w:vAlign w:val="center"/>
          </w:tcPr>
          <w:p w14:paraId="3054A18E" w14:textId="77777777" w:rsidR="004B60B2" w:rsidRPr="00405D8B" w:rsidRDefault="004B60B2" w:rsidP="004B60B2">
            <w:pPr>
              <w:spacing w:line="276" w:lineRule="auto"/>
              <w:jc w:val="center"/>
              <w:rPr>
                <w:rStyle w:val="tlid-translation"/>
                <w:b/>
                <w:bCs/>
                <w:i/>
                <w:iCs/>
                <w:sz w:val="20"/>
                <w:szCs w:val="20"/>
                <w:lang w:val="en-US"/>
              </w:rPr>
            </w:pPr>
            <w:r w:rsidRPr="00405D8B">
              <w:rPr>
                <w:b/>
                <w:bCs/>
                <w:sz w:val="20"/>
                <w:szCs w:val="20"/>
                <w:lang w:val="en-US"/>
              </w:rPr>
              <w:t>Risk</w:t>
            </w:r>
          </w:p>
        </w:tc>
        <w:tc>
          <w:tcPr>
            <w:tcW w:w="1843" w:type="dxa"/>
            <w:gridSpan w:val="2"/>
            <w:tcBorders>
              <w:bottom w:val="double" w:sz="4" w:space="0" w:color="auto"/>
            </w:tcBorders>
            <w:shd w:val="clear" w:color="auto" w:fill="FFFFFF" w:themeFill="background1"/>
            <w:vAlign w:val="center"/>
          </w:tcPr>
          <w:p w14:paraId="39C69A9B"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2"/>
                <w:lang w:val="en-US"/>
              </w:rPr>
              <w:t>Negligible</w:t>
            </w:r>
          </w:p>
        </w:tc>
        <w:tc>
          <w:tcPr>
            <w:tcW w:w="1843" w:type="dxa"/>
            <w:gridSpan w:val="4"/>
            <w:tcBorders>
              <w:bottom w:val="double" w:sz="4" w:space="0" w:color="auto"/>
            </w:tcBorders>
            <w:shd w:val="clear" w:color="auto" w:fill="FFFFFF" w:themeFill="background1"/>
            <w:vAlign w:val="center"/>
          </w:tcPr>
          <w:p w14:paraId="1325F3D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Low</w:t>
            </w:r>
          </w:p>
        </w:tc>
        <w:tc>
          <w:tcPr>
            <w:tcW w:w="2126" w:type="dxa"/>
            <w:gridSpan w:val="3"/>
            <w:tcBorders>
              <w:bottom w:val="double" w:sz="4" w:space="0" w:color="auto"/>
            </w:tcBorders>
            <w:shd w:val="clear" w:color="auto" w:fill="FFFFFF" w:themeFill="background1"/>
            <w:vAlign w:val="center"/>
          </w:tcPr>
          <w:p w14:paraId="32095109"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Moderate</w:t>
            </w:r>
          </w:p>
        </w:tc>
        <w:tc>
          <w:tcPr>
            <w:tcW w:w="1984" w:type="dxa"/>
            <w:gridSpan w:val="5"/>
            <w:tcBorders>
              <w:bottom w:val="double" w:sz="4" w:space="0" w:color="auto"/>
            </w:tcBorders>
            <w:shd w:val="clear" w:color="auto" w:fill="FFFFFF" w:themeFill="background1"/>
            <w:vAlign w:val="center"/>
          </w:tcPr>
          <w:p w14:paraId="2A768164"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Considerable</w:t>
            </w:r>
          </w:p>
        </w:tc>
        <w:tc>
          <w:tcPr>
            <w:tcW w:w="1985" w:type="dxa"/>
            <w:gridSpan w:val="3"/>
            <w:tcBorders>
              <w:bottom w:val="double" w:sz="4" w:space="0" w:color="auto"/>
            </w:tcBorders>
            <w:shd w:val="clear" w:color="auto" w:fill="FFFFFF" w:themeFill="background1"/>
            <w:vAlign w:val="center"/>
          </w:tcPr>
          <w:p w14:paraId="1F4E98DF"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High</w:t>
            </w:r>
          </w:p>
        </w:tc>
        <w:tc>
          <w:tcPr>
            <w:tcW w:w="2027" w:type="dxa"/>
            <w:gridSpan w:val="3"/>
            <w:tcBorders>
              <w:bottom w:val="double" w:sz="4" w:space="0" w:color="auto"/>
            </w:tcBorders>
            <w:shd w:val="clear" w:color="auto" w:fill="FFFFFF" w:themeFill="background1"/>
            <w:vAlign w:val="center"/>
          </w:tcPr>
          <w:p w14:paraId="254B57B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Extreme</w:t>
            </w:r>
          </w:p>
        </w:tc>
      </w:tr>
      <w:tr w:rsidR="004B60B2" w:rsidRPr="00405D8B" w14:paraId="471D8F51" w14:textId="77777777" w:rsidTr="00582AB0">
        <w:trPr>
          <w:trHeight w:val="411"/>
          <w:jc w:val="center"/>
        </w:trPr>
        <w:tc>
          <w:tcPr>
            <w:tcW w:w="2409" w:type="dxa"/>
            <w:tcBorders>
              <w:top w:val="double" w:sz="4" w:space="0" w:color="auto"/>
            </w:tcBorders>
            <w:vAlign w:val="center"/>
          </w:tcPr>
          <w:p w14:paraId="197F5C46" w14:textId="77777777" w:rsidR="004B60B2" w:rsidRPr="00405D8B" w:rsidRDefault="004B60B2" w:rsidP="004B60B2">
            <w:pPr>
              <w:spacing w:line="276" w:lineRule="auto"/>
              <w:jc w:val="center"/>
              <w:rPr>
                <w:sz w:val="20"/>
                <w:szCs w:val="20"/>
                <w:vertAlign w:val="superscript"/>
                <w:lang w:val="en-US"/>
              </w:rPr>
            </w:pPr>
            <w:r w:rsidRPr="00405D8B">
              <w:rPr>
                <w:i/>
                <w:iCs/>
                <w:sz w:val="20"/>
                <w:szCs w:val="20"/>
                <w:lang w:val="en-US"/>
              </w:rPr>
              <w:t>PERI</w:t>
            </w:r>
            <w:r w:rsidRPr="00405D8B">
              <w:rPr>
                <w:sz w:val="20"/>
                <w:szCs w:val="20"/>
                <w:vertAlign w:val="superscript"/>
                <w:lang w:val="en-US"/>
              </w:rPr>
              <w:t xml:space="preserve"> d</w:t>
            </w:r>
          </w:p>
        </w:tc>
        <w:tc>
          <w:tcPr>
            <w:tcW w:w="1843" w:type="dxa"/>
            <w:gridSpan w:val="2"/>
            <w:tcBorders>
              <w:top w:val="double" w:sz="4" w:space="0" w:color="auto"/>
            </w:tcBorders>
            <w:shd w:val="clear" w:color="auto" w:fill="FFFFFF" w:themeFill="background1"/>
            <w:vAlign w:val="center"/>
          </w:tcPr>
          <w:p w14:paraId="46039749"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0"/>
                <w:lang w:val="en-US"/>
              </w:rPr>
              <w:t>–</w:t>
            </w:r>
          </w:p>
        </w:tc>
        <w:tc>
          <w:tcPr>
            <w:tcW w:w="1843" w:type="dxa"/>
            <w:gridSpan w:val="4"/>
            <w:tcBorders>
              <w:top w:val="double" w:sz="4" w:space="0" w:color="auto"/>
            </w:tcBorders>
            <w:shd w:val="clear" w:color="auto" w:fill="FFFFFF" w:themeFill="background1"/>
            <w:vAlign w:val="center"/>
          </w:tcPr>
          <w:p w14:paraId="12CFABA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150</w:t>
            </w:r>
          </w:p>
        </w:tc>
        <w:tc>
          <w:tcPr>
            <w:tcW w:w="2126" w:type="dxa"/>
            <w:gridSpan w:val="3"/>
            <w:tcBorders>
              <w:top w:val="double" w:sz="4" w:space="0" w:color="auto"/>
            </w:tcBorders>
            <w:shd w:val="clear" w:color="auto" w:fill="FFFFFF" w:themeFill="background1"/>
            <w:vAlign w:val="center"/>
          </w:tcPr>
          <w:p w14:paraId="43F9013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150 – 300</w:t>
            </w:r>
          </w:p>
        </w:tc>
        <w:tc>
          <w:tcPr>
            <w:tcW w:w="1984" w:type="dxa"/>
            <w:gridSpan w:val="5"/>
            <w:tcBorders>
              <w:top w:val="double" w:sz="4" w:space="0" w:color="auto"/>
            </w:tcBorders>
            <w:shd w:val="clear" w:color="auto" w:fill="FFFFFF" w:themeFill="background1"/>
            <w:vAlign w:val="center"/>
          </w:tcPr>
          <w:p w14:paraId="42B10CE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985" w:type="dxa"/>
            <w:gridSpan w:val="3"/>
            <w:tcBorders>
              <w:top w:val="double" w:sz="4" w:space="0" w:color="auto"/>
            </w:tcBorders>
            <w:shd w:val="clear" w:color="auto" w:fill="FFFFFF" w:themeFill="background1"/>
            <w:vAlign w:val="center"/>
          </w:tcPr>
          <w:p w14:paraId="1D49A76F"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300 – 600</w:t>
            </w:r>
          </w:p>
        </w:tc>
        <w:tc>
          <w:tcPr>
            <w:tcW w:w="2027" w:type="dxa"/>
            <w:gridSpan w:val="3"/>
            <w:tcBorders>
              <w:top w:val="double" w:sz="4" w:space="0" w:color="auto"/>
            </w:tcBorders>
            <w:shd w:val="clear" w:color="auto" w:fill="FFFFFF" w:themeFill="background1"/>
            <w:vAlign w:val="center"/>
          </w:tcPr>
          <w:p w14:paraId="2DA8FDC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600</w:t>
            </w:r>
          </w:p>
        </w:tc>
      </w:tr>
      <w:tr w:rsidR="004B60B2" w:rsidRPr="00405D8B" w14:paraId="7F547DC1" w14:textId="77777777" w:rsidTr="00582AB0">
        <w:trPr>
          <w:trHeight w:val="411"/>
          <w:jc w:val="center"/>
        </w:trPr>
        <w:tc>
          <w:tcPr>
            <w:tcW w:w="2409" w:type="dxa"/>
            <w:vAlign w:val="center"/>
          </w:tcPr>
          <w:p w14:paraId="540FFB34" w14:textId="77777777" w:rsidR="004B60B2" w:rsidRPr="00405D8B" w:rsidRDefault="004B60B2" w:rsidP="004B60B2">
            <w:pPr>
              <w:spacing w:line="276" w:lineRule="auto"/>
              <w:jc w:val="center"/>
              <w:rPr>
                <w:sz w:val="20"/>
                <w:szCs w:val="20"/>
                <w:vertAlign w:val="subscript"/>
                <w:lang w:val="en-US"/>
              </w:rPr>
            </w:pPr>
            <w:r w:rsidRPr="00405D8B">
              <w:rPr>
                <w:i/>
                <w:iCs/>
                <w:sz w:val="20"/>
                <w:szCs w:val="20"/>
                <w:lang w:val="en-US"/>
              </w:rPr>
              <w:t>TRI</w:t>
            </w:r>
            <w:r w:rsidRPr="00405D8B">
              <w:rPr>
                <w:sz w:val="20"/>
                <w:szCs w:val="20"/>
                <w:lang w:val="en-US"/>
              </w:rPr>
              <w:t xml:space="preserve"> </w:t>
            </w:r>
            <w:r w:rsidRPr="00405D8B">
              <w:rPr>
                <w:sz w:val="20"/>
                <w:szCs w:val="20"/>
                <w:vertAlign w:val="superscript"/>
                <w:lang w:val="en-US"/>
              </w:rPr>
              <w:t>f</w:t>
            </w:r>
            <w:r w:rsidRPr="00405D8B">
              <w:rPr>
                <w:sz w:val="20"/>
                <w:szCs w:val="20"/>
                <w:lang w:val="en-US"/>
              </w:rPr>
              <w:t xml:space="preserve"> </w:t>
            </w:r>
          </w:p>
        </w:tc>
        <w:tc>
          <w:tcPr>
            <w:tcW w:w="1843" w:type="dxa"/>
            <w:gridSpan w:val="2"/>
            <w:shd w:val="clear" w:color="auto" w:fill="FFFFFF" w:themeFill="background1"/>
            <w:vAlign w:val="center"/>
          </w:tcPr>
          <w:p w14:paraId="0424DF7F"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0"/>
                <w:lang w:val="en-US"/>
              </w:rPr>
              <w:t>≤ 5</w:t>
            </w:r>
          </w:p>
        </w:tc>
        <w:tc>
          <w:tcPr>
            <w:tcW w:w="1843" w:type="dxa"/>
            <w:gridSpan w:val="4"/>
            <w:shd w:val="clear" w:color="auto" w:fill="FFFFFF" w:themeFill="background1"/>
            <w:vAlign w:val="center"/>
          </w:tcPr>
          <w:p w14:paraId="159ECA4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5 – 10</w:t>
            </w:r>
          </w:p>
        </w:tc>
        <w:tc>
          <w:tcPr>
            <w:tcW w:w="2126" w:type="dxa"/>
            <w:gridSpan w:val="3"/>
            <w:shd w:val="clear" w:color="auto" w:fill="FFFFFF" w:themeFill="background1"/>
            <w:vAlign w:val="center"/>
          </w:tcPr>
          <w:p w14:paraId="07C3CA89"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xml:space="preserve">10 – 15 </w:t>
            </w:r>
          </w:p>
        </w:tc>
        <w:tc>
          <w:tcPr>
            <w:tcW w:w="1984" w:type="dxa"/>
            <w:gridSpan w:val="5"/>
            <w:shd w:val="clear" w:color="auto" w:fill="FFFFFF" w:themeFill="background1"/>
            <w:vAlign w:val="center"/>
          </w:tcPr>
          <w:p w14:paraId="7D3DA615"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xml:space="preserve">15 – 20 </w:t>
            </w:r>
          </w:p>
        </w:tc>
        <w:tc>
          <w:tcPr>
            <w:tcW w:w="1985" w:type="dxa"/>
            <w:gridSpan w:val="3"/>
            <w:shd w:val="clear" w:color="auto" w:fill="FFFFFF" w:themeFill="background1"/>
            <w:vAlign w:val="center"/>
          </w:tcPr>
          <w:p w14:paraId="41197C4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20</w:t>
            </w:r>
          </w:p>
        </w:tc>
        <w:tc>
          <w:tcPr>
            <w:tcW w:w="2027" w:type="dxa"/>
            <w:gridSpan w:val="3"/>
            <w:shd w:val="clear" w:color="auto" w:fill="FFFFFF" w:themeFill="background1"/>
            <w:vAlign w:val="center"/>
          </w:tcPr>
          <w:p w14:paraId="09C25571"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r>
      <w:tr w:rsidR="007B12C3" w:rsidRPr="00405D8B" w14:paraId="5D2705C4" w14:textId="77777777" w:rsidTr="00582AB0">
        <w:trPr>
          <w:trHeight w:val="411"/>
          <w:jc w:val="center"/>
        </w:trPr>
        <w:tc>
          <w:tcPr>
            <w:tcW w:w="2409" w:type="dxa"/>
            <w:vAlign w:val="center"/>
          </w:tcPr>
          <w:p w14:paraId="7224BEE4" w14:textId="34D04584" w:rsidR="007B12C3" w:rsidRPr="00405D8B" w:rsidRDefault="007B12C3" w:rsidP="007B12C3">
            <w:pPr>
              <w:spacing w:line="276" w:lineRule="auto"/>
              <w:jc w:val="center"/>
              <w:rPr>
                <w:i/>
                <w:iCs/>
                <w:sz w:val="20"/>
                <w:szCs w:val="20"/>
                <w:lang w:val="en-US"/>
              </w:rPr>
            </w:pPr>
            <w:proofErr w:type="spellStart"/>
            <w:r>
              <w:rPr>
                <w:i/>
                <w:iCs/>
                <w:sz w:val="20"/>
                <w:szCs w:val="20"/>
              </w:rPr>
              <w:t>IR</w:t>
            </w:r>
            <w:r>
              <w:rPr>
                <w:i/>
                <w:iCs/>
                <w:sz w:val="20"/>
                <w:szCs w:val="20"/>
                <w:vertAlign w:val="subscript"/>
              </w:rPr>
              <w:t>ChemLoE</w:t>
            </w:r>
            <w:proofErr w:type="spellEnd"/>
          </w:p>
        </w:tc>
        <w:tc>
          <w:tcPr>
            <w:tcW w:w="1843" w:type="dxa"/>
            <w:gridSpan w:val="2"/>
            <w:shd w:val="clear" w:color="auto" w:fill="FFFFFF" w:themeFill="background1"/>
            <w:vAlign w:val="center"/>
          </w:tcPr>
          <w:p w14:paraId="06BC2605" w14:textId="3507A9E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 0.20</w:t>
            </w:r>
          </w:p>
        </w:tc>
        <w:tc>
          <w:tcPr>
            <w:tcW w:w="1843" w:type="dxa"/>
            <w:gridSpan w:val="4"/>
            <w:shd w:val="clear" w:color="auto" w:fill="FFFFFF" w:themeFill="background1"/>
            <w:vAlign w:val="center"/>
          </w:tcPr>
          <w:p w14:paraId="7B0B4496" w14:textId="020CD6D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c>
          <w:tcPr>
            <w:tcW w:w="2126" w:type="dxa"/>
            <w:gridSpan w:val="3"/>
            <w:shd w:val="clear" w:color="auto" w:fill="FFFFFF" w:themeFill="background1"/>
            <w:vAlign w:val="center"/>
          </w:tcPr>
          <w:p w14:paraId="7A532639" w14:textId="41999446"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5"/>
            <w:shd w:val="clear" w:color="auto" w:fill="FFFFFF" w:themeFill="background1"/>
            <w:vAlign w:val="center"/>
          </w:tcPr>
          <w:p w14:paraId="62EE6319" w14:textId="3BDA097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c>
          <w:tcPr>
            <w:tcW w:w="1985" w:type="dxa"/>
            <w:gridSpan w:val="3"/>
            <w:shd w:val="clear" w:color="auto" w:fill="FFFFFF" w:themeFill="background1"/>
            <w:vAlign w:val="center"/>
          </w:tcPr>
          <w:p w14:paraId="6E5CA2CD" w14:textId="36A8ED86"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 0.75</w:t>
            </w:r>
          </w:p>
        </w:tc>
        <w:tc>
          <w:tcPr>
            <w:tcW w:w="2027" w:type="dxa"/>
            <w:gridSpan w:val="3"/>
            <w:shd w:val="clear" w:color="auto" w:fill="FFFFFF" w:themeFill="background1"/>
            <w:vAlign w:val="center"/>
          </w:tcPr>
          <w:p w14:paraId="72DE81D0" w14:textId="09ACED5F"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r>
      <w:tr w:rsidR="007B12C3" w:rsidRPr="00405D8B" w14:paraId="30779BE8" w14:textId="77777777" w:rsidTr="00582AB0">
        <w:trPr>
          <w:trHeight w:val="411"/>
          <w:jc w:val="center"/>
        </w:trPr>
        <w:tc>
          <w:tcPr>
            <w:tcW w:w="2409" w:type="dxa"/>
            <w:tcBorders>
              <w:top w:val="double" w:sz="4" w:space="0" w:color="auto"/>
            </w:tcBorders>
            <w:vAlign w:val="center"/>
          </w:tcPr>
          <w:p w14:paraId="67694DAC"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sz w:val="20"/>
                <w:szCs w:val="20"/>
                <w:lang w:val="en-US"/>
              </w:rPr>
              <w:t>Category</w:t>
            </w:r>
          </w:p>
        </w:tc>
        <w:tc>
          <w:tcPr>
            <w:tcW w:w="2836" w:type="dxa"/>
            <w:gridSpan w:val="3"/>
            <w:tcBorders>
              <w:top w:val="double" w:sz="4" w:space="0" w:color="auto"/>
            </w:tcBorders>
            <w:shd w:val="clear" w:color="auto" w:fill="FFFFFF" w:themeFill="background1"/>
            <w:vAlign w:val="center"/>
          </w:tcPr>
          <w:p w14:paraId="4DD5A35D"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1</w:t>
            </w:r>
          </w:p>
        </w:tc>
        <w:tc>
          <w:tcPr>
            <w:tcW w:w="3119" w:type="dxa"/>
            <w:gridSpan w:val="7"/>
            <w:tcBorders>
              <w:top w:val="double" w:sz="4" w:space="0" w:color="auto"/>
            </w:tcBorders>
            <w:shd w:val="clear" w:color="auto" w:fill="FFFFFF" w:themeFill="background1"/>
            <w:vAlign w:val="center"/>
          </w:tcPr>
          <w:p w14:paraId="17E9057F"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2</w:t>
            </w:r>
          </w:p>
        </w:tc>
        <w:tc>
          <w:tcPr>
            <w:tcW w:w="2976" w:type="dxa"/>
            <w:gridSpan w:val="6"/>
            <w:tcBorders>
              <w:top w:val="double" w:sz="4" w:space="0" w:color="auto"/>
            </w:tcBorders>
            <w:shd w:val="clear" w:color="auto" w:fill="FFFFFF" w:themeFill="background1"/>
            <w:vAlign w:val="center"/>
          </w:tcPr>
          <w:p w14:paraId="6184A364"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3</w:t>
            </w:r>
          </w:p>
        </w:tc>
        <w:tc>
          <w:tcPr>
            <w:tcW w:w="2877" w:type="dxa"/>
            <w:gridSpan w:val="4"/>
            <w:tcBorders>
              <w:top w:val="double" w:sz="4" w:space="0" w:color="auto"/>
            </w:tcBorders>
            <w:shd w:val="clear" w:color="auto" w:fill="FFFFFF" w:themeFill="background1"/>
            <w:vAlign w:val="center"/>
          </w:tcPr>
          <w:p w14:paraId="387D0D65"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4</w:t>
            </w:r>
          </w:p>
        </w:tc>
      </w:tr>
      <w:tr w:rsidR="0060299E" w:rsidRPr="00405D8B" w14:paraId="703DDDE7" w14:textId="77777777" w:rsidTr="00E81975">
        <w:trPr>
          <w:trHeight w:val="411"/>
          <w:jc w:val="center"/>
        </w:trPr>
        <w:tc>
          <w:tcPr>
            <w:tcW w:w="2409" w:type="dxa"/>
            <w:tcBorders>
              <w:bottom w:val="double" w:sz="4" w:space="0" w:color="auto"/>
            </w:tcBorders>
            <w:vAlign w:val="center"/>
          </w:tcPr>
          <w:p w14:paraId="77A4E04E" w14:textId="77777777" w:rsidR="0060299E" w:rsidRPr="00405D8B" w:rsidRDefault="0060299E" w:rsidP="0060299E">
            <w:pPr>
              <w:spacing w:line="276" w:lineRule="auto"/>
              <w:jc w:val="center"/>
              <w:rPr>
                <w:rStyle w:val="tlid-translation"/>
                <w:i/>
                <w:iCs/>
                <w:sz w:val="20"/>
                <w:szCs w:val="20"/>
                <w:lang w:val="en-US"/>
              </w:rPr>
            </w:pPr>
            <w:r w:rsidRPr="00405D8B">
              <w:rPr>
                <w:rStyle w:val="tlid-translation"/>
                <w:b/>
                <w:bCs/>
                <w:sz w:val="20"/>
                <w:szCs w:val="20"/>
                <w:lang w:val="en-US"/>
              </w:rPr>
              <w:t>Probability of being toxic</w:t>
            </w:r>
          </w:p>
        </w:tc>
        <w:tc>
          <w:tcPr>
            <w:tcW w:w="1418" w:type="dxa"/>
            <w:tcBorders>
              <w:bottom w:val="double" w:sz="4" w:space="0" w:color="auto"/>
            </w:tcBorders>
            <w:shd w:val="clear" w:color="auto" w:fill="FFFFFF" w:themeFill="background1"/>
            <w:vAlign w:val="center"/>
          </w:tcPr>
          <w:p w14:paraId="1DC362D1" w14:textId="7C079C1B" w:rsidR="0060299E" w:rsidRPr="00405D8B" w:rsidRDefault="0060299E" w:rsidP="0060299E">
            <w:pPr>
              <w:spacing w:line="276" w:lineRule="auto"/>
              <w:jc w:val="center"/>
              <w:rPr>
                <w:rStyle w:val="tlid-translation"/>
                <w:sz w:val="20"/>
                <w:szCs w:val="20"/>
                <w:lang w:val="en-US"/>
              </w:rPr>
            </w:pPr>
            <w:r>
              <w:rPr>
                <w:rStyle w:val="tlid-translation"/>
                <w:sz w:val="20"/>
                <w:szCs w:val="20"/>
                <w:lang w:val="en-US"/>
              </w:rPr>
              <w:t>10%</w:t>
            </w:r>
          </w:p>
        </w:tc>
        <w:tc>
          <w:tcPr>
            <w:tcW w:w="1418" w:type="dxa"/>
            <w:gridSpan w:val="2"/>
            <w:tcBorders>
              <w:bottom w:val="double" w:sz="4" w:space="0" w:color="auto"/>
            </w:tcBorders>
            <w:shd w:val="clear" w:color="auto" w:fill="FFFFFF" w:themeFill="background1"/>
            <w:vAlign w:val="center"/>
          </w:tcPr>
          <w:p w14:paraId="0B3E060D" w14:textId="29328B78"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12%</w:t>
            </w:r>
          </w:p>
        </w:tc>
        <w:tc>
          <w:tcPr>
            <w:tcW w:w="1559" w:type="dxa"/>
            <w:gridSpan w:val="4"/>
            <w:tcBorders>
              <w:bottom w:val="double" w:sz="4" w:space="0" w:color="auto"/>
            </w:tcBorders>
            <w:shd w:val="clear" w:color="auto" w:fill="FFFFFF" w:themeFill="background1"/>
            <w:vAlign w:val="center"/>
          </w:tcPr>
          <w:p w14:paraId="5ED0A07B" w14:textId="6D3F3BEE" w:rsidR="0060299E" w:rsidRPr="00405D8B" w:rsidRDefault="0060299E" w:rsidP="0060299E">
            <w:pPr>
              <w:spacing w:line="276" w:lineRule="auto"/>
              <w:jc w:val="center"/>
              <w:rPr>
                <w:rStyle w:val="tlid-translation"/>
                <w:sz w:val="20"/>
                <w:szCs w:val="20"/>
                <w:lang w:val="en-US"/>
              </w:rPr>
            </w:pPr>
            <w:r>
              <w:rPr>
                <w:rStyle w:val="tlid-translation"/>
                <w:sz w:val="20"/>
                <w:szCs w:val="20"/>
                <w:lang w:val="en-US"/>
              </w:rPr>
              <w:t>25%</w:t>
            </w:r>
          </w:p>
        </w:tc>
        <w:tc>
          <w:tcPr>
            <w:tcW w:w="1560" w:type="dxa"/>
            <w:gridSpan w:val="3"/>
            <w:tcBorders>
              <w:bottom w:val="double" w:sz="4" w:space="0" w:color="auto"/>
            </w:tcBorders>
            <w:shd w:val="clear" w:color="auto" w:fill="FFFFFF" w:themeFill="background1"/>
            <w:vAlign w:val="center"/>
          </w:tcPr>
          <w:p w14:paraId="657AE1FC" w14:textId="464400AE"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30%</w:t>
            </w:r>
          </w:p>
        </w:tc>
        <w:tc>
          <w:tcPr>
            <w:tcW w:w="1488" w:type="dxa"/>
            <w:gridSpan w:val="3"/>
            <w:tcBorders>
              <w:bottom w:val="double" w:sz="4" w:space="0" w:color="auto"/>
            </w:tcBorders>
            <w:shd w:val="clear" w:color="auto" w:fill="FFFFFF" w:themeFill="background1"/>
            <w:vAlign w:val="center"/>
          </w:tcPr>
          <w:p w14:paraId="60FF08D6"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46%</w:t>
            </w:r>
          </w:p>
        </w:tc>
        <w:tc>
          <w:tcPr>
            <w:tcW w:w="1488" w:type="dxa"/>
            <w:gridSpan w:val="3"/>
            <w:tcBorders>
              <w:bottom w:val="double" w:sz="4" w:space="0" w:color="auto"/>
            </w:tcBorders>
            <w:shd w:val="clear" w:color="auto" w:fill="FFFFFF" w:themeFill="background1"/>
            <w:vAlign w:val="center"/>
          </w:tcPr>
          <w:p w14:paraId="363C6267" w14:textId="5818C5EA"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50%</w:t>
            </w:r>
          </w:p>
        </w:tc>
        <w:tc>
          <w:tcPr>
            <w:tcW w:w="1438" w:type="dxa"/>
            <w:gridSpan w:val="3"/>
            <w:tcBorders>
              <w:bottom w:val="double" w:sz="4" w:space="0" w:color="auto"/>
            </w:tcBorders>
            <w:shd w:val="clear" w:color="auto" w:fill="FFFFFF" w:themeFill="background1"/>
            <w:vAlign w:val="center"/>
          </w:tcPr>
          <w:p w14:paraId="5BA0DDBB"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74%</w:t>
            </w:r>
          </w:p>
        </w:tc>
        <w:tc>
          <w:tcPr>
            <w:tcW w:w="1439" w:type="dxa"/>
            <w:tcBorders>
              <w:bottom w:val="double" w:sz="4" w:space="0" w:color="auto"/>
            </w:tcBorders>
            <w:shd w:val="clear" w:color="auto" w:fill="FFFFFF" w:themeFill="background1"/>
            <w:vAlign w:val="center"/>
          </w:tcPr>
          <w:p w14:paraId="4597EBCC" w14:textId="1DCC633D"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76%</w:t>
            </w:r>
          </w:p>
        </w:tc>
      </w:tr>
      <w:tr w:rsidR="0060299E" w:rsidRPr="00405D8B" w14:paraId="1523086D" w14:textId="77777777" w:rsidTr="00954B2C">
        <w:trPr>
          <w:trHeight w:val="411"/>
          <w:jc w:val="center"/>
        </w:trPr>
        <w:tc>
          <w:tcPr>
            <w:tcW w:w="2409" w:type="dxa"/>
            <w:vAlign w:val="center"/>
          </w:tcPr>
          <w:p w14:paraId="1076DD3C" w14:textId="77777777" w:rsidR="0060299E" w:rsidRPr="00405D8B" w:rsidRDefault="0060299E" w:rsidP="0060299E">
            <w:pPr>
              <w:spacing w:line="276" w:lineRule="auto"/>
              <w:jc w:val="center"/>
              <w:rPr>
                <w:rStyle w:val="tlid-translation"/>
                <w:i/>
                <w:iCs/>
                <w:sz w:val="20"/>
                <w:szCs w:val="20"/>
                <w:lang w:val="en-US"/>
              </w:rPr>
            </w:pPr>
            <w:bookmarkStart w:id="3" w:name="_Hlk56154974"/>
            <w:r w:rsidRPr="00405D8B">
              <w:rPr>
                <w:rStyle w:val="tlid-translation"/>
                <w:i/>
                <w:iCs/>
                <w:sz w:val="20"/>
                <w:szCs w:val="20"/>
                <w:lang w:val="en-US"/>
              </w:rPr>
              <w:t>m–ERM–q</w:t>
            </w:r>
            <w:bookmarkEnd w:id="3"/>
            <w:r w:rsidRPr="00405D8B">
              <w:rPr>
                <w:rStyle w:val="tlid-translation"/>
                <w:sz w:val="20"/>
                <w:szCs w:val="20"/>
                <w:lang w:val="en-US"/>
              </w:rPr>
              <w:t xml:space="preserve"> </w:t>
            </w:r>
            <w:r w:rsidRPr="00405D8B">
              <w:rPr>
                <w:rStyle w:val="tlid-translation"/>
                <w:sz w:val="20"/>
                <w:szCs w:val="20"/>
                <w:vertAlign w:val="superscript"/>
                <w:lang w:val="en-US"/>
              </w:rPr>
              <w:t>e</w:t>
            </w:r>
          </w:p>
        </w:tc>
        <w:tc>
          <w:tcPr>
            <w:tcW w:w="1418" w:type="dxa"/>
            <w:shd w:val="clear" w:color="auto" w:fill="FFFFFF" w:themeFill="background1"/>
            <w:vAlign w:val="center"/>
          </w:tcPr>
          <w:p w14:paraId="743CF991" w14:textId="0B55B9AB"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18" w:type="dxa"/>
            <w:gridSpan w:val="2"/>
            <w:shd w:val="clear" w:color="auto" w:fill="FFFFFF" w:themeFill="background1"/>
            <w:vAlign w:val="center"/>
          </w:tcPr>
          <w:p w14:paraId="3B11F315" w14:textId="131D37B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0.1</w:t>
            </w:r>
          </w:p>
        </w:tc>
        <w:tc>
          <w:tcPr>
            <w:tcW w:w="1559" w:type="dxa"/>
            <w:gridSpan w:val="4"/>
            <w:shd w:val="clear" w:color="auto" w:fill="FFFFFF" w:themeFill="background1"/>
            <w:vAlign w:val="center"/>
          </w:tcPr>
          <w:p w14:paraId="6707C1A9" w14:textId="72F0036C"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560" w:type="dxa"/>
            <w:gridSpan w:val="3"/>
            <w:shd w:val="clear" w:color="auto" w:fill="FFFFFF" w:themeFill="background1"/>
            <w:vAlign w:val="center"/>
          </w:tcPr>
          <w:p w14:paraId="3AA72D84" w14:textId="39DAE9C1"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0.11 – 0.50</w:t>
            </w:r>
          </w:p>
        </w:tc>
        <w:tc>
          <w:tcPr>
            <w:tcW w:w="1488" w:type="dxa"/>
            <w:gridSpan w:val="3"/>
            <w:shd w:val="clear" w:color="auto" w:fill="FFFFFF" w:themeFill="background1"/>
            <w:vAlign w:val="center"/>
          </w:tcPr>
          <w:p w14:paraId="3317081D"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0.51 – 1.50</w:t>
            </w:r>
          </w:p>
        </w:tc>
        <w:tc>
          <w:tcPr>
            <w:tcW w:w="1488" w:type="dxa"/>
            <w:gridSpan w:val="3"/>
            <w:shd w:val="clear" w:color="auto" w:fill="FFFFFF" w:themeFill="background1"/>
            <w:vAlign w:val="center"/>
          </w:tcPr>
          <w:p w14:paraId="3A8A0655" w14:textId="078C28F9"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38" w:type="dxa"/>
            <w:gridSpan w:val="3"/>
            <w:shd w:val="clear" w:color="auto" w:fill="FFFFFF" w:themeFill="background1"/>
            <w:vAlign w:val="center"/>
          </w:tcPr>
          <w:p w14:paraId="7722D92B"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&gt; 1.50</w:t>
            </w:r>
          </w:p>
        </w:tc>
        <w:tc>
          <w:tcPr>
            <w:tcW w:w="1439" w:type="dxa"/>
            <w:shd w:val="clear" w:color="auto" w:fill="FFFFFF" w:themeFill="background1"/>
            <w:vAlign w:val="center"/>
          </w:tcPr>
          <w:p w14:paraId="5C21BB80" w14:textId="26A649E7"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r>
      <w:tr w:rsidR="0060299E" w:rsidRPr="00405D8B" w14:paraId="3043908B" w14:textId="77777777" w:rsidTr="00954B2C">
        <w:trPr>
          <w:trHeight w:val="411"/>
          <w:jc w:val="center"/>
        </w:trPr>
        <w:tc>
          <w:tcPr>
            <w:tcW w:w="2409" w:type="dxa"/>
            <w:vAlign w:val="center"/>
          </w:tcPr>
          <w:p w14:paraId="395AF268" w14:textId="1195E61A" w:rsidR="0060299E" w:rsidRPr="00405D8B" w:rsidRDefault="0060299E" w:rsidP="0060299E">
            <w:pPr>
              <w:spacing w:line="276" w:lineRule="auto"/>
              <w:jc w:val="center"/>
              <w:rPr>
                <w:rStyle w:val="tlid-translation"/>
                <w:i/>
                <w:iCs/>
                <w:sz w:val="20"/>
                <w:szCs w:val="20"/>
                <w:lang w:val="en-US"/>
              </w:rPr>
            </w:pPr>
            <w:r w:rsidRPr="00405D8B">
              <w:rPr>
                <w:rStyle w:val="tlid-translation"/>
                <w:i/>
                <w:iCs/>
                <w:sz w:val="20"/>
                <w:szCs w:val="20"/>
                <w:lang w:val="en-US"/>
              </w:rPr>
              <w:t>m–</w:t>
            </w:r>
            <w:r>
              <w:rPr>
                <w:rStyle w:val="tlid-translation"/>
                <w:i/>
                <w:iCs/>
                <w:sz w:val="20"/>
                <w:szCs w:val="20"/>
                <w:lang w:val="en-US"/>
              </w:rPr>
              <w:t>PEL</w:t>
            </w:r>
            <w:r w:rsidRPr="00405D8B">
              <w:rPr>
                <w:rStyle w:val="tlid-translation"/>
                <w:i/>
                <w:iCs/>
                <w:sz w:val="20"/>
                <w:szCs w:val="20"/>
                <w:lang w:val="en-US"/>
              </w:rPr>
              <w:t>–q</w:t>
            </w:r>
            <w:r w:rsidRPr="00405D8B">
              <w:rPr>
                <w:rStyle w:val="tlid-translation"/>
                <w:sz w:val="20"/>
                <w:szCs w:val="20"/>
                <w:lang w:val="en-US"/>
              </w:rPr>
              <w:t xml:space="preserve"> </w:t>
            </w:r>
            <w:r w:rsidRPr="00405D8B">
              <w:rPr>
                <w:rStyle w:val="tlid-translation"/>
                <w:sz w:val="20"/>
                <w:szCs w:val="20"/>
                <w:vertAlign w:val="superscript"/>
                <w:lang w:val="en-US"/>
              </w:rPr>
              <w:t>e</w:t>
            </w:r>
          </w:p>
        </w:tc>
        <w:tc>
          <w:tcPr>
            <w:tcW w:w="1418" w:type="dxa"/>
            <w:shd w:val="clear" w:color="auto" w:fill="FFFFFF" w:themeFill="background1"/>
            <w:vAlign w:val="center"/>
          </w:tcPr>
          <w:p w14:paraId="71125340" w14:textId="4DD5530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0.1</w:t>
            </w:r>
          </w:p>
        </w:tc>
        <w:tc>
          <w:tcPr>
            <w:tcW w:w="1418" w:type="dxa"/>
            <w:gridSpan w:val="2"/>
            <w:shd w:val="clear" w:color="auto" w:fill="FFFFFF" w:themeFill="background1"/>
            <w:vAlign w:val="center"/>
          </w:tcPr>
          <w:p w14:paraId="6710A56D" w14:textId="5FE62003"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559" w:type="dxa"/>
            <w:gridSpan w:val="4"/>
            <w:shd w:val="clear" w:color="auto" w:fill="FFFFFF" w:themeFill="background1"/>
            <w:vAlign w:val="center"/>
          </w:tcPr>
          <w:p w14:paraId="04A72516" w14:textId="36BD10E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 xml:space="preserve">0.11 – </w:t>
            </w:r>
            <w:r>
              <w:rPr>
                <w:rStyle w:val="tlid-translation"/>
                <w:sz w:val="20"/>
                <w:szCs w:val="20"/>
                <w:lang w:val="en-US"/>
              </w:rPr>
              <w:t>1</w:t>
            </w:r>
            <w:r w:rsidRPr="00405D8B">
              <w:rPr>
                <w:rStyle w:val="tlid-translation"/>
                <w:sz w:val="20"/>
                <w:szCs w:val="20"/>
                <w:lang w:val="en-US"/>
              </w:rPr>
              <w:t>.50</w:t>
            </w:r>
          </w:p>
        </w:tc>
        <w:tc>
          <w:tcPr>
            <w:tcW w:w="1560" w:type="dxa"/>
            <w:gridSpan w:val="3"/>
            <w:shd w:val="clear" w:color="auto" w:fill="FFFFFF" w:themeFill="background1"/>
            <w:vAlign w:val="center"/>
          </w:tcPr>
          <w:p w14:paraId="1B467258" w14:textId="7CC0374C"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88" w:type="dxa"/>
            <w:gridSpan w:val="3"/>
            <w:shd w:val="clear" w:color="auto" w:fill="FFFFFF" w:themeFill="background1"/>
            <w:vAlign w:val="center"/>
          </w:tcPr>
          <w:p w14:paraId="789D5A08" w14:textId="075CA0A9"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88" w:type="dxa"/>
            <w:gridSpan w:val="3"/>
            <w:shd w:val="clear" w:color="auto" w:fill="FFFFFF" w:themeFill="background1"/>
            <w:vAlign w:val="center"/>
          </w:tcPr>
          <w:p w14:paraId="4793CA5C" w14:textId="447AF38A"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1</w:t>
            </w:r>
            <w:r w:rsidRPr="00405D8B">
              <w:rPr>
                <w:rStyle w:val="tlid-translation"/>
                <w:sz w:val="20"/>
                <w:szCs w:val="20"/>
                <w:lang w:val="en-US"/>
              </w:rPr>
              <w:t xml:space="preserve">.51 – </w:t>
            </w:r>
            <w:r>
              <w:rPr>
                <w:rStyle w:val="tlid-translation"/>
                <w:sz w:val="20"/>
                <w:szCs w:val="20"/>
                <w:lang w:val="en-US"/>
              </w:rPr>
              <w:t>2</w:t>
            </w:r>
            <w:r w:rsidRPr="00405D8B">
              <w:rPr>
                <w:rStyle w:val="tlid-translation"/>
                <w:sz w:val="20"/>
                <w:szCs w:val="20"/>
                <w:lang w:val="en-US"/>
              </w:rPr>
              <w:t>.</w:t>
            </w:r>
            <w:r>
              <w:rPr>
                <w:rStyle w:val="tlid-translation"/>
                <w:sz w:val="20"/>
                <w:szCs w:val="20"/>
                <w:lang w:val="en-US"/>
              </w:rPr>
              <w:t>3</w:t>
            </w:r>
            <w:r w:rsidRPr="00405D8B">
              <w:rPr>
                <w:rStyle w:val="tlid-translation"/>
                <w:sz w:val="20"/>
                <w:szCs w:val="20"/>
                <w:lang w:val="en-US"/>
              </w:rPr>
              <w:t>0</w:t>
            </w:r>
          </w:p>
        </w:tc>
        <w:tc>
          <w:tcPr>
            <w:tcW w:w="1438" w:type="dxa"/>
            <w:gridSpan w:val="3"/>
            <w:shd w:val="clear" w:color="auto" w:fill="FFFFFF" w:themeFill="background1"/>
            <w:vAlign w:val="center"/>
          </w:tcPr>
          <w:p w14:paraId="0BC7032B" w14:textId="270C8710"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39" w:type="dxa"/>
            <w:shd w:val="clear" w:color="auto" w:fill="FFFFFF" w:themeFill="background1"/>
            <w:vAlign w:val="center"/>
          </w:tcPr>
          <w:p w14:paraId="6CD130A1" w14:textId="2FB78916"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&gt; 2.30</w:t>
            </w:r>
          </w:p>
        </w:tc>
      </w:tr>
      <w:tr w:rsidR="0060299E" w:rsidRPr="00405D8B" w14:paraId="39DAD51C" w14:textId="77777777" w:rsidTr="00582AB0">
        <w:trPr>
          <w:trHeight w:val="411"/>
          <w:jc w:val="center"/>
        </w:trPr>
        <w:tc>
          <w:tcPr>
            <w:tcW w:w="2409" w:type="dxa"/>
            <w:tcBorders>
              <w:top w:val="double" w:sz="4" w:space="0" w:color="auto"/>
            </w:tcBorders>
            <w:vAlign w:val="center"/>
          </w:tcPr>
          <w:p w14:paraId="7C06F8CA" w14:textId="77777777" w:rsidR="0060299E" w:rsidRPr="00405D8B" w:rsidRDefault="0060299E" w:rsidP="0060299E">
            <w:pPr>
              <w:spacing w:line="276" w:lineRule="auto"/>
              <w:jc w:val="center"/>
              <w:rPr>
                <w:rStyle w:val="tlid-translation"/>
                <w:i/>
                <w:iCs/>
                <w:sz w:val="20"/>
                <w:szCs w:val="20"/>
                <w:lang w:val="en-US"/>
              </w:rPr>
            </w:pPr>
            <w:r w:rsidRPr="00405D8B">
              <w:rPr>
                <w:rStyle w:val="tlid-translation"/>
                <w:b/>
                <w:sz w:val="20"/>
                <w:szCs w:val="20"/>
                <w:lang w:val="en-US"/>
              </w:rPr>
              <w:t>Category</w:t>
            </w:r>
          </w:p>
        </w:tc>
        <w:tc>
          <w:tcPr>
            <w:tcW w:w="3402" w:type="dxa"/>
            <w:gridSpan w:val="5"/>
            <w:tcBorders>
              <w:top w:val="double" w:sz="4" w:space="0" w:color="auto"/>
            </w:tcBorders>
            <w:shd w:val="clear" w:color="auto" w:fill="FFFFFF" w:themeFill="background1"/>
            <w:vAlign w:val="center"/>
          </w:tcPr>
          <w:p w14:paraId="32834A41"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1</w:t>
            </w:r>
          </w:p>
        </w:tc>
        <w:tc>
          <w:tcPr>
            <w:tcW w:w="3969" w:type="dxa"/>
            <w:gridSpan w:val="7"/>
            <w:tcBorders>
              <w:top w:val="double" w:sz="4" w:space="0" w:color="auto"/>
            </w:tcBorders>
            <w:shd w:val="clear" w:color="auto" w:fill="FFFFFF" w:themeFill="background1"/>
            <w:vAlign w:val="center"/>
          </w:tcPr>
          <w:p w14:paraId="71C4769A"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2</w:t>
            </w:r>
          </w:p>
        </w:tc>
        <w:tc>
          <w:tcPr>
            <w:tcW w:w="4437" w:type="dxa"/>
            <w:gridSpan w:val="8"/>
            <w:tcBorders>
              <w:top w:val="double" w:sz="4" w:space="0" w:color="auto"/>
            </w:tcBorders>
            <w:shd w:val="clear" w:color="auto" w:fill="FFFFFF" w:themeFill="background1"/>
            <w:vAlign w:val="center"/>
          </w:tcPr>
          <w:p w14:paraId="1906EDBB"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3</w:t>
            </w:r>
          </w:p>
        </w:tc>
      </w:tr>
      <w:tr w:rsidR="0060299E" w:rsidRPr="00405D8B" w14:paraId="7A3544D7" w14:textId="77777777" w:rsidTr="00582AB0">
        <w:trPr>
          <w:trHeight w:val="411"/>
          <w:jc w:val="center"/>
        </w:trPr>
        <w:tc>
          <w:tcPr>
            <w:tcW w:w="2409" w:type="dxa"/>
            <w:tcBorders>
              <w:bottom w:val="double" w:sz="4" w:space="0" w:color="auto"/>
            </w:tcBorders>
            <w:vAlign w:val="center"/>
          </w:tcPr>
          <w:p w14:paraId="1B2E532A" w14:textId="77777777" w:rsidR="0060299E" w:rsidRPr="00405D8B" w:rsidRDefault="0060299E" w:rsidP="0060299E">
            <w:pPr>
              <w:spacing w:line="276" w:lineRule="auto"/>
              <w:jc w:val="center"/>
              <w:rPr>
                <w:rStyle w:val="tlid-translation"/>
                <w:i/>
                <w:iCs/>
                <w:sz w:val="20"/>
                <w:szCs w:val="20"/>
                <w:lang w:val="en-US"/>
              </w:rPr>
            </w:pPr>
            <w:r w:rsidRPr="00405D8B">
              <w:rPr>
                <w:b/>
                <w:bCs/>
                <w:sz w:val="20"/>
                <w:szCs w:val="20"/>
                <w:lang w:val="en-US"/>
              </w:rPr>
              <w:t>Contamination level</w:t>
            </w:r>
          </w:p>
        </w:tc>
        <w:tc>
          <w:tcPr>
            <w:tcW w:w="3402" w:type="dxa"/>
            <w:gridSpan w:val="5"/>
            <w:tcBorders>
              <w:bottom w:val="double" w:sz="4" w:space="0" w:color="auto"/>
            </w:tcBorders>
            <w:shd w:val="clear" w:color="auto" w:fill="FFFFFF" w:themeFill="background1"/>
            <w:vAlign w:val="center"/>
          </w:tcPr>
          <w:p w14:paraId="5B392A61"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Unpolluted</w:t>
            </w:r>
          </w:p>
        </w:tc>
        <w:tc>
          <w:tcPr>
            <w:tcW w:w="3969" w:type="dxa"/>
            <w:gridSpan w:val="7"/>
            <w:tcBorders>
              <w:bottom w:val="double" w:sz="4" w:space="0" w:color="auto"/>
            </w:tcBorders>
            <w:shd w:val="clear" w:color="auto" w:fill="FFFFFF" w:themeFill="background1"/>
            <w:vAlign w:val="center"/>
          </w:tcPr>
          <w:p w14:paraId="3B1BA6F3" w14:textId="77777777" w:rsidR="0060299E" w:rsidRPr="00405D8B" w:rsidRDefault="0060299E" w:rsidP="0060299E">
            <w:pPr>
              <w:spacing w:line="276" w:lineRule="auto"/>
              <w:jc w:val="center"/>
              <w:rPr>
                <w:rStyle w:val="tlid-translation"/>
                <w:sz w:val="20"/>
                <w:szCs w:val="20"/>
                <w:lang w:val="en-US"/>
              </w:rPr>
            </w:pPr>
            <w:r w:rsidRPr="00405D8B">
              <w:rPr>
                <w:sz w:val="20"/>
                <w:szCs w:val="20"/>
                <w:lang w:val="en-US"/>
              </w:rPr>
              <w:t>Baseline levels of pollution</w:t>
            </w:r>
          </w:p>
        </w:tc>
        <w:tc>
          <w:tcPr>
            <w:tcW w:w="4437" w:type="dxa"/>
            <w:gridSpan w:val="8"/>
            <w:tcBorders>
              <w:bottom w:val="double" w:sz="4" w:space="0" w:color="auto"/>
            </w:tcBorders>
            <w:shd w:val="clear" w:color="auto" w:fill="FFFFFF" w:themeFill="background1"/>
            <w:vAlign w:val="center"/>
          </w:tcPr>
          <w:p w14:paraId="2EE09EB5"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Polluted</w:t>
            </w:r>
          </w:p>
        </w:tc>
      </w:tr>
      <w:tr w:rsidR="0060299E" w:rsidRPr="00405D8B" w14:paraId="50FA1753" w14:textId="77777777" w:rsidTr="00582AB0">
        <w:trPr>
          <w:trHeight w:val="411"/>
          <w:jc w:val="center"/>
        </w:trPr>
        <w:tc>
          <w:tcPr>
            <w:tcW w:w="2409" w:type="dxa"/>
            <w:tcBorders>
              <w:top w:val="double" w:sz="4" w:space="0" w:color="auto"/>
              <w:bottom w:val="double" w:sz="4" w:space="0" w:color="auto"/>
            </w:tcBorders>
            <w:vAlign w:val="center"/>
          </w:tcPr>
          <w:p w14:paraId="689EEA0F" w14:textId="54B0B674" w:rsidR="0060299E" w:rsidRPr="00405D8B" w:rsidRDefault="0060299E" w:rsidP="0060299E">
            <w:pPr>
              <w:spacing w:line="276" w:lineRule="auto"/>
              <w:jc w:val="center"/>
              <w:rPr>
                <w:rStyle w:val="tlid-translation"/>
                <w:sz w:val="20"/>
                <w:szCs w:val="20"/>
                <w:vertAlign w:val="superscript"/>
                <w:lang w:val="en-US"/>
              </w:rPr>
            </w:pPr>
            <w:r w:rsidRPr="00405D8B">
              <w:rPr>
                <w:rStyle w:val="tlid-translation"/>
                <w:i/>
                <w:iCs/>
                <w:sz w:val="20"/>
                <w:szCs w:val="20"/>
                <w:lang w:val="en-US"/>
              </w:rPr>
              <w:t>PLI</w:t>
            </w:r>
            <w:r w:rsidRPr="00405D8B">
              <w:rPr>
                <w:rStyle w:val="tlid-translation"/>
                <w:sz w:val="20"/>
                <w:szCs w:val="20"/>
                <w:vertAlign w:val="superscript"/>
                <w:lang w:val="en-US"/>
              </w:rPr>
              <w:t xml:space="preserve"> </w:t>
            </w:r>
            <w:r w:rsidR="00313EE0">
              <w:rPr>
                <w:rStyle w:val="tlid-translation"/>
                <w:sz w:val="20"/>
                <w:szCs w:val="20"/>
                <w:vertAlign w:val="superscript"/>
                <w:lang w:val="en-US"/>
              </w:rPr>
              <w:t xml:space="preserve"> </w:t>
            </w:r>
            <w:r w:rsidRPr="00405D8B">
              <w:rPr>
                <w:rStyle w:val="tlid-translation"/>
                <w:sz w:val="20"/>
                <w:szCs w:val="20"/>
                <w:vertAlign w:val="superscript"/>
                <w:lang w:val="en-US"/>
              </w:rPr>
              <w:t>d</w:t>
            </w:r>
          </w:p>
        </w:tc>
        <w:tc>
          <w:tcPr>
            <w:tcW w:w="3402" w:type="dxa"/>
            <w:gridSpan w:val="5"/>
            <w:tcBorders>
              <w:top w:val="double" w:sz="4" w:space="0" w:color="auto"/>
              <w:bottom w:val="double" w:sz="4" w:space="0" w:color="auto"/>
            </w:tcBorders>
            <w:vAlign w:val="center"/>
          </w:tcPr>
          <w:p w14:paraId="33862854"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1.0</w:t>
            </w:r>
          </w:p>
        </w:tc>
        <w:tc>
          <w:tcPr>
            <w:tcW w:w="3969" w:type="dxa"/>
            <w:gridSpan w:val="7"/>
            <w:tcBorders>
              <w:top w:val="double" w:sz="4" w:space="0" w:color="auto"/>
              <w:bottom w:val="double" w:sz="4" w:space="0" w:color="auto"/>
            </w:tcBorders>
            <w:vAlign w:val="center"/>
          </w:tcPr>
          <w:p w14:paraId="3CC5E10D"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 1.0</w:t>
            </w:r>
          </w:p>
        </w:tc>
        <w:tc>
          <w:tcPr>
            <w:tcW w:w="4437" w:type="dxa"/>
            <w:gridSpan w:val="8"/>
            <w:tcBorders>
              <w:top w:val="double" w:sz="4" w:space="0" w:color="auto"/>
              <w:bottom w:val="double" w:sz="4" w:space="0" w:color="auto"/>
            </w:tcBorders>
            <w:vAlign w:val="center"/>
          </w:tcPr>
          <w:p w14:paraId="0E5794F4"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&gt; 1.0</w:t>
            </w:r>
          </w:p>
        </w:tc>
      </w:tr>
    </w:tbl>
    <w:p w14:paraId="0E6BE2D6" w14:textId="4EF2E10C" w:rsidR="00946F8A" w:rsidRPr="00B84126" w:rsidRDefault="004B60B2" w:rsidP="00DE0995">
      <w:pPr>
        <w:spacing w:after="0" w:line="240" w:lineRule="auto"/>
        <w:ind w:left="567" w:right="535"/>
        <w:jc w:val="both"/>
        <w:rPr>
          <w:lang w:val="en-US"/>
        </w:rPr>
      </w:pPr>
      <w:r w:rsidRPr="00B84126">
        <w:rPr>
          <w:rStyle w:val="tlid-translation"/>
          <w:sz w:val="20"/>
          <w:vertAlign w:val="superscript"/>
          <w:lang w:val="en-US"/>
        </w:rPr>
        <w:t>a</w:t>
      </w:r>
      <w:r w:rsidRPr="00B84126">
        <w:rPr>
          <w:rStyle w:val="tlid-translation"/>
          <w:sz w:val="20"/>
          <w:lang w:val="en-US"/>
        </w:rPr>
        <w:t xml:space="preserve"> </w:t>
      </w:r>
      <w:r w:rsidRPr="00B84126">
        <w:rPr>
          <w:rStyle w:val="tlid-translation"/>
          <w:noProof/>
          <w:sz w:val="20"/>
          <w:szCs w:val="20"/>
          <w:lang w:val="en-US"/>
        </w:rPr>
        <w:t>Keshavarzi</w:t>
      </w:r>
      <w:r w:rsidRPr="00B84126">
        <w:rPr>
          <w:rStyle w:val="tlid-translation"/>
          <w:sz w:val="20"/>
          <w:szCs w:val="20"/>
          <w:lang w:val="en-US"/>
        </w:rPr>
        <w:t xml:space="preserve"> et al. </w:t>
      </w:r>
      <w:r w:rsidRPr="00B84126">
        <w:rPr>
          <w:rStyle w:val="tlid-translation"/>
          <w:sz w:val="20"/>
          <w:szCs w:val="20"/>
        </w:rPr>
        <w:fldChar w:fldCharType="begin" w:fldLock="1"/>
      </w:r>
      <w:r w:rsidRPr="00B84126">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B84126">
        <w:rPr>
          <w:rStyle w:val="tlid-translation"/>
          <w:sz w:val="20"/>
          <w:szCs w:val="20"/>
        </w:rPr>
        <w:fldChar w:fldCharType="separate"/>
      </w:r>
      <w:r w:rsidRPr="00B84126">
        <w:rPr>
          <w:rStyle w:val="tlid-translation"/>
          <w:noProof/>
          <w:sz w:val="20"/>
          <w:szCs w:val="20"/>
          <w:lang w:val="en-US"/>
        </w:rPr>
        <w:t>(2019)</w:t>
      </w:r>
      <w:r w:rsidRPr="00B84126">
        <w:rPr>
          <w:rStyle w:val="tlid-translation"/>
          <w:sz w:val="20"/>
          <w:szCs w:val="20"/>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b</w:t>
      </w:r>
      <w:r w:rsidRPr="00B84126">
        <w:rPr>
          <w:rStyle w:val="tlid-translation"/>
          <w:sz w:val="20"/>
          <w:lang w:val="en-US"/>
        </w:rPr>
        <w:t xml:space="preserve"> </w:t>
      </w:r>
      <w:proofErr w:type="spellStart"/>
      <w:r w:rsidRPr="00B84126">
        <w:rPr>
          <w:rStyle w:val="tlid-translation"/>
          <w:sz w:val="20"/>
          <w:lang w:val="en-US"/>
        </w:rPr>
        <w:t>Abrahim</w:t>
      </w:r>
      <w:proofErr w:type="spellEnd"/>
      <w:r w:rsidRPr="00B84126">
        <w:rPr>
          <w:rStyle w:val="tlid-translation"/>
          <w:sz w:val="20"/>
          <w:lang w:val="en-US"/>
        </w:rPr>
        <w:t xml:space="preserve"> and Parker </w:t>
      </w:r>
      <w:r w:rsidRPr="00B84126">
        <w:rPr>
          <w:rStyle w:val="tlid-translation"/>
          <w:sz w:val="20"/>
          <w:lang w:val="en-US"/>
        </w:rPr>
        <w:fldChar w:fldCharType="begin" w:fldLock="1"/>
      </w:r>
      <w:r w:rsidRPr="00B84126">
        <w:rPr>
          <w:rStyle w:val="tlid-translation"/>
          <w:sz w:val="20"/>
          <w:lang w:val="en-US"/>
        </w:rPr>
        <w:instrText>ADDIN CSL_CITATION {"citationItems":[{"id":"ITEM-1","itemData":{"DOI":"10.1007/s10661-007-9678-2","ISSN":"0167-6369","PMID":"17370131","abstract":"Eight sediment cores recovered from Tamaki Estuary were analysed for Cu, Pb, Zn, and Cd using downward cored sub-samples. The results indicate a significant upward enrichment in heavy metals with the highest concentrations found in the uppermost 0-10 cm layer. Assessment of heavy metal pollution in marine sediments requires knowledge of pre-anthropogenic metal concentrations to act as a reference against which measured values can be compared. Pristine values for the cored sediments were determined from flat \"base-line\" metal trends evident in lower core samples. Various methods for calculating metal enrichment and contamination factors are reviewed in detail and a modified and more robust version of the procedure for calculating the degree of contamination is proposed. The revised procedure allows the incorporation of a flexible range of pollutants, including various organic species, and the degree of contamination is expressed as an average ratio rather than an absolute summation number. Comparative data for normalized enrichment factors and the modified degree of contamination show that Tamaki Estuary sediments have suffered significant systematic heavy metal contamination following catchment urbanization. Compared to baseline values the uppermost sediment layers show four-fold enrichment averaged across eight cores and four analysed metals. © Springer Science+Business Media B.V. 2007.","author":[{"dropping-particle":"","family":"Abrahim","given":"G. M. S.","non-dropping-particle":"","parse-names":false,"suffix":""},{"dropping-particle":"","family":"Parker","given":"Rob J.","non-dropping-particle":"","parse-names":false,"suffix":""}],"container-title":"Environmental Monitoring and Assessment","id":"ITEM-1","issue":"1-3","issued":{"date-parts":[["2007","11","22"]]},"page":"227-238","title":"Assessment of heavy metal enrichment factors and the degree of contamination in marine sediments from Tamaki Estuary, Auckland, New Zealand","type":"article-journal","volume":"136"},"suppress-author":1,"uris":["http://www.mendeley.com/documents/?uuid=7bd0001c-9ed9-4091-b569-9e9a3436d4a0"]}],"mendeley":{"formattedCitation":"(2007)","plainTextFormattedCitation":"(2007)","previouslyFormattedCitation":"(2007)"},"properties":{"noteIndex":0},"schema":"https://github.com/citation-style-language/schema/raw/master/csl-citation.json"}</w:instrText>
      </w:r>
      <w:r w:rsidRPr="00B84126">
        <w:rPr>
          <w:rStyle w:val="tlid-translation"/>
          <w:sz w:val="20"/>
          <w:lang w:val="en-US"/>
        </w:rPr>
        <w:fldChar w:fldCharType="separate"/>
      </w:r>
      <w:r w:rsidRPr="00B84126">
        <w:rPr>
          <w:rStyle w:val="tlid-translation"/>
          <w:noProof/>
          <w:sz w:val="20"/>
          <w:lang w:val="en-US"/>
        </w:rPr>
        <w:t>(2007)</w:t>
      </w:r>
      <w:r w:rsidRPr="00B84126">
        <w:rPr>
          <w:rStyle w:val="tlid-translation"/>
          <w:sz w:val="20"/>
          <w:lang w:val="en-US"/>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c</w:t>
      </w:r>
      <w:r w:rsidRPr="00B84126">
        <w:rPr>
          <w:rStyle w:val="tlid-translation"/>
          <w:sz w:val="20"/>
          <w:lang w:val="en-US"/>
        </w:rPr>
        <w:t xml:space="preserve"> </w:t>
      </w:r>
      <w:r w:rsidRPr="00B84126">
        <w:rPr>
          <w:rStyle w:val="tlid-translation"/>
          <w:noProof/>
          <w:sz w:val="20"/>
          <w:szCs w:val="20"/>
          <w:lang w:val="en-US"/>
        </w:rPr>
        <w:t xml:space="preserve">Wei and Yang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{"citationItems":[{"id":"ITEM-1","itemData":{"DOI":"10.1016/j.microc.2009.09.014","ISSN":"0026265X","abstract":"This paper reviews quite a few heavy metal contamination related studies in several cities from China over the past 10 years. The concentrations, sources, contamination levels, sample collection and analytical tools of heavy metals in urban soils, urban road dusts and agricultural soils were widely compared and discussed in this study. The results indicate that nearly all the concentrations of Cr, Ni, Cu, Pb, Zn, As, Hg and Cd are higher than their background values of soil in China. Among the cities, the contamination levels of the heavy metals vary in a large range. The geoaccumulation index shows that the contamination of Cr, Ni, Cu, Pb, Zn and Cd is widespread in urban soils and urban road dusts of the cities. Generally, the contamination levels of Cu, Pb, Zn and Cd are higher than that of Ni and Cr. Agricultural soils are also significantly influenced by Cd, Hg and Pb derived from anthropogenic activities. The integrated pollution index (IPI) indicates that the urban soils and urban road dusts of the developed cities and the industrial cities have higher contamination levels of the heavy metals. The comparison of the IPIs of heavy metals in urban soils and urban road dusts of Shanghai, Hangzhou, Guangzhou and Hongkong reveals that the contamination levels of the metals in urban road dusts are higher than that in urban soils in the cities. Moreover, the main sources of the metals in urban soils, urban road dusts and agricultural soils are also different. © 2009 Elsevier B.V. All rights reserved.","author":[{"dropping-particle":"","family":"Wei","given":"Binggan","non-dropping-particle":"","parse-names":false,"suffix":""},{"dropping-particle":"","family":"Yang","given":"Linsheng","non-dropping-particle":"","parse-names":false,"suffix":""}],"container-title":"Microchemical Journal","id":"ITEM-1","issue":"2","issued":{"date-parts":[["2010","3"]]},"page":"99-107","publisher":"Elsevier B.V.","title":"A review of heavy metal contaminations in urban soils, urban road dusts and agricultural soils from China","type":"article-journal","volume":"94"},"suppress-author":1,"uris":["http://www.mendeley.com/documents/?uuid=2847efe0-10dc-44f8-8840-696f0d087447"]}],"mendeley":{"formattedCitation":"(2010)","plainTextFormattedCitation":"(2010)","previouslyFormattedCitation":"(2010)"},"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(2010)</w:t>
      </w:r>
      <w:r w:rsidRPr="00B84126">
        <w:rPr>
          <w:rStyle w:val="tlid-translation"/>
          <w:noProof/>
          <w:sz w:val="20"/>
          <w:szCs w:val="20"/>
          <w:lang w:val="en-US"/>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d</w:t>
      </w:r>
      <w:r w:rsidRPr="00B84126">
        <w:rPr>
          <w:rStyle w:val="tlid-translation"/>
          <w:sz w:val="20"/>
          <w:lang w:val="en-US"/>
        </w:rPr>
        <w:t xml:space="preserve"> </w:t>
      </w:r>
      <w:r w:rsidRPr="00B84126">
        <w:rPr>
          <w:rStyle w:val="tlid-translation"/>
          <w:noProof/>
          <w:sz w:val="20"/>
          <w:szCs w:val="20"/>
          <w:lang w:val="en-US"/>
        </w:rPr>
        <w:t xml:space="preserve">Emenike et al.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(2020)</w:t>
      </w:r>
      <w:r w:rsidRPr="00B84126">
        <w:rPr>
          <w:rStyle w:val="tlid-translation"/>
          <w:noProof/>
          <w:sz w:val="20"/>
          <w:szCs w:val="20"/>
          <w:lang w:val="en-US"/>
        </w:rPr>
        <w:fldChar w:fldCharType="end"/>
      </w:r>
      <w:r w:rsidRPr="00B84126">
        <w:rPr>
          <w:rStyle w:val="tlid-translation"/>
          <w:noProof/>
          <w:sz w:val="20"/>
          <w:szCs w:val="20"/>
          <w:lang w:val="en-US"/>
        </w:rPr>
        <w:t xml:space="preserve">; </w:t>
      </w:r>
      <w:r w:rsidRPr="00B84126">
        <w:rPr>
          <w:rStyle w:val="tlid-translation"/>
          <w:sz w:val="20"/>
          <w:vertAlign w:val="superscript"/>
          <w:lang w:val="en-US"/>
        </w:rPr>
        <w:t>e</w:t>
      </w:r>
      <w:r w:rsidRPr="00B84126">
        <w:rPr>
          <w:rStyle w:val="tlid-translation"/>
          <w:sz w:val="20"/>
          <w:lang w:val="en-US"/>
        </w:rPr>
        <w:t xml:space="preserve"> </w:t>
      </w:r>
      <w:r w:rsidRPr="00B84126">
        <w:rPr>
          <w:rStyle w:val="tlid-translation"/>
          <w:noProof/>
          <w:sz w:val="20"/>
          <w:szCs w:val="20"/>
          <w:lang w:val="en-US"/>
        </w:rPr>
        <w:t xml:space="preserve">Long and </w:t>
      </w:r>
      <w:r w:rsidRPr="00B84126">
        <w:rPr>
          <w:sz w:val="20"/>
          <w:szCs w:val="20"/>
          <w:lang w:val="en-US"/>
        </w:rPr>
        <w:t>MacDonald</w:t>
      </w:r>
      <w:r w:rsidRPr="00B84126">
        <w:rPr>
          <w:rStyle w:val="tlid-translation"/>
          <w:noProof/>
          <w:sz w:val="20"/>
          <w:szCs w:val="20"/>
          <w:lang w:val="en-US"/>
        </w:rPr>
        <w:t xml:space="preserve">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{"citationItems":[{"id":"ITEM-1","itemData":{"DOI":"10.1080/10807039891284956","ISSN":"1080-7039","author":[{"dropping-particle":"","family":"Long","given":"E. R.","non-dropping-particle":"","parse-names":false,"suffix":""},{"dropping-particle":"","family":"MacDonald","given":"D. D.","non-dropping-particle":"","parse-names":false,"suffix":""}],"container-title":"Human and Ecological Risk Assessment: An International Journal","id":"ITEM-1","issue":"5","issued":{"date-parts":[["1998","10"]]},"page":"1019-1039","title":"Recommended Uses of Empirically Derived, Sediment Quality Guidelines for Marine and Estuarine Ecosystems","type":"article-journal","volume":"4"},"suppress-author":1,"uris":["http://www.mendeley.com/documents/?uuid=f313c0e2-a4bf-402f-8e92-5b4134df8c41"]}],"mendeley":{"formattedCitation":"(1998)","plainTextFormattedCitation":"(1998)","previouslyFormattedCitation":"(1998)"},"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(1998)</w:t>
      </w:r>
      <w:r w:rsidRPr="00B84126">
        <w:rPr>
          <w:rStyle w:val="tlid-translation"/>
          <w:noProof/>
          <w:sz w:val="20"/>
          <w:szCs w:val="20"/>
          <w:lang w:val="en-US"/>
        </w:rPr>
        <w:fldChar w:fldCharType="end"/>
      </w:r>
      <w:r w:rsidRPr="00B84126">
        <w:rPr>
          <w:rStyle w:val="tlid-translation"/>
          <w:noProof/>
          <w:sz w:val="20"/>
          <w:szCs w:val="20"/>
          <w:lang w:val="en-US"/>
        </w:rPr>
        <w:t xml:space="preserve">; </w:t>
      </w:r>
      <w:r w:rsidRPr="00B84126">
        <w:rPr>
          <w:rStyle w:val="tlid-translation"/>
          <w:sz w:val="20"/>
          <w:vertAlign w:val="superscript"/>
          <w:lang w:val="en-US"/>
        </w:rPr>
        <w:t>f</w:t>
      </w:r>
      <w:r w:rsidRPr="00B84126">
        <w:rPr>
          <w:rStyle w:val="tlid-translation"/>
          <w:sz w:val="20"/>
          <w:lang w:val="en-US"/>
        </w:rPr>
        <w:t xml:space="preserve"> </w:t>
      </w:r>
      <w:r w:rsidRPr="00B84126">
        <w:rPr>
          <w:rStyle w:val="tlid-translation"/>
          <w:noProof/>
          <w:sz w:val="20"/>
          <w:szCs w:val="20"/>
          <w:lang w:val="en-US"/>
        </w:rPr>
        <w:t xml:space="preserve">Zhang et al.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{"citationItems":[{"id":"ITEM-1","itemData":{"DOI":"10.1016/j.ecolind.2016.04.042","ISSN":"1470160X","abstract":"Surface soil (0-20 cm) samples were collected from four chronological sequences of wetlands (i.e., &gt;50-yr-old wetlands, 40-yr-old wetlands, 30-yr-old wetlands and 10-yr-old wetlands) in the Yellow River Delta of China in May and June of 2007. Total contents of Al, As, Cd, Cr, Cu, Ni, Pb and Zn were determined using inductively coupled plasma atomic absorption spectrometry (ICP-AAS) to investigate the levels, sources and toxic risks of heavy metals in these wetlands. Our results showed an decreasing trend for Pb, Cu and Zn along the wetland-forming chronosequence although their pollution levels were low. Both As and Cd exhibited significant enrichment due to their high enrichment factor (EF) values (EF&gt;5), especially in older wetlands (i.e.,&gt;50-yr-old and 40-yr-old wetlands), whereas other heavy metals were minimally or moderately enriched in this region. The results of principal component analysis showed that 83.09% of total variance based on eigenvalues (eigenvalue&gt;1) could be explained by three principal components (PCs) in four wetlands. The source of Al, Cu, Pb and Zn was different from Cd, Cr and Ni. According to the sediment quality guidelines (SQGs) of China, soil samples in the younger wetlands, especially the 10-yr-old wetlands, were moderately polluted by As, Cd and Ni. According to the SQGs of US EPA, all soil samples were heavily polluted by As and moderately polluted by Ni and soil samples in the older wetlands were moderately polluted by Cr. However, with the exception of As and Ni, the contents of other heavy metals in the four wetlands did not exceed the probable effect level (PEL) values. As, Cd and Ni were identified as heavy metals of primary concerns in four wetlands, Cr were of moderate concern in older wetlands, and Pb, Cu and Zn should be paid more attention in younger wetland (i.e., 10-yr-old and 30-yr-old wetlands). A new and sensitive toxic risk index (TRI) is developed for the accurate assessment of toxic risk for heavy metals in wetland soils compared with the sum of the toxic units (TUs), and As, Cr, Ni and Cd showed higher contributions to TRI.","author":[{"dropping-particle":"","family":"Zhang","given":"Guangliang","non-dropping-particle":"","parse-names":false,"suffix":""},{"dropping-particle":"","family":"Bai","given":"Junhong","non-dropping-particle":"","parse-names":false,"suffix":""},{"dropping-particle":"","family":"Zhao","given":"Qingqing","non-dropping-particle":"","parse-names":false,"suffix":""},{"dropping-particle":"","family":"Lu","given":"Qiongqiong","non-dropping-particle":"","parse-names":false,"suffix":""},{"dropping-particle":"","family":"Jia","given":"Jia","non-dropping-particle":"","parse-names":false,"suffix":""},{"dropping-particle":"","family":"Wen","given":"Xiaojun","non-dropping-particle":"","parse-names":false,"suffix":""}],"container-title":"Ecological Indicators","id":"ITEM-1","issued":{"date-parts":[["2016","10"]]},"page":"331-339","publisher":"Elsevier Ltd","title":"Heavy metals in wetland soils along a wetland-forming chronosequence in the Yellow River Delta of China: Levels, sources and toxic risks","type":"article-journal","volume":"69"},"suppress-author":1,"uris":["http://www.mendeley.com/documents/?uuid=880c3984-35eb-4e6a-b8ef-e4230981e770"]}],"mendeley":{"formattedCitation":"(2016)","plainTextFormattedCitation":"(2016)","previouslyFormattedCitation":"(2016)"},"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(2016)</w:t>
      </w:r>
      <w:r w:rsidRPr="00B84126">
        <w:rPr>
          <w:rStyle w:val="tlid-translation"/>
          <w:noProof/>
          <w:sz w:val="20"/>
          <w:szCs w:val="20"/>
          <w:lang w:val="en-US"/>
        </w:rPr>
        <w:fldChar w:fldCharType="end"/>
      </w:r>
      <w:r w:rsidRPr="00B84126">
        <w:rPr>
          <w:rStyle w:val="tlid-translation"/>
          <w:noProof/>
          <w:sz w:val="20"/>
          <w:szCs w:val="20"/>
          <w:lang w:val="en-US"/>
        </w:rPr>
        <w:t>.</w:t>
      </w:r>
      <w:r w:rsidR="00946F8A" w:rsidRPr="00B84126">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r w:rsidR="003F31FE">
        <w:rPr>
          <w:rStyle w:val="tlid-translation"/>
          <w:b/>
          <w:sz w:val="36"/>
          <w:lang w:val="en"/>
        </w:rPr>
        <w:t>HERisk</w:t>
      </w:r>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r w:rsidR="003F31FE">
        <w:rPr>
          <w:rStyle w:val="tlid-translation"/>
          <w:sz w:val="28"/>
          <w:lang w:val="en"/>
        </w:rPr>
        <w:t>HERisk</w:t>
      </w:r>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5C59051A" w14:textId="70BA29E1" w:rsidR="00011927" w:rsidRPr="00B85F97" w:rsidRDefault="005B7930" w:rsidP="00C47575">
      <w:pPr>
        <w:widowControl w:val="0"/>
        <w:autoSpaceDE w:val="0"/>
        <w:autoSpaceDN w:val="0"/>
        <w:adjustRightInd w:val="0"/>
        <w:spacing w:line="276" w:lineRule="auto"/>
        <w:ind w:left="993" w:hanging="993"/>
        <w:jc w:val="center"/>
        <w:rPr>
          <w:b/>
          <w:sz w:val="52"/>
          <w:szCs w:val="52"/>
          <w:lang w:val="en"/>
        </w:rPr>
      </w:pPr>
      <w:hyperlink r:id="rId10" w:tgtFrame="_blank" w:history="1">
        <w:r w:rsidR="00B85F97" w:rsidRPr="00B85F97">
          <w:rPr>
            <w:rStyle w:val="Hyperlink"/>
            <w:sz w:val="52"/>
            <w:szCs w:val="52"/>
            <w:shd w:val="clear" w:color="auto" w:fill="F4F4F4"/>
            <w:lang w:val="en-US"/>
          </w:rPr>
          <w:t>https://youtu.be/w3-UVmYQrmM</w:t>
        </w:r>
      </w:hyperlink>
      <w:r w:rsidR="00011927" w:rsidRPr="00B85F97">
        <w:rPr>
          <w:b/>
          <w:sz w:val="52"/>
          <w:szCs w:val="52"/>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65AB0192" w14:textId="28E2108B" w:rsidR="00876AC6" w:rsidRPr="00876AC6" w:rsidRDefault="00A37B56" w:rsidP="00876AC6">
      <w:pPr>
        <w:widowControl w:val="0"/>
        <w:autoSpaceDE w:val="0"/>
        <w:autoSpaceDN w:val="0"/>
        <w:adjustRightInd w:val="0"/>
        <w:spacing w:line="240" w:lineRule="auto"/>
        <w:ind w:left="480" w:hanging="480"/>
        <w:rPr>
          <w:noProof/>
          <w:szCs w:val="24"/>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876AC6" w:rsidRPr="00876AC6">
        <w:rPr>
          <w:noProof/>
          <w:szCs w:val="24"/>
          <w:lang w:val="en-US"/>
        </w:rPr>
        <w:t xml:space="preserve">Abrahim, G.M.S., Parker, R.J., 2007. </w:t>
      </w:r>
      <w:r w:rsidR="00876AC6" w:rsidRPr="00876AC6">
        <w:rPr>
          <w:noProof/>
          <w:szCs w:val="24"/>
        </w:rPr>
        <w:t>Assessment of heavy metal enrichment factors and the degree of contamination in marine sediments from Tamaki Estuary, Auckland, New Zealand. Environ. Monit. Assess. 136, 227–238. https://doi.org/10.1007/s10661-007-9678-2</w:t>
      </w:r>
    </w:p>
    <w:p w14:paraId="6C682BE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Agbalagba, E.O., Avwiri, G.O., Chad-Umoreh, Y.E., 2012. γ-Spectroscopy measurement of natural radioactivity and assessment of radiation hazard indices in soil samples from oil fields environment of Delta State, Nigeria. J. Environ. Radioact. 109, 64–70. https://doi.org/10.1016/j.jenvrad.2011.10.012</w:t>
      </w:r>
    </w:p>
    <w:p w14:paraId="736861E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Anke, M., Seeber, O., Müller, R., Schäfer, U., Zerull, J., 2009. Uranium transfer in the food chain from soil to plants, animals and man. Geochemistry 69, 75–90. https://doi.org/10.1016/j.chemer.2007.12.001</w:t>
      </w:r>
    </w:p>
    <w:p w14:paraId="067FDA6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ATSDR, 2018. Minimal risk levels (MRLs), Agancy for Toxic Substances and Disease Registry.</w:t>
      </w:r>
    </w:p>
    <w:p w14:paraId="71EB011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Baes III, C.F., Sharp, R., Sjoreen, A., Shor, R., 1984. Review and analysis of parameters for assessing transport of environmentally released radionuclides through agriculture. Oak Ridge, TN (United States). https://doi.org/10.2172/6355677</w:t>
      </w:r>
    </w:p>
    <w:p w14:paraId="5F953DA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Belyaeva, O., Pyuskyulyan, K., Movsisyan, N., Saghatelyan, A., Carvalho, F.P., 2019. Natural radioactivity in urban soils of mining centers in Armenia: Dose rate and risk assessment. Chemosphere 225, 859–870. https://doi.org/10.1016/j.chemosphere.2019.03.057</w:t>
      </w:r>
    </w:p>
    <w:p w14:paraId="7B6BCE6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Biondi, C.M., Nascimento, C.W.A. do, Fabricio Neta, A. de B., Ribeiro, M.R., 2011. Teores de Fe, Mn, Zn, Cu, Ni E Co em solos de referência de Pernambuco. Rev. Bras. Ciência do Solo 35, 1057–1066. https://doi.org/10.1590/S0100-06832011000300039</w:t>
      </w:r>
    </w:p>
    <w:p w14:paraId="71DABE0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CONAMA, 2012. Estabelece as diretrizes gerais e os procedimentos referenciais para o gerenciamento do material a ser dragado em águas sob jurisdição nacional, Conselho Nacional do Meio Ambiente, Diário Oficial [da] República Federativa do Brasil.</w:t>
      </w:r>
    </w:p>
    <w:p w14:paraId="6FB906C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CONAMA, 2009. Resolução n</w:t>
      </w:r>
      <w:r w:rsidRPr="00876AC6">
        <w:rPr>
          <w:noProof/>
          <w:szCs w:val="24"/>
          <w:vertAlign w:val="superscript"/>
        </w:rPr>
        <w:t>o</w:t>
      </w:r>
      <w:r w:rsidRPr="00876AC6">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28450FD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7C7CF94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Craft, E.S., Abu-Qare, A.W., Flaherty, M.M., Garofolo, M.C., Rincavage, H.L., Abou-Donia, M.B., 2004. Depleted and natural uranium: chemistry and toxicological effects. J. Toxicol. Environ. Heal. Part B 7, 297–317. https://doi.org/10.1080/10937400490452714</w:t>
      </w:r>
    </w:p>
    <w:p w14:paraId="6173FAA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Cruz, F. da C., 2013. Background ambiental de elementos traço em substrato de manguezais dos municípios de una, canavieiras e belmonte, Bahia. Thesis (Master’s degree) – Federal University of Bahia.</w:t>
      </w:r>
    </w:p>
    <w:p w14:paraId="396394D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da Silva, Yuri Jacques Agra Bezerra, do Nascimento, C.W.A., Cantalice, J.R.B., da Silva, Ygor Jacques Agra Bezerra, Cruz, C.M.C.A., 2015. Watershed-scale assessment of background concentrations and guidance values for heavy metals in soils from a semiarid and coastal zone of Brazil. Environ. Monit. Assess. 187, 558. https://doi.org/10.1007/s10661-015-4782-1</w:t>
      </w:r>
    </w:p>
    <w:p w14:paraId="3C51AA1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23F7E23E"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lastRenderedPageBreak/>
        <w:t>Dong, Z., Liu, Y., Duan, L., Bekele, D., Naidu, R., 2015. Uncertainties in human health risk assessment of environmental contaminants: A review and perspective. Environ. Int. 85, 120–132. https://doi.org/10.1016/j.envint.2015.09.008</w:t>
      </w:r>
    </w:p>
    <w:p w14:paraId="77AF37D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EBRC, 2007. Health Risk Assessment Guidance for Metals: Gastrointestinal uptake and absorption &amp; catalogue of toxicokinetic models.</w:t>
      </w:r>
    </w:p>
    <w:p w14:paraId="17FE32B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Ehlers, L.J., Luthy, R.G., 2003. Peer reviewed: contaminant bioavailability in soil and sediment. Environ. Sci. Technol. https://doi.org/10.1017/9780511895562.006</w:t>
      </w:r>
    </w:p>
    <w:p w14:paraId="0DEC307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Emenike, P.C., Tenebe, I.T., Neris, J.B., Omole, D.O., Afolayan, O., Okeke, C.U., Emenike, I.K., 2020. An integrated assessment of land-use change impact, seasonal variation of pollution indices and human health risk of selected toxic elements in sediments of River Atuwara, Nigeria. Environ. Pollut. 265, 114795. https://doi.org/10.1016/j.envpol.2020.114795</w:t>
      </w:r>
    </w:p>
    <w:p w14:paraId="390CB9A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EPA, U.S., 2011. Provisional Peer-Reviewed Toxicity Values for 9,10-Anthraquinone, U.S. Environmental Protection Agency.</w:t>
      </w:r>
    </w:p>
    <w:p w14:paraId="383ADC6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Fairweather-Tait, S., Hurrell, R.F., 1996. Bioavailability of Minerals and Trace Elements. Nutr. Res. Rev. 9, 295–324. https://doi.org/10.1079/NRR19960016</w:t>
      </w:r>
    </w:p>
    <w:p w14:paraId="4526907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Forth, W., Rummel, W., 1973. Iron absorption. Physiol. Rev. 53, 724–792.</w:t>
      </w:r>
    </w:p>
    <w:p w14:paraId="7380394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Gao, X., Li, P., 2012. Concentration and fractionation of trace metals in surface sediments of intertidal Bohai Bay, China. Mar. Pollut. Bull. 64, 1529–1536. https://doi.org/10.1016/j.marpolbul.2012.04.026</w:t>
      </w:r>
    </w:p>
    <w:p w14:paraId="19217CA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Gu, Y.-G., Ke, C.-L., Liu, Q., Lin, Q., 2016. Polycyclic aromatic hydrocarbons (PAHs) in sediments of Zhelin Bay, the largest mariculture base on the eastern Guangdong coast, South China: Characterization and risk implications. Mar. Pollut. Bull. 110, 603–608. https://doi.org/10.1016/j.marpolbul.2016.06.025</w:t>
      </w:r>
    </w:p>
    <w:p w14:paraId="34B71CC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Hakanson, L., 1980. An ecological risk index for aquatic pollution control. A sedimentological approach. Water Res. 14, 975–1001. https://doi.org/10.1016/0043-1354(80)90143-8</w:t>
      </w:r>
    </w:p>
    <w:p w14:paraId="6FD8EF6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Hallberg, L., Rossander-Hultén, L., Brune, M., Gleerup, A., 1992. Bioavailability in Man of Iron in Human Milk and Cow’s Milk in Relation to Their Calcium Contents. Pediatr. Res. 31, 524–527. https://doi.org/10.1203/00006450-199205000-00024</w:t>
      </w:r>
    </w:p>
    <w:p w14:paraId="7064A00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Hardisson, A., Revert, C., González-Weller, D., Gutiérrez, Á., Paz, S., Rubio, C., 2017. Aluminium Exposure Through the Diet. Food Sci. Nutr. 3, 1–10. https://doi.org/10.24966/FSN-0176/100019</w:t>
      </w:r>
    </w:p>
    <w:p w14:paraId="5F5BF825"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Health Canada, 2010. Federal Contaminated Site Risk Assessment in Canada. Part II: Health Canada Toxicological Reference Values (TRVs). Version 2.0. Cat. H46-2/04-368E.</w:t>
      </w:r>
    </w:p>
    <w:p w14:paraId="664B87E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Health Canada, 2005. Guidance document for country foods surveys for the purpose of human health risk assessment. Canada.</w:t>
      </w:r>
    </w:p>
    <w:p w14:paraId="7AAA327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Health Canada, 2004. Federal Contaminated Site Risk Assessment in Canada. Part I: Guidance on Human Health Preliminary Quantitative Risk Assessment. Version 2.0.</w:t>
      </w:r>
    </w:p>
    <w:p w14:paraId="6E5ECEE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46336AE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Hu, X., Zhang, Y., Ding, Z., Wang, T., Lian, H., Sun, Y., Wu, J., 2012. Bioaccessibility and health risk of arsenic and heavy metals (Cd, Co, Cr, Cu, Ni, Pb, Zn and Mn) in TSP and PM2.5 in Nanjing, China. Atmos. Environ. 57, 146–152. https://doi.org/10.1016/j.atmosenv.2012.04.056</w:t>
      </w:r>
    </w:p>
    <w:p w14:paraId="3D97E4D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 xml:space="preserve">Hu, X., Zhang, Y., Luo, J., Wang, T., Lian, H., Ding, Z., 2011. Bioaccessibility and health risk of arsenic, mercury and other metals in urban street dusts from a mega-city, Nanjing, China. Environ. Pollut. 159, </w:t>
      </w:r>
      <w:r w:rsidRPr="00876AC6">
        <w:rPr>
          <w:noProof/>
          <w:szCs w:val="24"/>
        </w:rPr>
        <w:lastRenderedPageBreak/>
        <w:t>1215–1221. https://doi.org/10.1016/j.envpol.2011.01.037</w:t>
      </w:r>
    </w:p>
    <w:p w14:paraId="0732372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IAEA, 2003. Occupational Radiation Protection:Protecting workers against exposure to ionizing radiation, International Atomic Energy Agency. Vienna.</w:t>
      </w:r>
    </w:p>
    <w:p w14:paraId="2C7A144E"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IARC, 2020. Book and Report Series [WWW Document]. Int. Agency Res. Cancer. URL https://publications.iarc.fr/Book-And-Report-Series (accessed 9.22.20).</w:t>
      </w:r>
    </w:p>
    <w:p w14:paraId="6269BEF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ICRP, 1991. Reccomendations of the International Commission on Radiological Protection. ICRP publication 60. Ann. ICRP 21, International Commission on Radiological Protection.</w:t>
      </w:r>
    </w:p>
    <w:p w14:paraId="0DCFE04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IRIS-EPA, 2020. Integrated Risk Information System [WWW Document]. U.S. Environ. Prot. Agency. URL https://cfpub.epa.gov/ncea/iris/search/index.cfm?keyword (accessed 5.14.20).</w:t>
      </w:r>
    </w:p>
    <w:p w14:paraId="7ADBAF6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ISO, 2004. Guide to the expression of uncertainty in measurement (GUM) – Supplement 1: Numerical methods for the propagation of distributions. Geneva, International Organization for Standardization.</w:t>
      </w:r>
    </w:p>
    <w:p w14:paraId="58E4D15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Jensen, J., Mesman, M., 2006. Ecological Risk Assessment of Contaminated Land - Decision support for site specific investigation, Mineralogical Magazine.</w:t>
      </w:r>
    </w:p>
    <w:p w14:paraId="5D3EF49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Julien, C., Esperanza, P., Bruno, M., Alleman, L.Y., 2011. Development of an in vitro method to estimate lung bioaccessibility of metals from atmospheric particles. J. Environ. Monit. 13, 621. https://doi.org/10.1039/c0em00439a</w:t>
      </w:r>
    </w:p>
    <w:p w14:paraId="533AB28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Keshavarzi, A., Kumar, V., 2019. Ecological risk assessment and source apportionment of heavy metal contamination in agricultural soils of Northeastern Iran. Int. J. Environ. Health Res. 29, 544–560. https://doi.org/10.1080/09603123.2018.1555638</w:t>
      </w:r>
    </w:p>
    <w:p w14:paraId="0DDFC52E"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Leggett, R.W., 2008. The biokinetics of inorganic cobalt in the human body. Sci. Total Environ. 389, 259–269. https://doi.org/10.1016/j.scitotenv.2007.08.054</w:t>
      </w:r>
    </w:p>
    <w:p w14:paraId="5C9C2AE9"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Li, Y., Juhasz, A.L., Ma, L.Q., Cui, X., 2019. Inhalation bioaccessibility of PAHs in PM2.5: Implications for risk assessment and toxicity prediction. Sci. Total Environ. 650, 56–64. https://doi.org/10.1016/j.scitotenv.2018.08.246</w:t>
      </w:r>
    </w:p>
    <w:p w14:paraId="6E27052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Li, Z., Ma, Z., Kuijp, T.J. van der, Yuan, Z., Huang, L., 2014. A review of soil heavy metal pollution from mines in China: Pollution and health risk assessment. Sci. Total Environ. 468–469, 843–853. https://doi.org/10.1016/j.scitotenv.2013.08.090</w:t>
      </w:r>
    </w:p>
    <w:p w14:paraId="69FCD70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Long, E.R., MacDonald, D.D., 1998. Recommended Uses of Empirically Derived, Sediment Quality Guidelines for Marine and Estuarine Ecosystems. Hum. Ecol. Risk Assess. An Int. J. 4, 1019–1039. https://doi.org/10.1080/10807039891284956</w:t>
      </w:r>
    </w:p>
    <w:p w14:paraId="23D2BE3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Lönnerdal, B., 1996. Bioavailability of copper. Am. J. Clin. Nutr. 63, 821S-829S. https://doi.org/10.1093/ajcn/63.5.821</w:t>
      </w:r>
    </w:p>
    <w:p w14:paraId="66D7985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Mendes, N.M.T. do N.S., 2015. Background geooquímico para sedimentos de regiões estuarinas de Pernambuco. Thesis (Doctorate’s degree) – Federal University of Pernambuco.</w:t>
      </w:r>
    </w:p>
    <w:p w14:paraId="77FD594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Michigan DEQ, 2015. CHEMICAL UPDATE WORKSHEET, Department of Environmental Quality - State of Michigan.</w:t>
      </w:r>
    </w:p>
    <w:p w14:paraId="4D57517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Muller, G., 1969. Index of geoaccumulation in sediments of the Rhine River. GeoJournal 2, 108–118.</w:t>
      </w:r>
    </w:p>
    <w:p w14:paraId="29DDE79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National Research Council, 1999. Disposition of inorganic arsenic, in: Arsenic in Drinking Water. National Academies Press (US).</w:t>
      </w:r>
    </w:p>
    <w:p w14:paraId="4109D0F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NFESC, 2000. Final Guide for Incorporating Bioavailability Adjustments into Human Health and Ecological Risk Assessments at U. S. Navy and Marine Corps Facilities. Part 1 : Overview of Metals Bioavailability. Nav. Facil. Eng. Serv. Cent.</w:t>
      </w:r>
    </w:p>
    <w:p w14:paraId="30A2500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lastRenderedPageBreak/>
        <w:t>OEHHA, 2019a. Online Database [WWW Document]. Off. Environ. Heal. Hazard Assess. URL https://oehha.ca.gov/chemicals (accessed 8.16.19).</w:t>
      </w:r>
    </w:p>
    <w:p w14:paraId="5DE5BEA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OEHHA, 2019b. Human Health Risk Assessment Note 3 – DTSC-Modified Screening Levels (DTSC-SLs), Office of Environmental Health Hazard Assessment.</w:t>
      </w:r>
    </w:p>
    <w:p w14:paraId="51D0659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OEHHA, 2011. Public Health Goals for Chemicals in Drinking Water: Hexavalent Chromium (Cr VI), Office of Environmental Health Hazard Assessment.</w:t>
      </w:r>
    </w:p>
    <w:p w14:paraId="42D5FF9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Ogunkunle, C.O., Fatoba, P.O., 2013. Pollution loads and the ecological risk assessment of soil heavy metals around a mega cement factory in southwest Nigeria. Polish J. Environ. Stud. 22, 487–493.</w:t>
      </w:r>
    </w:p>
    <w:p w14:paraId="26BA098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Pagliarini, É.C., Oliveira, V.B.D.M., Espindola, E.L.G., 2019. Ecological Risk assEssmEnt (ERa) application foR thE Evaluation of impacts on natuRal aquatic EcosystEms. Ambient. Soc. 22. https://doi.org/10.1590/1809-4422asoc0292r2vu19l1ao</w:t>
      </w:r>
    </w:p>
    <w:p w14:paraId="4A0BA408"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Public Health England, 2009. Bromine Toxicological Overview.</w:t>
      </w:r>
    </w:p>
    <w:p w14:paraId="3BA09EA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Qingjie, G., Jun, D., Yunchuan, X., Qingfei, W., Liqiang, Y., 2008. Calculating Pollution Indices by Heavy Metals in Ecological Geochemistry Assessment and a Case Study in Parks of Beijing. J. China Univ. Geosci. 19, 230–241. https://doi.org/10.1016/S1002-0705(08)60042-4</w:t>
      </w:r>
    </w:p>
    <w:p w14:paraId="1BF314A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Ragan, H.A., 1983. The bioavailability of iron, lead and cadmium via gastrointestinal absorption: A review. Sci. Total Environ. 28, 317–326. https://doi.org/10.1016/S0048-9697(83)80029-1</w:t>
      </w:r>
    </w:p>
    <w:p w14:paraId="576D30E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Ramesh, A., Walker, S.A., Hood, D.B., Guillén, M.D., Schneider, K., Weyand, E.H., 2004. Bioavailability and Risk Assessment of Orally Ingested Polycyclic Aromatic Hydrocarbons. Int. J. Toxicol. 23, 301–333. https://doi.org/10.1080/10915810490517063</w:t>
      </w:r>
    </w:p>
    <w:p w14:paraId="12F9D1A8"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RIVM, 2001. Re-evaluation of Human-Toxicological Maximum Permissible Risk Levels. RIVM Report No. 711701025, National Institute of Public Health and the Environment. The Netherlands.</w:t>
      </w:r>
    </w:p>
    <w:p w14:paraId="14ECD54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Rutgers, M., Tuinstra, J., Spijker, J., Mesman, M., Wintersen, A., Posthuma, L., 2008. Ecological Risks of Soil Contamination in the Second Step of the Remediation Criterion (In Dutch with English Summary), RIVM, Bilthoven, The Netherlands. https://doi.org/Report 711701072</w:t>
      </w:r>
    </w:p>
    <w:p w14:paraId="5CBFB87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Sartorelli, P., Aprea, C., Cenni, A., Novelli, M.T., Orsi, D., Palmi, S., Matteucci, G., 1998. Prediction of percutaneous absorption from physicochemical data of In Vitro experiments. Ann. Occup. Hyg. 42, 267–276. https://doi.org/10.1093/annhyg/42.4.267</w:t>
      </w:r>
    </w:p>
    <w:p w14:paraId="4213E69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Sassi, G., Vernai, A.M., Ruggeri, B., 2007. Quantitative estimation of uncertainty in human risk analysis. J. Hazard. Mater. 145, 296–304. https://doi.org/10.1016/j.jhazmat.2006.11.020</w:t>
      </w:r>
    </w:p>
    <w:p w14:paraId="1081643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Sedeño-Díaz, J.E., López-López, E., Mendoza-Martínez, E., Rodríguez-Romero, A.J., Morales-García, S.S., 2019. Distribution Coefficient and Metal Pollution Index in Water and Sediments: Proposal of a New Index for Ecological Risk Assessment of Metals. Water 12, 29. https://doi.org/10.3390/w12010029</w:t>
      </w:r>
    </w:p>
    <w:p w14:paraId="4EEEE235"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Son, J., Kim, J.-G., Hyun, S., Cho, K., 2019. Screening level ecological risk assessment of abandoned metal mines using chemical and ecotoxicological lines of evidence. Environ. Pollut. 249, 1081–1090. https://doi.org/10.1016/j.envpol.2019.03.019</w:t>
      </w:r>
    </w:p>
    <w:p w14:paraId="3D68DCA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Treviño, S., Díaz, A., Sánchez-Lara, E., Sanchez-Gaytan, B.L., Perez-Aguilar, J.M., González-Vergara, E., 2019. Vanadium in Biological Action: Chemical, Pharmacological Aspects, and Metabolic Implications in Diabetes Mellitus. Biol. Trace Elem. Res. 188, 68–98. https://doi.org/10.1007/s12011-018-1540-6</w:t>
      </w:r>
    </w:p>
    <w:p w14:paraId="7AE4CA0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2018. Dose-Response Assessment for Assessing Health Risks Associated With Exposure to Hazardous Air Pollutants, U.S. Environmental Protection Agency.</w:t>
      </w:r>
    </w:p>
    <w:p w14:paraId="3626671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2011. Exposure Factors Handbook, U.S. Environmental Protection Agency.</w:t>
      </w:r>
    </w:p>
    <w:p w14:paraId="7A4D0E2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 xml:space="preserve">U.S. EPA, 2009a. Risk Assessment Guidance for Superfund Volume I: Human Health Evaluation Manual </w:t>
      </w:r>
      <w:r w:rsidRPr="00876AC6">
        <w:rPr>
          <w:noProof/>
          <w:szCs w:val="24"/>
        </w:rPr>
        <w:lastRenderedPageBreak/>
        <w:t>(Part F, Supplemental Guidance for Inhalation Risk Assessment). U.S. Environ. Prot. Agency.</w:t>
      </w:r>
    </w:p>
    <w:p w14:paraId="7924EE98"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2009b. Provisional peer-reviewed Toxicity values for vanadium and its soluble inorganic compounds other than vanadium pentoxide. U.S. Environ. Prot. Agency.</w:t>
      </w:r>
    </w:p>
    <w:p w14:paraId="18E223F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2008a. Provisional peer reviewed toxicity values for cobalt, U.S. Environmental Protection Agency.</w:t>
      </w:r>
    </w:p>
    <w:p w14:paraId="3689D5F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2008b. Provisional peer reviewed toxicity values for lithium, U.S. Environmental Protection Agency.</w:t>
      </w:r>
    </w:p>
    <w:p w14:paraId="60E1BFB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2007. Guidance for evaluating the oral bioavailability of metals in soils for use in human health risk assessment, U.S. Environmental Protection Agency.</w:t>
      </w:r>
    </w:p>
    <w:p w14:paraId="4F84B3A9"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2006. Provisional peer reviewed toxicity values for iron and compounds, U.S. Environmental Protection Agency.</w:t>
      </w:r>
    </w:p>
    <w:p w14:paraId="30ED2E9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2005a. Supplemental Guidance for Assessing Susceptibility from Early-Life Exposure to Carcinogens, U.S. Environmental Protection Agency.</w:t>
      </w:r>
    </w:p>
    <w:p w14:paraId="16221D2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2005b. Guidelines for Carcinogen Risk Assessment, U.S. Environmental Protection Agency.</w:t>
      </w:r>
    </w:p>
    <w:p w14:paraId="35C5D62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2004. Risk Assessment Guidance for Superfund Volume I: Human Health Evaluation Manual (Part E, Supplemental Guidance for Dermal Risk Assessment), U.S. Environmental Protection Agency.</w:t>
      </w:r>
    </w:p>
    <w:p w14:paraId="01B6A19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1998. Guidelines for ecological risk assessment, U.S. Environmental Protection Agency. Washington.</w:t>
      </w:r>
    </w:p>
    <w:p w14:paraId="5660FF0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1996. Qualitative Uncertainty Analysis of Superfund Residential Risk Pathway Models for Soil and Groundwater: White Paper, U. S. Environmental Protection Agency.</w:t>
      </w:r>
    </w:p>
    <w:p w14:paraId="6223C69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1991. Human health evaluation manual, supplemental guidance: standard default exposure factors., U.S. Environmental Protection Agency.</w:t>
      </w:r>
    </w:p>
    <w:p w14:paraId="1185AD8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1989. Risk Assessment Guidance for Superfund. Vol I: Human Health Evaluation Manual (Part A), U.S. Environmental Protection Agency.</w:t>
      </w:r>
    </w:p>
    <w:p w14:paraId="505EC96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1986. Guidelines for Carcinogen Risk Assessment, U.S. Environmental Protection Agency.</w:t>
      </w:r>
    </w:p>
    <w:p w14:paraId="5F60E7C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23A7BC9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UNSCEAR, 2000. Annex B: Exposure from natural sources. In: Sources and Effects of Ionizing Radiation: UNSCEAR 2000 Report to General Assembly Scientific Annexes, United Nation Scientific Committee on the Efects of Atomic Radiation. New York.</w:t>
      </w:r>
    </w:p>
    <w:p w14:paraId="74F9DE4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Weber, P.M., O’reilly, S., Pollycove, M., Shipley, L., 1969. Gastrointestinal absorption of copper: studies with 64Cu, 95Zr, a whole-body counter and the scintillation camera. J. Nucl. Med. 10, 591–596.</w:t>
      </w:r>
    </w:p>
    <w:p w14:paraId="30D0BD8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Wei, B., Yang, L., 2010. A review of heavy metal contaminations in urban soils, urban road dusts and agricultural soils from China. Microchem. J. 94, 99–107. https://doi.org/10.1016/j.microc.2009.09.014</w:t>
      </w:r>
    </w:p>
    <w:p w14:paraId="5302DFC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WHO, 2005. Bromate in Drinking-water, World Health Organization Guidelines for Drinking-water Quality.</w:t>
      </w:r>
    </w:p>
    <w:p w14:paraId="30505819"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WHO, 2001. Barium and barium compounds, World Health Organization.</w:t>
      </w:r>
    </w:p>
    <w:p w14:paraId="1550796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Yokel, R.A., Rhineheimer, S.S., Brauer, R.D., Sharma, P., Elmore, D., McNamara, P.J., 2001. Aluminum bioavailability from drinking water is very low and is not appreciably influenced by stomach contents or water hardness. Toxicology 161, 93–101. https://doi.org/10.1016/S0300-483X(01)00335-3</w:t>
      </w:r>
    </w:p>
    <w:p w14:paraId="4B4DE804" w14:textId="77777777" w:rsidR="00876AC6" w:rsidRPr="00876AC6" w:rsidRDefault="00876AC6" w:rsidP="00876AC6">
      <w:pPr>
        <w:widowControl w:val="0"/>
        <w:autoSpaceDE w:val="0"/>
        <w:autoSpaceDN w:val="0"/>
        <w:adjustRightInd w:val="0"/>
        <w:spacing w:line="240" w:lineRule="auto"/>
        <w:ind w:left="480" w:hanging="480"/>
        <w:rPr>
          <w:noProof/>
        </w:rPr>
      </w:pPr>
      <w:r w:rsidRPr="00876AC6">
        <w:rPr>
          <w:noProof/>
          <w:szCs w:val="24"/>
        </w:rPr>
        <w:lastRenderedPageBreak/>
        <w:t>Zhang, G., Bai, J., Zhao, Q., Lu, Q., Jia, J., Wen, X., 2016. Heavy metals in wetland soils along a wetland-forming chronosequence in the Yellow River Delta of China: Levels, sources and toxic risks. Ecol. Indic. 69, 331–339. https://doi.org/10.1016/j.ecolind.2016.04.042</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91668" w14:textId="77777777" w:rsidR="0016680B" w:rsidRDefault="0016680B" w:rsidP="009D0102">
      <w:pPr>
        <w:spacing w:after="0" w:line="240" w:lineRule="auto"/>
      </w:pPr>
      <w:r>
        <w:separator/>
      </w:r>
    </w:p>
  </w:endnote>
  <w:endnote w:type="continuationSeparator" w:id="0">
    <w:p w14:paraId="3A7C9CA4" w14:textId="77777777" w:rsidR="0016680B" w:rsidRDefault="0016680B"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393B5" w14:textId="77777777" w:rsidR="0016680B" w:rsidRDefault="0016680B" w:rsidP="009D0102">
      <w:pPr>
        <w:spacing w:after="0" w:line="240" w:lineRule="auto"/>
      </w:pPr>
      <w:r>
        <w:separator/>
      </w:r>
    </w:p>
  </w:footnote>
  <w:footnote w:type="continuationSeparator" w:id="0">
    <w:p w14:paraId="5A383CB6" w14:textId="77777777" w:rsidR="0016680B" w:rsidRDefault="0016680B"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Content>
      <w:p w14:paraId="239DE5A7" w14:textId="76F68A65" w:rsidR="001A0DFC" w:rsidRDefault="001A0DFC">
        <w:pPr>
          <w:pStyle w:val="Cabealho"/>
          <w:jc w:val="right"/>
        </w:pPr>
        <w:r>
          <w:fldChar w:fldCharType="begin"/>
        </w:r>
        <w:r>
          <w:instrText>PAGE   \* MERGEFORMAT</w:instrText>
        </w:r>
        <w:r>
          <w:fldChar w:fldCharType="separate"/>
        </w:r>
        <w:r>
          <w:t>2</w:t>
        </w:r>
        <w:r>
          <w:fldChar w:fldCharType="end"/>
        </w:r>
      </w:p>
    </w:sdtContent>
  </w:sdt>
  <w:p w14:paraId="6739F3DA" w14:textId="77777777" w:rsidR="001A0DFC" w:rsidRDefault="001A0D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Content>
      <w:p w14:paraId="67F1FA25" w14:textId="76CBFA60" w:rsidR="001A0DFC" w:rsidRDefault="001A0DFC">
        <w:pPr>
          <w:pStyle w:val="Cabealho"/>
          <w:jc w:val="right"/>
        </w:pPr>
        <w:r>
          <w:fldChar w:fldCharType="begin"/>
        </w:r>
        <w:r>
          <w:instrText>PAGE   \* MERGEFORMAT</w:instrText>
        </w:r>
        <w:r>
          <w:fldChar w:fldCharType="separate"/>
        </w:r>
        <w:r>
          <w:t>2</w:t>
        </w:r>
        <w:r>
          <w:fldChar w:fldCharType="end"/>
        </w:r>
      </w:p>
    </w:sdtContent>
  </w:sdt>
  <w:p w14:paraId="653E6A22" w14:textId="77777777" w:rsidR="001A0DFC" w:rsidRDefault="001A0D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344F"/>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0F03"/>
    <w:rsid w:val="00081381"/>
    <w:rsid w:val="000818FB"/>
    <w:rsid w:val="00082774"/>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546F"/>
    <w:rsid w:val="00127214"/>
    <w:rsid w:val="001301D4"/>
    <w:rsid w:val="00130E0F"/>
    <w:rsid w:val="001327B4"/>
    <w:rsid w:val="00132E1B"/>
    <w:rsid w:val="001353ED"/>
    <w:rsid w:val="00135C11"/>
    <w:rsid w:val="00135DE3"/>
    <w:rsid w:val="00136952"/>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6680B"/>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0DFC"/>
    <w:rsid w:val="001A1044"/>
    <w:rsid w:val="001A2ADF"/>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13EE0"/>
    <w:rsid w:val="00320B64"/>
    <w:rsid w:val="00320D7D"/>
    <w:rsid w:val="00321515"/>
    <w:rsid w:val="00321BB5"/>
    <w:rsid w:val="00325283"/>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0F1C"/>
    <w:rsid w:val="003D150F"/>
    <w:rsid w:val="003D2223"/>
    <w:rsid w:val="003D7BCF"/>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5D8B"/>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C51"/>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0B2"/>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5010CF"/>
    <w:rsid w:val="00502075"/>
    <w:rsid w:val="0050315D"/>
    <w:rsid w:val="005034C0"/>
    <w:rsid w:val="00503745"/>
    <w:rsid w:val="00503A23"/>
    <w:rsid w:val="00503CA4"/>
    <w:rsid w:val="005050B6"/>
    <w:rsid w:val="005053D9"/>
    <w:rsid w:val="00507833"/>
    <w:rsid w:val="00510B45"/>
    <w:rsid w:val="00512401"/>
    <w:rsid w:val="005141B6"/>
    <w:rsid w:val="00516315"/>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B7930"/>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299E"/>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0FE"/>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2C3"/>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531"/>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76AC6"/>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72BB"/>
    <w:rsid w:val="009439B5"/>
    <w:rsid w:val="009456E5"/>
    <w:rsid w:val="0094679A"/>
    <w:rsid w:val="00946F8A"/>
    <w:rsid w:val="009506F1"/>
    <w:rsid w:val="00951018"/>
    <w:rsid w:val="009518B4"/>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B4C"/>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70FDB"/>
    <w:rsid w:val="00A71451"/>
    <w:rsid w:val="00A722D3"/>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15A"/>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126"/>
    <w:rsid w:val="00B84AE3"/>
    <w:rsid w:val="00B858C1"/>
    <w:rsid w:val="00B85F97"/>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DB0"/>
    <w:rsid w:val="00BA76A5"/>
    <w:rsid w:val="00BA7B71"/>
    <w:rsid w:val="00BB2D3E"/>
    <w:rsid w:val="00BB371E"/>
    <w:rsid w:val="00BB456E"/>
    <w:rsid w:val="00BB5D1B"/>
    <w:rsid w:val="00BB6B15"/>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575"/>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77CD1"/>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0995"/>
    <w:rsid w:val="00DE1948"/>
    <w:rsid w:val="00DE28F7"/>
    <w:rsid w:val="00DE5284"/>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AD"/>
    <w:rsid w:val="00E75B36"/>
    <w:rsid w:val="00E76266"/>
    <w:rsid w:val="00E7747A"/>
    <w:rsid w:val="00E77B0A"/>
    <w:rsid w:val="00E81591"/>
    <w:rsid w:val="00E82716"/>
    <w:rsid w:val="00E83808"/>
    <w:rsid w:val="00E83B83"/>
    <w:rsid w:val="00E84A85"/>
    <w:rsid w:val="00E855ED"/>
    <w:rsid w:val="00E86F8F"/>
    <w:rsid w:val="00E90906"/>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5B7C"/>
    <w:rsid w:val="00EE7CCA"/>
    <w:rsid w:val="00EF3CF9"/>
    <w:rsid w:val="00EF46C9"/>
    <w:rsid w:val="00EF531C"/>
    <w:rsid w:val="00EF5A7D"/>
    <w:rsid w:val="00EF7CB1"/>
    <w:rsid w:val="00F00F0E"/>
    <w:rsid w:val="00F0508B"/>
    <w:rsid w:val="00F06BD0"/>
    <w:rsid w:val="00F07366"/>
    <w:rsid w:val="00F171D4"/>
    <w:rsid w:val="00F17C31"/>
    <w:rsid w:val="00F207C4"/>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1871"/>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 w:type="character" w:styleId="MenoPendente">
    <w:name w:val="Unresolved Mention"/>
    <w:basedOn w:val="Fontepargpadro"/>
    <w:uiPriority w:val="99"/>
    <w:semiHidden/>
    <w:unhideWhenUsed/>
    <w:rsid w:val="00C4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w3-UVmYQrmM"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51</Pages>
  <Words>120548</Words>
  <Characters>650965</Characters>
  <Application>Microsoft Office Word</Application>
  <DocSecurity>0</DocSecurity>
  <Lines>5424</Lines>
  <Paragraphs>1539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1620</cp:revision>
  <cp:lastPrinted>2020-08-24T22:39:00Z</cp:lastPrinted>
  <dcterms:created xsi:type="dcterms:W3CDTF">2019-08-18T12:05:00Z</dcterms:created>
  <dcterms:modified xsi:type="dcterms:W3CDTF">2020-11-27T14:11:00Z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http://www.zotero.org/styles/ecotoxicology-and-environmental-safety</vt:lpwstr>
  </property>
  <property fmtid="{D5CDD505-2E9C-101B-9397-08002B2CF9AE}" pid="9" name="Mendeley Recent Style Name 3_1">
    <vt:lpwstr>Ecotoxicology and Environmental Safety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http://www.zotero.org/styles/international-journal-of-hygiene-and-environmental-health</vt:lpwstr>
  </property>
  <property fmtid="{D5CDD505-2E9C-101B-9397-08002B2CF9AE}" pid="13" name="Mendeley Recent Style Name 5_1">
    <vt:lpwstr>International Journal of Hygiene and Environmental Health</vt:lpwstr>
  </property>
  <property fmtid="{D5CDD505-2E9C-101B-9397-08002B2CF9AE}" pid="14" name="Mendeley Recent Style Id 6_1">
    <vt:lpwstr>http://www.zotero.org/styles/journal-of-environmental-management</vt:lpwstr>
  </property>
  <property fmtid="{D5CDD505-2E9C-101B-9397-08002B2CF9AE}" pid="15" name="Mendeley Recent Style Name 6_1">
    <vt:lpwstr>Journal of Environmental Management</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