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5C35" w14:textId="77777777" w:rsidR="003C5DCA" w:rsidRDefault="003C5DCA" w:rsidP="003C5DCA">
      <w:pPr>
        <w:jc w:val="center"/>
        <w:rPr>
          <w:sz w:val="52"/>
        </w:rPr>
      </w:pPr>
    </w:p>
    <w:p w14:paraId="32A9129B" w14:textId="77777777" w:rsidR="00233ED4" w:rsidRDefault="00233ED4" w:rsidP="003C5DCA">
      <w:pPr>
        <w:jc w:val="center"/>
        <w:rPr>
          <w:sz w:val="52"/>
        </w:rPr>
      </w:pPr>
    </w:p>
    <w:p w14:paraId="1B3B8460" w14:textId="77777777" w:rsidR="003C5DCA" w:rsidRDefault="003C5DCA" w:rsidP="003C5DCA">
      <w:pPr>
        <w:rPr>
          <w:sz w:val="52"/>
        </w:rPr>
      </w:pPr>
    </w:p>
    <w:p w14:paraId="555215F7" w14:textId="7D5E0A5C" w:rsidR="003C5DCA" w:rsidRDefault="003C5DCA" w:rsidP="003C5DCA">
      <w:pPr>
        <w:jc w:val="center"/>
        <w:rPr>
          <w:sz w:val="52"/>
        </w:rPr>
      </w:pPr>
    </w:p>
    <w:p w14:paraId="1BC054C6" w14:textId="77777777" w:rsidR="007108AD" w:rsidRDefault="007108AD" w:rsidP="003C5DCA">
      <w:pPr>
        <w:jc w:val="center"/>
        <w:rPr>
          <w:sz w:val="52"/>
        </w:rPr>
      </w:pPr>
    </w:p>
    <w:p w14:paraId="49217C52" w14:textId="2643FB74" w:rsidR="00236012" w:rsidRPr="003F31FE" w:rsidRDefault="00233ED4" w:rsidP="003C5DCA">
      <w:pPr>
        <w:jc w:val="center"/>
        <w:rPr>
          <w:b/>
          <w:sz w:val="120"/>
          <w:szCs w:val="120"/>
        </w:rPr>
      </w:pPr>
      <w:proofErr w:type="spellStart"/>
      <w:r w:rsidRPr="003F31FE">
        <w:rPr>
          <w:b/>
          <w:sz w:val="120"/>
          <w:szCs w:val="120"/>
        </w:rPr>
        <w:t>H</w:t>
      </w:r>
      <w:r w:rsidR="00EC49D3" w:rsidRPr="003F31FE">
        <w:rPr>
          <w:b/>
          <w:sz w:val="120"/>
          <w:szCs w:val="120"/>
        </w:rPr>
        <w:t>ERisk</w:t>
      </w:r>
      <w:proofErr w:type="spellEnd"/>
      <w:r w:rsidRPr="003F31FE">
        <w:rPr>
          <w:b/>
          <w:sz w:val="120"/>
          <w:szCs w:val="120"/>
        </w:rPr>
        <w:t xml:space="preserve"> </w:t>
      </w:r>
      <w:proofErr w:type="spellStart"/>
      <w:r w:rsidRPr="003F31FE">
        <w:rPr>
          <w:b/>
          <w:sz w:val="120"/>
          <w:szCs w:val="120"/>
        </w:rPr>
        <w:t>Guide</w:t>
      </w:r>
      <w:proofErr w:type="spellEnd"/>
    </w:p>
    <w:p w14:paraId="58404EC9" w14:textId="08A17DF6" w:rsidR="003C5DCA" w:rsidRDefault="003C5DCA" w:rsidP="003C5DCA">
      <w:pPr>
        <w:jc w:val="center"/>
        <w:rPr>
          <w:sz w:val="52"/>
        </w:rPr>
      </w:pPr>
    </w:p>
    <w:p w14:paraId="3669FAE5" w14:textId="77777777" w:rsidR="00EC49D3" w:rsidRPr="00EC49D3" w:rsidRDefault="00EC49D3" w:rsidP="003C5DCA">
      <w:pPr>
        <w:jc w:val="center"/>
        <w:rPr>
          <w:sz w:val="72"/>
        </w:rPr>
      </w:pPr>
    </w:p>
    <w:p w14:paraId="361B5E5F" w14:textId="77777777" w:rsidR="003C5DCA" w:rsidRPr="00EC49D3" w:rsidRDefault="003C5DCA" w:rsidP="003C5DCA">
      <w:pPr>
        <w:jc w:val="center"/>
        <w:rPr>
          <w:sz w:val="72"/>
        </w:rPr>
      </w:pPr>
    </w:p>
    <w:p w14:paraId="530024D3" w14:textId="77777777" w:rsidR="003C5DCA" w:rsidRPr="00EC49D3" w:rsidRDefault="003C5DCA" w:rsidP="003C5DCA">
      <w:pPr>
        <w:jc w:val="center"/>
        <w:rPr>
          <w:sz w:val="72"/>
        </w:rPr>
      </w:pPr>
    </w:p>
    <w:p w14:paraId="479182FA" w14:textId="77777777" w:rsidR="003C5DCA" w:rsidRPr="00EC49D3" w:rsidRDefault="003C5DCA" w:rsidP="003C5DCA">
      <w:pPr>
        <w:jc w:val="center"/>
        <w:rPr>
          <w:sz w:val="48"/>
        </w:rPr>
      </w:pPr>
      <w:r w:rsidRPr="00EC49D3">
        <w:rPr>
          <w:sz w:val="48"/>
        </w:rPr>
        <w:t xml:space="preserve">Jordan </w:t>
      </w:r>
      <w:proofErr w:type="spellStart"/>
      <w:r w:rsidRPr="00EC49D3">
        <w:rPr>
          <w:sz w:val="48"/>
        </w:rPr>
        <w:t>Brizi</w:t>
      </w:r>
      <w:proofErr w:type="spellEnd"/>
      <w:r w:rsidRPr="00EC49D3">
        <w:rPr>
          <w:sz w:val="48"/>
        </w:rPr>
        <w:t xml:space="preserve"> </w:t>
      </w:r>
      <w:proofErr w:type="spellStart"/>
      <w:r w:rsidRPr="00EC49D3">
        <w:rPr>
          <w:sz w:val="48"/>
        </w:rPr>
        <w:t>Neris</w:t>
      </w:r>
      <w:proofErr w:type="spellEnd"/>
    </w:p>
    <w:p w14:paraId="345A7FDF" w14:textId="77777777" w:rsidR="003C5DCA" w:rsidRPr="00EC49D3" w:rsidRDefault="00657F8F" w:rsidP="003C5DCA">
      <w:pPr>
        <w:jc w:val="center"/>
        <w:rPr>
          <w:sz w:val="48"/>
        </w:rPr>
      </w:pPr>
      <w:proofErr w:type="spellStart"/>
      <w:r w:rsidRPr="00EC49D3">
        <w:rPr>
          <w:sz w:val="48"/>
        </w:rPr>
        <w:t>Diango</w:t>
      </w:r>
      <w:proofErr w:type="spellEnd"/>
      <w:r w:rsidRPr="00EC49D3">
        <w:rPr>
          <w:sz w:val="48"/>
        </w:rPr>
        <w:t xml:space="preserve"> Manuel </w:t>
      </w:r>
      <w:proofErr w:type="spellStart"/>
      <w:r w:rsidRPr="00EC49D3">
        <w:rPr>
          <w:sz w:val="48"/>
        </w:rPr>
        <w:t>Montalván</w:t>
      </w:r>
      <w:proofErr w:type="spellEnd"/>
      <w:r w:rsidRPr="00EC49D3">
        <w:rPr>
          <w:sz w:val="48"/>
        </w:rPr>
        <w:t xml:space="preserve"> Olivares</w:t>
      </w:r>
    </w:p>
    <w:p w14:paraId="0EE859B1" w14:textId="77777777" w:rsidR="003C5DCA" w:rsidRPr="00EC49D3" w:rsidRDefault="003C5DCA" w:rsidP="003C5DCA">
      <w:pPr>
        <w:jc w:val="center"/>
        <w:rPr>
          <w:sz w:val="48"/>
        </w:rPr>
      </w:pPr>
    </w:p>
    <w:p w14:paraId="02C5A050" w14:textId="77777777" w:rsidR="003C5DCA" w:rsidRPr="00EC49D3" w:rsidRDefault="003C5DCA" w:rsidP="003C5DCA">
      <w:pPr>
        <w:jc w:val="center"/>
        <w:rPr>
          <w:sz w:val="48"/>
        </w:rPr>
      </w:pPr>
    </w:p>
    <w:p w14:paraId="5A40A746" w14:textId="77777777" w:rsidR="007108AD" w:rsidRPr="00EC49D3" w:rsidRDefault="007108AD" w:rsidP="003C5DCA">
      <w:pPr>
        <w:jc w:val="center"/>
        <w:rPr>
          <w:sz w:val="48"/>
        </w:rPr>
      </w:pPr>
    </w:p>
    <w:p w14:paraId="13305C8A" w14:textId="77777777" w:rsidR="00233ED4" w:rsidRPr="00EC49D3" w:rsidRDefault="00233ED4" w:rsidP="003C5DCA">
      <w:pPr>
        <w:jc w:val="center"/>
        <w:rPr>
          <w:sz w:val="48"/>
        </w:rPr>
      </w:pPr>
    </w:p>
    <w:p w14:paraId="5D215D21" w14:textId="6BC03AB3" w:rsidR="00956E27" w:rsidRPr="00F95B47" w:rsidRDefault="003C5DCA" w:rsidP="00F95B47">
      <w:pPr>
        <w:jc w:val="center"/>
        <w:rPr>
          <w:sz w:val="48"/>
          <w:lang w:val="en-US"/>
        </w:rPr>
      </w:pPr>
      <w:r w:rsidRPr="00885E56">
        <w:rPr>
          <w:sz w:val="48"/>
          <w:lang w:val="en-US"/>
        </w:rPr>
        <w:t>20</w:t>
      </w:r>
      <w:r w:rsidR="00454F09" w:rsidRPr="00885E56">
        <w:rPr>
          <w:sz w:val="48"/>
          <w:lang w:val="en-US"/>
        </w:rPr>
        <w:t>20</w:t>
      </w:r>
      <w:r w:rsidR="00956E27">
        <w:rPr>
          <w:sz w:val="28"/>
          <w:lang w:val="en-US"/>
        </w:rPr>
        <w:br w:type="page"/>
      </w:r>
    </w:p>
    <w:p w14:paraId="63FEA23D" w14:textId="77777777" w:rsidR="001100E1" w:rsidRDefault="001100E1" w:rsidP="0017539F">
      <w:pPr>
        <w:jc w:val="center"/>
        <w:rPr>
          <w:rFonts w:eastAsia="Times New Roman"/>
          <w:b/>
          <w:kern w:val="36"/>
          <w:sz w:val="52"/>
          <w:szCs w:val="52"/>
          <w:lang w:val="en-US" w:eastAsia="pt-BR"/>
        </w:rPr>
      </w:pPr>
      <w:r>
        <w:rPr>
          <w:rFonts w:eastAsia="Times New Roman"/>
          <w:b/>
          <w:kern w:val="36"/>
          <w:sz w:val="52"/>
          <w:szCs w:val="52"/>
          <w:lang w:val="en-US" w:eastAsia="pt-BR"/>
        </w:rPr>
        <w:lastRenderedPageBreak/>
        <w:t>Summary</w:t>
      </w:r>
    </w:p>
    <w:p w14:paraId="3AA2E38A" w14:textId="77777777" w:rsidR="0038618D" w:rsidRDefault="0038618D" w:rsidP="0049101C">
      <w:pPr>
        <w:spacing w:after="0" w:line="276" w:lineRule="auto"/>
        <w:rPr>
          <w:rFonts w:eastAsia="Times New Roman"/>
          <w:kern w:val="36"/>
          <w:sz w:val="28"/>
          <w:szCs w:val="24"/>
          <w:lang w:val="en-US" w:eastAsia="pt-BR"/>
        </w:rPr>
      </w:pPr>
    </w:p>
    <w:p w14:paraId="15FFF5C2" w14:textId="1C238A5B" w:rsidR="001138FE" w:rsidRPr="001138FE" w:rsidRDefault="00CD43EB" w:rsidP="0049101C">
      <w:pPr>
        <w:spacing w:after="0" w:line="276" w:lineRule="auto"/>
        <w:rPr>
          <w:rFonts w:eastAsia="Times New Roman"/>
          <w:bCs/>
          <w:kern w:val="36"/>
          <w:sz w:val="32"/>
          <w:lang w:val="en-US" w:eastAsia="pt-BR"/>
        </w:rPr>
      </w:pPr>
      <w:r>
        <w:rPr>
          <w:rFonts w:eastAsia="Times New Roman"/>
          <w:b/>
          <w:kern w:val="36"/>
          <w:sz w:val="32"/>
          <w:lang w:val="en-US" w:eastAsia="pt-BR"/>
        </w:rPr>
        <w:t>HUMAN HEALT</w:t>
      </w:r>
      <w:r w:rsidR="00E83B83">
        <w:rPr>
          <w:rFonts w:eastAsia="Times New Roman"/>
          <w:b/>
          <w:kern w:val="36"/>
          <w:sz w:val="32"/>
          <w:lang w:val="en-US" w:eastAsia="pt-BR"/>
        </w:rPr>
        <w:t xml:space="preserve"> </w:t>
      </w:r>
      <w:r w:rsidR="001A2ADF">
        <w:rPr>
          <w:rFonts w:eastAsia="Times New Roman"/>
          <w:b/>
          <w:kern w:val="36"/>
          <w:sz w:val="32"/>
          <w:lang w:val="en-US" w:eastAsia="pt-BR"/>
        </w:rPr>
        <w:t>RISK</w:t>
      </w:r>
      <w:r w:rsidR="001138FE" w:rsidRPr="001138FE">
        <w:rPr>
          <w:rFonts w:eastAsia="Times New Roman"/>
          <w:bCs/>
          <w:kern w:val="36"/>
          <w:sz w:val="28"/>
          <w:szCs w:val="24"/>
          <w:lang w:val="en-US" w:eastAsia="pt-BR"/>
        </w:rPr>
        <w:t>…</w:t>
      </w:r>
      <w:r>
        <w:rPr>
          <w:rFonts w:eastAsia="Times New Roman"/>
          <w:bCs/>
          <w:kern w:val="36"/>
          <w:sz w:val="28"/>
          <w:szCs w:val="24"/>
          <w:lang w:val="en-US" w:eastAsia="pt-BR"/>
        </w:rPr>
        <w:t>………………………………………</w:t>
      </w:r>
      <w:r w:rsidR="001A2ADF">
        <w:rPr>
          <w:rFonts w:eastAsia="Times New Roman"/>
          <w:bCs/>
          <w:kern w:val="36"/>
          <w:sz w:val="28"/>
          <w:szCs w:val="24"/>
          <w:lang w:val="en-US" w:eastAsia="pt-BR"/>
        </w:rPr>
        <w:t>…</w:t>
      </w:r>
      <w:r w:rsidR="00E83B83">
        <w:rPr>
          <w:rFonts w:eastAsia="Times New Roman"/>
          <w:bCs/>
          <w:kern w:val="36"/>
          <w:sz w:val="28"/>
          <w:szCs w:val="24"/>
          <w:lang w:val="en-US" w:eastAsia="pt-BR"/>
        </w:rPr>
        <w:t>…...</w:t>
      </w:r>
      <w:r w:rsidR="001138FE">
        <w:rPr>
          <w:rFonts w:eastAsia="Times New Roman"/>
          <w:bCs/>
          <w:kern w:val="36"/>
          <w:sz w:val="28"/>
          <w:szCs w:val="24"/>
          <w:lang w:val="en-US" w:eastAsia="pt-BR"/>
        </w:rPr>
        <w:t>……………….</w:t>
      </w:r>
      <w:r w:rsidR="00AE7A82">
        <w:rPr>
          <w:rFonts w:eastAsia="Times New Roman"/>
          <w:bCs/>
          <w:kern w:val="36"/>
          <w:sz w:val="28"/>
          <w:szCs w:val="24"/>
          <w:lang w:val="en-US" w:eastAsia="pt-BR"/>
        </w:rPr>
        <w:t>3</w:t>
      </w:r>
    </w:p>
    <w:p w14:paraId="559140F9" w14:textId="3B6DD01C" w:rsidR="00CD43EB" w:rsidRPr="00CD43EB" w:rsidRDefault="00CD43EB" w:rsidP="0049101C">
      <w:pPr>
        <w:spacing w:after="0" w:line="276" w:lineRule="auto"/>
        <w:ind w:firstLine="426"/>
        <w:rPr>
          <w:sz w:val="22"/>
          <w:szCs w:val="22"/>
          <w:lang w:val="en"/>
        </w:rPr>
      </w:pPr>
      <w:r w:rsidRPr="00CD43EB">
        <w:rPr>
          <w:b/>
          <w:sz w:val="22"/>
          <w:szCs w:val="22"/>
          <w:lang w:val="en-US"/>
        </w:rPr>
        <w:t xml:space="preserve">Table 1 </w:t>
      </w:r>
      <w:r w:rsidRPr="00CD43EB">
        <w:rPr>
          <w:sz w:val="22"/>
          <w:szCs w:val="22"/>
          <w:lang w:val="en-US"/>
        </w:rPr>
        <w:t xml:space="preserve">– </w:t>
      </w:r>
      <w:r w:rsidRPr="00CD43EB">
        <w:rPr>
          <w:rStyle w:val="tlid-translation"/>
          <w:sz w:val="22"/>
          <w:szCs w:val="22"/>
          <w:lang w:val="en"/>
        </w:rPr>
        <w:t xml:space="preserve">Equations used by </w:t>
      </w:r>
      <w:proofErr w:type="spellStart"/>
      <w:r w:rsidR="003F31FE">
        <w:rPr>
          <w:rStyle w:val="tlid-translation"/>
          <w:sz w:val="22"/>
          <w:szCs w:val="22"/>
          <w:lang w:val="en"/>
        </w:rPr>
        <w:t>HERisk</w:t>
      </w:r>
      <w:proofErr w:type="spellEnd"/>
      <w:r w:rsidRPr="00CD43EB">
        <w:rPr>
          <w:rStyle w:val="tlid-translation"/>
          <w:sz w:val="22"/>
          <w:szCs w:val="22"/>
          <w:lang w:val="en"/>
        </w:rPr>
        <w:t xml:space="preserve"> for doses or exposure concentration calculations</w:t>
      </w:r>
      <w:r>
        <w:rPr>
          <w:rStyle w:val="tlid-translation"/>
          <w:sz w:val="22"/>
          <w:szCs w:val="22"/>
          <w:lang w:val="en"/>
        </w:rPr>
        <w:t>……………………...…</w:t>
      </w:r>
      <w:r w:rsidR="00AE7A82">
        <w:rPr>
          <w:rStyle w:val="tlid-translation"/>
          <w:sz w:val="28"/>
          <w:lang w:val="en"/>
        </w:rPr>
        <w:t>4</w:t>
      </w:r>
    </w:p>
    <w:p w14:paraId="3803B2D4" w14:textId="357BE904" w:rsidR="00331FC2" w:rsidRDefault="005B55FB" w:rsidP="0049101C">
      <w:pPr>
        <w:spacing w:after="0" w:line="276" w:lineRule="auto"/>
        <w:ind w:firstLine="426"/>
        <w:rPr>
          <w:rFonts w:eastAsia="Times New Roman"/>
          <w:kern w:val="36"/>
          <w:sz w:val="28"/>
          <w:szCs w:val="24"/>
          <w:lang w:val="en-US" w:eastAsia="pt-BR"/>
        </w:rPr>
      </w:pPr>
      <w:r w:rsidRPr="005B55FB">
        <w:rPr>
          <w:b/>
          <w:sz w:val="22"/>
          <w:szCs w:val="22"/>
          <w:lang w:val="en-US"/>
        </w:rPr>
        <w:t xml:space="preserve">Table 2 </w:t>
      </w:r>
      <w:r w:rsidRPr="005B55FB">
        <w:rPr>
          <w:sz w:val="22"/>
          <w:szCs w:val="22"/>
          <w:lang w:val="en-US"/>
        </w:rPr>
        <w:t xml:space="preserve">– </w:t>
      </w:r>
      <w:r w:rsidRPr="005B55FB">
        <w:rPr>
          <w:rStyle w:val="tlid-translation"/>
          <w:sz w:val="22"/>
          <w:szCs w:val="22"/>
          <w:lang w:val="en"/>
        </w:rPr>
        <w:t xml:space="preserve">Equations used by </w:t>
      </w:r>
      <w:proofErr w:type="spellStart"/>
      <w:r w:rsidR="003F31FE">
        <w:rPr>
          <w:rStyle w:val="tlid-translation"/>
          <w:sz w:val="22"/>
          <w:szCs w:val="22"/>
          <w:lang w:val="en"/>
        </w:rPr>
        <w:t>HERisk</w:t>
      </w:r>
      <w:proofErr w:type="spellEnd"/>
      <w:r w:rsidRPr="005B55FB">
        <w:rPr>
          <w:rStyle w:val="tlid-translation"/>
          <w:sz w:val="22"/>
          <w:szCs w:val="22"/>
          <w:lang w:val="en"/>
        </w:rPr>
        <w:t xml:space="preserve"> for </w:t>
      </w:r>
      <w:r w:rsidRPr="005B55FB">
        <w:rPr>
          <w:rStyle w:val="tlid-translation"/>
          <w:color w:val="000000" w:themeColor="text1"/>
          <w:sz w:val="22"/>
          <w:szCs w:val="22"/>
          <w:lang w:val="en-US"/>
        </w:rPr>
        <w:t>modeling the transport of contaminant</w:t>
      </w:r>
      <w:r>
        <w:rPr>
          <w:rStyle w:val="tlid-translation"/>
          <w:color w:val="000000" w:themeColor="text1"/>
          <w:sz w:val="22"/>
          <w:szCs w:val="22"/>
          <w:lang w:val="en-US"/>
        </w:rPr>
        <w:t>s……………………………</w:t>
      </w:r>
      <w:r w:rsidR="00C862D1">
        <w:rPr>
          <w:rStyle w:val="tlid-translation"/>
          <w:color w:val="000000" w:themeColor="text1"/>
          <w:sz w:val="22"/>
          <w:szCs w:val="22"/>
          <w:lang w:val="en-US"/>
        </w:rPr>
        <w:t>...</w:t>
      </w:r>
      <w:r>
        <w:rPr>
          <w:rStyle w:val="tlid-translation"/>
          <w:color w:val="000000" w:themeColor="text1"/>
          <w:sz w:val="22"/>
          <w:szCs w:val="22"/>
          <w:lang w:val="en-US"/>
        </w:rPr>
        <w:t>.</w:t>
      </w:r>
      <w:r w:rsidR="00C862D1">
        <w:rPr>
          <w:rFonts w:eastAsia="Times New Roman"/>
          <w:kern w:val="36"/>
          <w:sz w:val="28"/>
          <w:szCs w:val="24"/>
          <w:lang w:val="en-US" w:eastAsia="pt-BR"/>
        </w:rPr>
        <w:t>6</w:t>
      </w:r>
    </w:p>
    <w:p w14:paraId="3C25A878" w14:textId="3C30FFE1" w:rsidR="005B55FB" w:rsidRDefault="005B55FB" w:rsidP="0049101C">
      <w:pPr>
        <w:spacing w:after="0" w:line="276" w:lineRule="auto"/>
        <w:ind w:left="1418" w:hanging="992"/>
        <w:rPr>
          <w:sz w:val="28"/>
          <w:lang w:val="en-US"/>
        </w:rPr>
      </w:pPr>
      <w:r w:rsidRPr="005B55FB">
        <w:rPr>
          <w:b/>
          <w:sz w:val="22"/>
          <w:szCs w:val="22"/>
          <w:lang w:val="en-US"/>
        </w:rPr>
        <w:t xml:space="preserve">Table 3 </w:t>
      </w:r>
      <w:r w:rsidRPr="005B55FB">
        <w:rPr>
          <w:sz w:val="22"/>
          <w:szCs w:val="22"/>
          <w:lang w:val="en-US"/>
        </w:rPr>
        <w:t xml:space="preserve">– </w:t>
      </w:r>
      <w:r w:rsidRPr="005B55FB">
        <w:rPr>
          <w:rStyle w:val="tlid-translation"/>
          <w:sz w:val="22"/>
          <w:szCs w:val="22"/>
          <w:lang w:val="en"/>
        </w:rPr>
        <w:t xml:space="preserve">Equations used by </w:t>
      </w:r>
      <w:proofErr w:type="spellStart"/>
      <w:r w:rsidR="003F31FE">
        <w:rPr>
          <w:rStyle w:val="tlid-translation"/>
          <w:sz w:val="22"/>
          <w:szCs w:val="22"/>
          <w:lang w:val="en"/>
        </w:rPr>
        <w:t>HERisk</w:t>
      </w:r>
      <w:proofErr w:type="spellEnd"/>
      <w:r w:rsidRPr="005B55FB">
        <w:rPr>
          <w:rStyle w:val="tlid-translation"/>
          <w:sz w:val="22"/>
          <w:szCs w:val="22"/>
          <w:lang w:val="en"/>
        </w:rPr>
        <w:t xml:space="preserve"> for the calculation of </w:t>
      </w:r>
      <w:r w:rsidRPr="005B55FB">
        <w:rPr>
          <w:sz w:val="22"/>
          <w:szCs w:val="22"/>
          <w:lang w:val="en-US"/>
        </w:rPr>
        <w:t>non-carcinogenic hazard quotient and potential carcinogenic risk</w:t>
      </w:r>
      <w:r>
        <w:rPr>
          <w:sz w:val="22"/>
          <w:szCs w:val="22"/>
          <w:lang w:val="en-US"/>
        </w:rPr>
        <w:t>…………………………………………………………………………………...</w:t>
      </w:r>
      <w:r w:rsidR="00146D18">
        <w:rPr>
          <w:sz w:val="22"/>
          <w:szCs w:val="22"/>
          <w:lang w:val="en-US"/>
        </w:rPr>
        <w:t>...</w:t>
      </w:r>
      <w:r>
        <w:rPr>
          <w:sz w:val="22"/>
          <w:szCs w:val="22"/>
          <w:lang w:val="en-US"/>
        </w:rPr>
        <w:t>…</w:t>
      </w:r>
      <w:r w:rsidR="00146D18">
        <w:rPr>
          <w:sz w:val="28"/>
          <w:lang w:val="en-US"/>
        </w:rPr>
        <w:t>9</w:t>
      </w:r>
    </w:p>
    <w:p w14:paraId="32DBE738" w14:textId="12B6B5CE" w:rsidR="005B55FB" w:rsidRDefault="005B55FB" w:rsidP="0049101C">
      <w:pPr>
        <w:spacing w:after="0" w:line="276" w:lineRule="auto"/>
        <w:ind w:firstLine="426"/>
        <w:rPr>
          <w:sz w:val="28"/>
          <w:lang w:val="en-US"/>
        </w:rPr>
      </w:pPr>
      <w:r w:rsidRPr="005B55FB">
        <w:rPr>
          <w:b/>
          <w:sz w:val="22"/>
          <w:szCs w:val="22"/>
          <w:lang w:val="en-US"/>
        </w:rPr>
        <w:t xml:space="preserve">Table 4 </w:t>
      </w:r>
      <w:r w:rsidRPr="005B55FB">
        <w:rPr>
          <w:sz w:val="22"/>
          <w:szCs w:val="22"/>
          <w:lang w:val="en-US"/>
        </w:rPr>
        <w:t xml:space="preserve">– </w:t>
      </w:r>
      <w:r w:rsidRPr="005B55FB">
        <w:rPr>
          <w:rStyle w:val="tlid-translation"/>
          <w:sz w:val="22"/>
          <w:szCs w:val="22"/>
          <w:lang w:val="en"/>
        </w:rPr>
        <w:t xml:space="preserve">Equations used by </w:t>
      </w:r>
      <w:proofErr w:type="spellStart"/>
      <w:r w:rsidR="003F31FE">
        <w:rPr>
          <w:rStyle w:val="tlid-translation"/>
          <w:sz w:val="22"/>
          <w:szCs w:val="22"/>
          <w:lang w:val="en"/>
        </w:rPr>
        <w:t>HERisk</w:t>
      </w:r>
      <w:proofErr w:type="spellEnd"/>
      <w:r w:rsidRPr="005B55FB">
        <w:rPr>
          <w:rStyle w:val="tlid-translation"/>
          <w:sz w:val="22"/>
          <w:szCs w:val="22"/>
          <w:lang w:val="en"/>
        </w:rPr>
        <w:t xml:space="preserve"> for the calculation of </w:t>
      </w:r>
      <w:r w:rsidRPr="005B55FB">
        <w:rPr>
          <w:sz w:val="22"/>
          <w:szCs w:val="22"/>
          <w:lang w:val="en-US"/>
        </w:rPr>
        <w:t>risk indices and potential carcinogenic risks</w:t>
      </w:r>
      <w:r>
        <w:rPr>
          <w:sz w:val="22"/>
          <w:szCs w:val="22"/>
          <w:lang w:val="en-US"/>
        </w:rPr>
        <w:t>…….</w:t>
      </w:r>
      <w:r>
        <w:rPr>
          <w:sz w:val="28"/>
          <w:lang w:val="en-US"/>
        </w:rPr>
        <w:t>1</w:t>
      </w:r>
      <w:r w:rsidR="00146D18">
        <w:rPr>
          <w:sz w:val="28"/>
          <w:lang w:val="en-US"/>
        </w:rPr>
        <w:t>2</w:t>
      </w:r>
    </w:p>
    <w:p w14:paraId="740E20BC" w14:textId="300F545C" w:rsidR="005B55FB" w:rsidRPr="005B55FB" w:rsidRDefault="005B55FB" w:rsidP="0049101C">
      <w:pPr>
        <w:spacing w:after="0" w:line="276" w:lineRule="auto"/>
        <w:ind w:firstLine="426"/>
        <w:rPr>
          <w:sz w:val="28"/>
          <w:lang w:val="en"/>
        </w:rPr>
      </w:pPr>
      <w:r w:rsidRPr="005B55FB">
        <w:rPr>
          <w:b/>
          <w:sz w:val="22"/>
          <w:szCs w:val="22"/>
          <w:lang w:val="en-US"/>
        </w:rPr>
        <w:t xml:space="preserve">Table 5 </w:t>
      </w:r>
      <w:r w:rsidRPr="005B55FB">
        <w:rPr>
          <w:sz w:val="22"/>
          <w:szCs w:val="22"/>
          <w:lang w:val="en-US"/>
        </w:rPr>
        <w:t xml:space="preserve">– </w:t>
      </w:r>
      <w:r w:rsidRPr="005B55FB">
        <w:rPr>
          <w:rStyle w:val="tlid-translation"/>
          <w:sz w:val="22"/>
          <w:szCs w:val="22"/>
          <w:lang w:val="en"/>
        </w:rPr>
        <w:t>Human health risk characterizations</w:t>
      </w:r>
      <w:r>
        <w:rPr>
          <w:rStyle w:val="tlid-translation"/>
          <w:sz w:val="22"/>
          <w:szCs w:val="22"/>
          <w:lang w:val="en"/>
        </w:rPr>
        <w:t>………………………………………………………………...…</w:t>
      </w:r>
      <w:r>
        <w:rPr>
          <w:rStyle w:val="tlid-translation"/>
          <w:sz w:val="28"/>
          <w:lang w:val="en"/>
        </w:rPr>
        <w:t>1</w:t>
      </w:r>
      <w:r w:rsidR="00146D18">
        <w:rPr>
          <w:rStyle w:val="tlid-translation"/>
          <w:sz w:val="28"/>
          <w:lang w:val="en"/>
        </w:rPr>
        <w:t>3</w:t>
      </w:r>
    </w:p>
    <w:p w14:paraId="00F03587" w14:textId="1CD896FE" w:rsidR="00000059" w:rsidRDefault="00000059" w:rsidP="0049101C">
      <w:pPr>
        <w:spacing w:after="0" w:line="276" w:lineRule="auto"/>
        <w:ind w:firstLine="426"/>
        <w:rPr>
          <w:rFonts w:eastAsia="Times New Roman"/>
          <w:kern w:val="36"/>
          <w:sz w:val="28"/>
          <w:szCs w:val="24"/>
          <w:lang w:val="en-US" w:eastAsia="pt-BR"/>
        </w:rPr>
      </w:pPr>
      <w:r w:rsidRPr="00650DBD">
        <w:rPr>
          <w:rStyle w:val="tlid-translation"/>
          <w:b/>
          <w:sz w:val="22"/>
          <w:szCs w:val="22"/>
          <w:lang w:val="en"/>
        </w:rPr>
        <w:t>Uncertainties</w:t>
      </w:r>
      <w:r w:rsidR="007D6212" w:rsidRPr="00650DBD">
        <w:rPr>
          <w:rFonts w:eastAsia="Times New Roman"/>
          <w:kern w:val="36"/>
          <w:sz w:val="22"/>
          <w:szCs w:val="20"/>
          <w:lang w:val="en-US" w:eastAsia="pt-BR"/>
        </w:rPr>
        <w:t>……</w:t>
      </w:r>
      <w:proofErr w:type="gramStart"/>
      <w:r w:rsidR="007D6212" w:rsidRPr="00650DBD">
        <w:rPr>
          <w:rFonts w:eastAsia="Times New Roman"/>
          <w:kern w:val="36"/>
          <w:sz w:val="22"/>
          <w:szCs w:val="20"/>
          <w:lang w:val="en-US" w:eastAsia="pt-BR"/>
        </w:rPr>
        <w:t>…</w:t>
      </w:r>
      <w:r w:rsidR="001138FE" w:rsidRPr="00650DBD">
        <w:rPr>
          <w:rFonts w:eastAsia="Times New Roman"/>
          <w:kern w:val="36"/>
          <w:sz w:val="22"/>
          <w:szCs w:val="20"/>
          <w:lang w:val="en-US" w:eastAsia="pt-BR"/>
        </w:rPr>
        <w:t>..</w:t>
      </w:r>
      <w:proofErr w:type="gramEnd"/>
      <w:r w:rsidR="007D6212" w:rsidRPr="00650DBD">
        <w:rPr>
          <w:rFonts w:eastAsia="Times New Roman"/>
          <w:kern w:val="36"/>
          <w:sz w:val="22"/>
          <w:szCs w:val="20"/>
          <w:lang w:val="en-US" w:eastAsia="pt-BR"/>
        </w:rPr>
        <w:t>………………………………………………</w:t>
      </w:r>
      <w:r w:rsid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7D6212">
        <w:rPr>
          <w:rFonts w:eastAsia="Times New Roman"/>
          <w:kern w:val="36"/>
          <w:sz w:val="28"/>
          <w:szCs w:val="24"/>
          <w:lang w:val="en-US" w:eastAsia="pt-BR"/>
        </w:rPr>
        <w:t>1</w:t>
      </w:r>
      <w:r w:rsidR="00146D18">
        <w:rPr>
          <w:rFonts w:eastAsia="Times New Roman"/>
          <w:kern w:val="36"/>
          <w:sz w:val="28"/>
          <w:szCs w:val="24"/>
          <w:lang w:val="en-US" w:eastAsia="pt-BR"/>
        </w:rPr>
        <w:t>4</w:t>
      </w:r>
    </w:p>
    <w:p w14:paraId="15D3212B" w14:textId="012F1CB0" w:rsidR="00650DBD" w:rsidRDefault="00650DBD" w:rsidP="0049101C">
      <w:pPr>
        <w:spacing w:after="0" w:line="276" w:lineRule="auto"/>
        <w:ind w:firstLine="426"/>
        <w:rPr>
          <w:sz w:val="28"/>
          <w:lang w:val="en-US"/>
        </w:rPr>
      </w:pPr>
      <w:r w:rsidRPr="00650DBD">
        <w:rPr>
          <w:b/>
          <w:bCs/>
          <w:sz w:val="22"/>
          <w:szCs w:val="22"/>
          <w:lang w:val="en-US"/>
        </w:rPr>
        <w:t>Table 6</w:t>
      </w:r>
      <w:r w:rsidRPr="00650DBD">
        <w:rPr>
          <w:sz w:val="22"/>
          <w:szCs w:val="22"/>
          <w:lang w:val="en-US"/>
        </w:rPr>
        <w:t xml:space="preserve"> – Some parameters used in the calculations of doses</w:t>
      </w:r>
      <w:r>
        <w:rPr>
          <w:sz w:val="22"/>
          <w:szCs w:val="22"/>
          <w:lang w:val="en-US"/>
        </w:rPr>
        <w:t>……………………………………………………</w:t>
      </w:r>
      <w:r>
        <w:rPr>
          <w:sz w:val="28"/>
          <w:lang w:val="en-US"/>
        </w:rPr>
        <w:t>1</w:t>
      </w:r>
      <w:r w:rsidR="00146D18">
        <w:rPr>
          <w:sz w:val="28"/>
          <w:lang w:val="en-US"/>
        </w:rPr>
        <w:t>5</w:t>
      </w:r>
    </w:p>
    <w:p w14:paraId="75A68BA9" w14:textId="3111A24E" w:rsidR="00650DBD" w:rsidRPr="00650DBD" w:rsidRDefault="00650DBD" w:rsidP="0049101C">
      <w:pPr>
        <w:widowControl w:val="0"/>
        <w:autoSpaceDE w:val="0"/>
        <w:autoSpaceDN w:val="0"/>
        <w:adjustRightInd w:val="0"/>
        <w:spacing w:after="0" w:line="276" w:lineRule="auto"/>
        <w:ind w:left="1418" w:hanging="992"/>
        <w:rPr>
          <w:noProof/>
          <w:sz w:val="20"/>
          <w:szCs w:val="20"/>
          <w:lang w:val="en-US"/>
        </w:rPr>
      </w:pPr>
      <w:r w:rsidRPr="00650DBD">
        <w:rPr>
          <w:b/>
          <w:bCs/>
          <w:sz w:val="22"/>
          <w:szCs w:val="22"/>
          <w:lang w:val="en-US"/>
        </w:rPr>
        <w:t>Table 7</w:t>
      </w:r>
      <w:r w:rsidRPr="00650DBD">
        <w:rPr>
          <w:sz w:val="22"/>
          <w:szCs w:val="22"/>
          <w:lang w:val="en-US"/>
        </w:rPr>
        <w:t xml:space="preserve"> – Some </w:t>
      </w:r>
      <w:r w:rsidRPr="00650DBD">
        <w:rPr>
          <w:color w:val="000000"/>
          <w:sz w:val="22"/>
          <w:szCs w:val="22"/>
          <w:lang w:val="en-US"/>
        </w:rPr>
        <w:t xml:space="preserve">recommended values of </w:t>
      </w:r>
      <w:r w:rsidRPr="00650DBD">
        <w:rPr>
          <w:rStyle w:val="tlid-translation"/>
          <w:sz w:val="22"/>
          <w:szCs w:val="24"/>
          <w:lang w:val="en"/>
        </w:rPr>
        <w:t>dermal absorption fraction</w:t>
      </w:r>
      <w:r w:rsidRPr="00650DBD">
        <w:rPr>
          <w:sz w:val="22"/>
          <w:szCs w:val="22"/>
          <w:lang w:val="en-US"/>
        </w:rPr>
        <w:t xml:space="preserve"> (</w:t>
      </w:r>
      <w:r w:rsidRPr="00650DBD">
        <w:rPr>
          <w:i/>
          <w:iCs/>
          <w:sz w:val="22"/>
          <w:szCs w:val="22"/>
          <w:lang w:val="en-US"/>
        </w:rPr>
        <w:t>ABS</w:t>
      </w:r>
      <w:r w:rsidRPr="00650DBD">
        <w:rPr>
          <w:sz w:val="22"/>
          <w:szCs w:val="22"/>
          <w:lang w:val="en-US"/>
        </w:rPr>
        <w:t>)</w:t>
      </w:r>
      <w:r w:rsidRPr="00650DBD">
        <w:rPr>
          <w:i/>
          <w:iCs/>
          <w:sz w:val="22"/>
          <w:szCs w:val="22"/>
          <w:lang w:val="en-US"/>
        </w:rPr>
        <w:t xml:space="preserve"> </w:t>
      </w:r>
      <w:r w:rsidRPr="00650DBD">
        <w:rPr>
          <w:sz w:val="22"/>
          <w:szCs w:val="22"/>
          <w:lang w:val="en-US"/>
        </w:rPr>
        <w:t>from soil used for dose calculations</w:t>
      </w:r>
      <w:r>
        <w:rPr>
          <w:sz w:val="22"/>
          <w:szCs w:val="22"/>
          <w:lang w:val="en-US"/>
        </w:rPr>
        <w:t>………………………………………………………………………………………….</w:t>
      </w:r>
      <w:r w:rsidR="00146D18">
        <w:rPr>
          <w:sz w:val="22"/>
          <w:szCs w:val="22"/>
          <w:lang w:val="en-US"/>
        </w:rPr>
        <w:t>.</w:t>
      </w:r>
      <w:r>
        <w:rPr>
          <w:sz w:val="22"/>
          <w:szCs w:val="22"/>
          <w:lang w:val="en-US"/>
        </w:rPr>
        <w:t>..</w:t>
      </w:r>
      <w:r w:rsidRPr="00650DBD">
        <w:rPr>
          <w:sz w:val="28"/>
          <w:lang w:val="en-US"/>
        </w:rPr>
        <w:t>1</w:t>
      </w:r>
      <w:r w:rsidR="00146D18">
        <w:rPr>
          <w:sz w:val="28"/>
          <w:lang w:val="en-US"/>
        </w:rPr>
        <w:t>7</w:t>
      </w:r>
    </w:p>
    <w:p w14:paraId="26048467" w14:textId="7CD59317" w:rsidR="00650DBD" w:rsidRDefault="00650DBD" w:rsidP="0049101C">
      <w:pPr>
        <w:widowControl w:val="0"/>
        <w:autoSpaceDE w:val="0"/>
        <w:autoSpaceDN w:val="0"/>
        <w:adjustRightInd w:val="0"/>
        <w:spacing w:after="0" w:line="276" w:lineRule="auto"/>
        <w:ind w:left="993" w:hanging="567"/>
        <w:rPr>
          <w:sz w:val="28"/>
          <w:lang w:val="en-US"/>
        </w:rPr>
      </w:pPr>
      <w:r w:rsidRPr="00650DBD">
        <w:rPr>
          <w:b/>
          <w:bCs/>
          <w:sz w:val="22"/>
          <w:szCs w:val="22"/>
          <w:lang w:val="en-US"/>
        </w:rPr>
        <w:t>Table 8</w:t>
      </w:r>
      <w:r w:rsidRPr="00650DBD">
        <w:rPr>
          <w:sz w:val="22"/>
          <w:szCs w:val="22"/>
          <w:lang w:val="en-US"/>
        </w:rPr>
        <w:t xml:space="preserve"> – Some </w:t>
      </w:r>
      <w:r w:rsidRPr="00650DBD">
        <w:rPr>
          <w:rStyle w:val="tlid-translation"/>
          <w:sz w:val="22"/>
          <w:szCs w:val="24"/>
          <w:lang w:val="en"/>
        </w:rPr>
        <w:t>permeability coefficients</w:t>
      </w:r>
      <w:r w:rsidRPr="00650DBD">
        <w:rPr>
          <w:sz w:val="22"/>
          <w:szCs w:val="22"/>
          <w:lang w:val="en-US"/>
        </w:rPr>
        <w:t xml:space="preserve"> (</w:t>
      </w:r>
      <w:r w:rsidRPr="00650DBD">
        <w:rPr>
          <w:i/>
          <w:iCs/>
          <w:sz w:val="22"/>
          <w:szCs w:val="22"/>
          <w:lang w:val="en-US"/>
        </w:rPr>
        <w:t>PC</w:t>
      </w:r>
      <w:r w:rsidRPr="00650DBD">
        <w:rPr>
          <w:sz w:val="22"/>
          <w:szCs w:val="22"/>
          <w:lang w:val="en-US"/>
        </w:rPr>
        <w:t xml:space="preserve">) </w:t>
      </w:r>
      <w:r w:rsidRPr="00650DBD">
        <w:rPr>
          <w:color w:val="000000"/>
          <w:sz w:val="22"/>
          <w:szCs w:val="22"/>
          <w:lang w:val="en-US"/>
        </w:rPr>
        <w:t>values</w:t>
      </w:r>
      <w:r w:rsidRPr="00650DBD">
        <w:rPr>
          <w:sz w:val="22"/>
          <w:szCs w:val="22"/>
          <w:lang w:val="en-US"/>
        </w:rPr>
        <w:t xml:space="preserve"> used for dose calculations</w:t>
      </w:r>
      <w:r>
        <w:rPr>
          <w:sz w:val="22"/>
          <w:szCs w:val="22"/>
          <w:lang w:val="en-US"/>
        </w:rPr>
        <w:t>………………………………</w:t>
      </w:r>
      <w:r>
        <w:rPr>
          <w:sz w:val="28"/>
          <w:lang w:val="en-US"/>
        </w:rPr>
        <w:t>1</w:t>
      </w:r>
      <w:r w:rsidR="00146D18">
        <w:rPr>
          <w:sz w:val="28"/>
          <w:lang w:val="en-US"/>
        </w:rPr>
        <w:t>9</w:t>
      </w:r>
    </w:p>
    <w:p w14:paraId="1FAC6827" w14:textId="155B069D" w:rsidR="00F45FF1" w:rsidRPr="00F45FF1" w:rsidRDefault="00F45FF1" w:rsidP="0049101C">
      <w:pPr>
        <w:spacing w:after="0" w:line="276" w:lineRule="auto"/>
        <w:ind w:firstLine="426"/>
        <w:rPr>
          <w:b/>
          <w:sz w:val="28"/>
          <w:lang w:val="en-US"/>
        </w:rPr>
      </w:pPr>
      <w:r w:rsidRPr="00F45FF1">
        <w:rPr>
          <w:b/>
          <w:bCs/>
          <w:sz w:val="22"/>
          <w:szCs w:val="22"/>
          <w:lang w:val="en-US"/>
        </w:rPr>
        <w:t>Table 9</w:t>
      </w:r>
      <w:r w:rsidRPr="00F45FF1">
        <w:rPr>
          <w:sz w:val="22"/>
          <w:szCs w:val="22"/>
          <w:lang w:val="en-US"/>
        </w:rPr>
        <w:t xml:space="preserve"> – Some </w:t>
      </w:r>
      <w:r w:rsidRPr="00F45FF1">
        <w:rPr>
          <w:i/>
          <w:iCs/>
          <w:sz w:val="22"/>
          <w:szCs w:val="22"/>
          <w:lang w:val="en-US"/>
        </w:rPr>
        <w:t>BTF</w:t>
      </w:r>
      <w:r w:rsidRPr="00F45FF1">
        <w:rPr>
          <w:sz w:val="22"/>
          <w:szCs w:val="22"/>
          <w:lang w:val="en-US"/>
        </w:rPr>
        <w:t xml:space="preserve"> 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proofErr w:type="gramStart"/>
      <w:r>
        <w:rPr>
          <w:rStyle w:val="tlid-translation"/>
          <w:color w:val="000000" w:themeColor="text1"/>
          <w:sz w:val="22"/>
          <w:szCs w:val="22"/>
          <w:lang w:val="en-US"/>
        </w:rPr>
        <w:t>…..</w:t>
      </w:r>
      <w:proofErr w:type="gramEnd"/>
      <w:r w:rsidR="00146D18">
        <w:rPr>
          <w:rStyle w:val="tlid-translation"/>
          <w:color w:val="000000" w:themeColor="text1"/>
          <w:sz w:val="28"/>
          <w:lang w:val="en-US"/>
        </w:rPr>
        <w:t>20</w:t>
      </w:r>
    </w:p>
    <w:p w14:paraId="4DF03643" w14:textId="4FD54B86" w:rsidR="00F45FF1" w:rsidRPr="00F45FF1" w:rsidRDefault="00F45FF1" w:rsidP="0049101C">
      <w:pPr>
        <w:spacing w:after="0" w:line="276" w:lineRule="auto"/>
        <w:ind w:firstLine="426"/>
        <w:rPr>
          <w:b/>
          <w:szCs w:val="22"/>
          <w:lang w:val="en-US"/>
        </w:rPr>
      </w:pPr>
      <w:r w:rsidRPr="00F45FF1">
        <w:rPr>
          <w:b/>
          <w:bCs/>
          <w:sz w:val="22"/>
          <w:szCs w:val="22"/>
          <w:lang w:val="en-US"/>
        </w:rPr>
        <w:t>Table 10</w:t>
      </w:r>
      <w:r w:rsidRPr="00F45FF1">
        <w:rPr>
          <w:sz w:val="22"/>
          <w:szCs w:val="22"/>
          <w:lang w:val="en-US"/>
        </w:rPr>
        <w:t xml:space="preserve"> – Some parameters</w:t>
      </w:r>
      <w:r w:rsidRPr="00F45FF1">
        <w:rPr>
          <w:i/>
          <w:iCs/>
          <w:sz w:val="22"/>
          <w:szCs w:val="22"/>
          <w:lang w:val="en-US"/>
        </w:rPr>
        <w:t xml:space="preserve"> </w:t>
      </w:r>
      <w:r w:rsidRPr="00F45FF1">
        <w:rPr>
          <w:sz w:val="22"/>
          <w:szCs w:val="22"/>
          <w:lang w:val="en-US"/>
        </w:rPr>
        <w:t xml:space="preserve">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w:t>
      </w:r>
      <w:r w:rsidR="00332C3C">
        <w:rPr>
          <w:rStyle w:val="tlid-translation"/>
          <w:color w:val="000000" w:themeColor="text1"/>
          <w:sz w:val="28"/>
          <w:lang w:val="en-US"/>
        </w:rPr>
        <w:t>2</w:t>
      </w:r>
    </w:p>
    <w:p w14:paraId="31AB9CD5" w14:textId="78B1B169" w:rsidR="00F45FF1" w:rsidRDefault="00F45FF1" w:rsidP="0049101C">
      <w:pPr>
        <w:spacing w:after="0" w:line="276" w:lineRule="auto"/>
        <w:ind w:firstLine="426"/>
        <w:rPr>
          <w:sz w:val="28"/>
          <w:lang w:val="en-US"/>
        </w:rPr>
      </w:pPr>
      <w:r w:rsidRPr="00F45FF1">
        <w:rPr>
          <w:b/>
          <w:bCs/>
          <w:sz w:val="22"/>
          <w:szCs w:val="22"/>
          <w:lang w:val="en-US"/>
        </w:rPr>
        <w:t>Table 11</w:t>
      </w:r>
      <w:r w:rsidRPr="00F45FF1">
        <w:rPr>
          <w:sz w:val="22"/>
          <w:szCs w:val="22"/>
          <w:lang w:val="en-US"/>
        </w:rPr>
        <w:t xml:space="preserve"> – Some reference</w:t>
      </w:r>
      <w:r w:rsidRPr="00F45FF1">
        <w:rPr>
          <w:i/>
          <w:iCs/>
          <w:sz w:val="22"/>
          <w:szCs w:val="22"/>
          <w:lang w:val="en-US"/>
        </w:rPr>
        <w:t xml:space="preserve"> </w:t>
      </w:r>
      <w:r w:rsidRPr="00F45FF1">
        <w:rPr>
          <w:sz w:val="22"/>
          <w:szCs w:val="22"/>
          <w:lang w:val="en-US"/>
        </w:rPr>
        <w:t>values used in the risk calculations</w:t>
      </w:r>
      <w:r>
        <w:rPr>
          <w:sz w:val="22"/>
          <w:szCs w:val="22"/>
          <w:lang w:val="en-US"/>
        </w:rPr>
        <w:t>………………………………………………….</w:t>
      </w:r>
      <w:r>
        <w:rPr>
          <w:sz w:val="28"/>
          <w:lang w:val="en-US"/>
        </w:rPr>
        <w:t>2</w:t>
      </w:r>
      <w:r w:rsidR="00332C3C">
        <w:rPr>
          <w:sz w:val="28"/>
          <w:lang w:val="en-US"/>
        </w:rPr>
        <w:t>3</w:t>
      </w:r>
    </w:p>
    <w:p w14:paraId="0DD195F0" w14:textId="3B4FE552" w:rsidR="00A70FDB" w:rsidRPr="00A70FDB" w:rsidRDefault="00A70FDB" w:rsidP="0049101C">
      <w:pPr>
        <w:widowControl w:val="0"/>
        <w:autoSpaceDE w:val="0"/>
        <w:autoSpaceDN w:val="0"/>
        <w:adjustRightInd w:val="0"/>
        <w:spacing w:after="0" w:line="276" w:lineRule="auto"/>
        <w:ind w:left="1418" w:hanging="992"/>
        <w:rPr>
          <w:noProof/>
          <w:sz w:val="28"/>
          <w:lang w:val="en-US"/>
        </w:rPr>
      </w:pPr>
      <w:r w:rsidRPr="00A70FDB">
        <w:rPr>
          <w:b/>
          <w:bCs/>
          <w:sz w:val="22"/>
          <w:szCs w:val="22"/>
          <w:lang w:val="en-US"/>
        </w:rPr>
        <w:t>Table 12</w:t>
      </w:r>
      <w:r w:rsidRPr="00A70FDB">
        <w:rPr>
          <w:sz w:val="22"/>
          <w:szCs w:val="22"/>
          <w:lang w:val="en-US"/>
        </w:rPr>
        <w:t xml:space="preserve"> – Some </w:t>
      </w:r>
      <w:r w:rsidRPr="00A70FDB">
        <w:rPr>
          <w:color w:val="000000"/>
          <w:sz w:val="22"/>
          <w:szCs w:val="22"/>
          <w:lang w:val="en-US"/>
        </w:rPr>
        <w:t xml:space="preserve">recommended </w:t>
      </w:r>
      <w:r w:rsidRPr="00A70FDB">
        <w:rPr>
          <w:rStyle w:val="tlid-translation"/>
          <w:sz w:val="22"/>
          <w:szCs w:val="24"/>
          <w:lang w:val="en"/>
        </w:rPr>
        <w:t>Gastrointestinal</w:t>
      </w:r>
      <w:r w:rsidRPr="00A70FDB">
        <w:rPr>
          <w:color w:val="000000"/>
          <w:sz w:val="22"/>
          <w:szCs w:val="22"/>
          <w:lang w:val="en-US"/>
        </w:rPr>
        <w:t xml:space="preserve"> Absorption Fraction</w:t>
      </w:r>
      <w:r w:rsidRPr="00A70FDB">
        <w:rPr>
          <w:sz w:val="22"/>
          <w:szCs w:val="22"/>
          <w:lang w:val="en-US"/>
        </w:rPr>
        <w:t xml:space="preserve"> (</w:t>
      </w:r>
      <w:r w:rsidRPr="00A70FDB">
        <w:rPr>
          <w:i/>
          <w:iCs/>
          <w:sz w:val="22"/>
          <w:szCs w:val="22"/>
          <w:lang w:val="en-US"/>
        </w:rPr>
        <w:t>ABS</w:t>
      </w:r>
      <w:r w:rsidRPr="00A70FDB">
        <w:rPr>
          <w:i/>
          <w:iCs/>
          <w:sz w:val="22"/>
          <w:szCs w:val="22"/>
          <w:vertAlign w:val="subscript"/>
          <w:lang w:val="en-US"/>
        </w:rPr>
        <w:t>GI</w:t>
      </w:r>
      <w:r w:rsidRPr="00A70FDB">
        <w:rPr>
          <w:sz w:val="22"/>
          <w:szCs w:val="22"/>
          <w:lang w:val="en-US"/>
        </w:rPr>
        <w:t>)</w:t>
      </w:r>
      <w:r w:rsidRPr="00A70FDB">
        <w:rPr>
          <w:i/>
          <w:iCs/>
          <w:sz w:val="22"/>
          <w:szCs w:val="22"/>
          <w:lang w:val="en-US"/>
        </w:rPr>
        <w:t xml:space="preserve"> </w:t>
      </w:r>
      <w:r w:rsidRPr="00A70FDB">
        <w:rPr>
          <w:sz w:val="22"/>
          <w:szCs w:val="22"/>
          <w:lang w:val="en-US"/>
        </w:rPr>
        <w:t>values used for the dermal reference values</w:t>
      </w:r>
      <w:r>
        <w:rPr>
          <w:sz w:val="22"/>
          <w:szCs w:val="22"/>
          <w:lang w:val="en-US"/>
        </w:rPr>
        <w:t>……………………………………………………………………………………….</w:t>
      </w:r>
      <w:r>
        <w:rPr>
          <w:sz w:val="28"/>
          <w:lang w:val="en-US"/>
        </w:rPr>
        <w:t>2</w:t>
      </w:r>
      <w:r w:rsidR="00332C3C">
        <w:rPr>
          <w:sz w:val="28"/>
          <w:lang w:val="en-US"/>
        </w:rPr>
        <w:t>7</w:t>
      </w:r>
    </w:p>
    <w:p w14:paraId="5416FA6B" w14:textId="15AF2866" w:rsidR="00A70FDB" w:rsidRPr="00A70FDB" w:rsidRDefault="00A70FDB" w:rsidP="0049101C">
      <w:pPr>
        <w:spacing w:after="0" w:line="276" w:lineRule="auto"/>
        <w:ind w:firstLine="426"/>
        <w:rPr>
          <w:b/>
          <w:szCs w:val="22"/>
          <w:lang w:val="en-US"/>
        </w:rPr>
      </w:pPr>
      <w:r w:rsidRPr="00A70FDB">
        <w:rPr>
          <w:b/>
          <w:bCs/>
          <w:sz w:val="22"/>
          <w:szCs w:val="22"/>
          <w:lang w:val="en-US"/>
        </w:rPr>
        <w:t>Table 13</w:t>
      </w:r>
      <w:r w:rsidRPr="00A70FDB">
        <w:rPr>
          <w:sz w:val="22"/>
          <w:szCs w:val="22"/>
          <w:lang w:val="en-US"/>
        </w:rPr>
        <w:t xml:space="preserve"> – Some </w:t>
      </w:r>
      <w:r w:rsidRPr="00A70FDB">
        <w:rPr>
          <w:i/>
          <w:iCs/>
          <w:sz w:val="22"/>
          <w:szCs w:val="22"/>
          <w:lang w:val="en-US"/>
        </w:rPr>
        <w:t xml:space="preserve">BAF </w:t>
      </w:r>
      <w:r w:rsidRPr="00A70FDB">
        <w:rPr>
          <w:sz w:val="22"/>
          <w:szCs w:val="22"/>
          <w:lang w:val="en-US"/>
        </w:rPr>
        <w:t>values used in the risk calculations</w:t>
      </w:r>
      <w:r>
        <w:rPr>
          <w:sz w:val="22"/>
          <w:szCs w:val="22"/>
          <w:lang w:val="en-US"/>
        </w:rPr>
        <w:t>………………………………………</w:t>
      </w:r>
      <w:proofErr w:type="gramStart"/>
      <w:r>
        <w:rPr>
          <w:sz w:val="22"/>
          <w:szCs w:val="22"/>
          <w:lang w:val="en-US"/>
        </w:rPr>
        <w:t>…..</w:t>
      </w:r>
      <w:proofErr w:type="gramEnd"/>
      <w:r>
        <w:rPr>
          <w:sz w:val="22"/>
          <w:szCs w:val="22"/>
          <w:lang w:val="en-US"/>
        </w:rPr>
        <w:t>…………..</w:t>
      </w:r>
      <w:r w:rsidRPr="00A70FDB">
        <w:rPr>
          <w:sz w:val="28"/>
          <w:lang w:val="en-US"/>
        </w:rPr>
        <w:t>2</w:t>
      </w:r>
      <w:r w:rsidR="00332C3C">
        <w:rPr>
          <w:sz w:val="28"/>
          <w:lang w:val="en-US"/>
        </w:rPr>
        <w:t>8</w:t>
      </w:r>
    </w:p>
    <w:p w14:paraId="7E72A2A4" w14:textId="4B889528" w:rsidR="00F45FF1" w:rsidRPr="00A70FDB" w:rsidRDefault="00A70FDB" w:rsidP="0049101C">
      <w:pPr>
        <w:spacing w:after="0" w:line="276" w:lineRule="auto"/>
        <w:ind w:firstLine="426"/>
        <w:rPr>
          <w:rStyle w:val="tlid-translation"/>
          <w:b/>
          <w:szCs w:val="22"/>
          <w:lang w:val="en-US"/>
        </w:rPr>
      </w:pPr>
      <w:r w:rsidRPr="00A70FDB">
        <w:rPr>
          <w:b/>
          <w:bCs/>
          <w:sz w:val="22"/>
          <w:szCs w:val="22"/>
          <w:lang w:val="en-US"/>
        </w:rPr>
        <w:t>Table 14</w:t>
      </w:r>
      <w:r w:rsidRPr="00A70FDB">
        <w:rPr>
          <w:sz w:val="22"/>
          <w:szCs w:val="22"/>
          <w:lang w:val="en-US"/>
        </w:rPr>
        <w:t xml:space="preserve"> – Chemical species carcinogenic classification</w:t>
      </w:r>
      <w:r>
        <w:rPr>
          <w:sz w:val="22"/>
          <w:szCs w:val="22"/>
          <w:lang w:val="en-US"/>
        </w:rPr>
        <w:t>…………………………………………...……………</w:t>
      </w:r>
      <w:r w:rsidR="00146D18">
        <w:rPr>
          <w:sz w:val="28"/>
          <w:lang w:val="en-US"/>
        </w:rPr>
        <w:t>3</w:t>
      </w:r>
      <w:r w:rsidR="00332C3C">
        <w:rPr>
          <w:sz w:val="28"/>
          <w:lang w:val="en-US"/>
        </w:rPr>
        <w:t>3</w:t>
      </w:r>
    </w:p>
    <w:p w14:paraId="26049AFA" w14:textId="0E3B6C6D" w:rsidR="008F5655" w:rsidRPr="001138FE"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RADIOLOGICAL RISK</w:t>
      </w:r>
      <w:r w:rsidRPr="001138FE">
        <w:rPr>
          <w:rFonts w:eastAsia="Times New Roman"/>
          <w:bCs/>
          <w:kern w:val="36"/>
          <w:sz w:val="28"/>
          <w:szCs w:val="24"/>
          <w:lang w:val="en-US" w:eastAsia="pt-BR"/>
        </w:rPr>
        <w:t>…</w:t>
      </w:r>
      <w:r w:rsidR="00A70FDB">
        <w:rPr>
          <w:rFonts w:eastAsia="Times New Roman"/>
          <w:bCs/>
          <w:kern w:val="36"/>
          <w:sz w:val="28"/>
          <w:szCs w:val="24"/>
          <w:lang w:val="en-US" w:eastAsia="pt-BR"/>
        </w:rPr>
        <w:t>…………………………</w:t>
      </w:r>
      <w:proofErr w:type="gramStart"/>
      <w:r w:rsidR="00A70FDB">
        <w:rPr>
          <w:rFonts w:eastAsia="Times New Roman"/>
          <w:bCs/>
          <w:kern w:val="36"/>
          <w:sz w:val="28"/>
          <w:szCs w:val="24"/>
          <w:lang w:val="en-US" w:eastAsia="pt-BR"/>
        </w:rPr>
        <w:t>…..</w:t>
      </w:r>
      <w:proofErr w:type="gramEnd"/>
      <w:r>
        <w:rPr>
          <w:rFonts w:eastAsia="Times New Roman"/>
          <w:bCs/>
          <w:kern w:val="36"/>
          <w:sz w:val="28"/>
          <w:szCs w:val="24"/>
          <w:lang w:val="en-US" w:eastAsia="pt-BR"/>
        </w:rPr>
        <w:t>……...……………………...</w:t>
      </w:r>
      <w:r w:rsidR="00060BC3">
        <w:rPr>
          <w:rFonts w:eastAsia="Times New Roman"/>
          <w:bCs/>
          <w:kern w:val="36"/>
          <w:sz w:val="28"/>
          <w:szCs w:val="24"/>
          <w:lang w:val="en-US" w:eastAsia="pt-BR"/>
        </w:rPr>
        <w:t>3</w:t>
      </w:r>
      <w:r w:rsidR="00332C3C">
        <w:rPr>
          <w:rFonts w:eastAsia="Times New Roman"/>
          <w:bCs/>
          <w:kern w:val="36"/>
          <w:sz w:val="28"/>
          <w:szCs w:val="24"/>
          <w:lang w:val="en-US" w:eastAsia="pt-BR"/>
        </w:rPr>
        <w:t>5</w:t>
      </w:r>
    </w:p>
    <w:p w14:paraId="50E90800" w14:textId="131265B3" w:rsidR="00A70FDB" w:rsidRPr="00A70FDB" w:rsidRDefault="00A70FDB" w:rsidP="0049101C">
      <w:pPr>
        <w:spacing w:after="0" w:line="276" w:lineRule="auto"/>
        <w:ind w:firstLine="426"/>
        <w:rPr>
          <w:sz w:val="28"/>
          <w:lang w:val="en"/>
        </w:rPr>
      </w:pPr>
      <w:r w:rsidRPr="00A70FDB">
        <w:rPr>
          <w:b/>
          <w:sz w:val="22"/>
          <w:szCs w:val="22"/>
          <w:lang w:val="en-US"/>
        </w:rPr>
        <w:t xml:space="preserve">Table 15 </w:t>
      </w:r>
      <w:r w:rsidRPr="00A70FDB">
        <w:rPr>
          <w:sz w:val="22"/>
          <w:szCs w:val="22"/>
          <w:lang w:val="en-US"/>
        </w:rPr>
        <w:t xml:space="preserve">– </w:t>
      </w:r>
      <w:r w:rsidRPr="00A70FDB">
        <w:rPr>
          <w:rStyle w:val="tlid-translation"/>
          <w:sz w:val="22"/>
          <w:szCs w:val="22"/>
          <w:lang w:val="en"/>
        </w:rPr>
        <w:t xml:space="preserve">Equations used by </w:t>
      </w:r>
      <w:proofErr w:type="spellStart"/>
      <w:r w:rsidR="003F31FE">
        <w:rPr>
          <w:rStyle w:val="tlid-translation"/>
          <w:sz w:val="22"/>
          <w:szCs w:val="22"/>
          <w:lang w:val="en"/>
        </w:rPr>
        <w:t>HERisk</w:t>
      </w:r>
      <w:proofErr w:type="spellEnd"/>
      <w:r w:rsidRPr="00A70FDB">
        <w:rPr>
          <w:rStyle w:val="tlid-translation"/>
          <w:sz w:val="22"/>
          <w:szCs w:val="22"/>
          <w:lang w:val="en"/>
        </w:rPr>
        <w:t xml:space="preserve"> for radiological risk calculations</w:t>
      </w:r>
      <w:r>
        <w:rPr>
          <w:rStyle w:val="tlid-translation"/>
          <w:sz w:val="22"/>
          <w:szCs w:val="22"/>
          <w:lang w:val="en"/>
        </w:rPr>
        <w:t>…………</w:t>
      </w:r>
      <w:r w:rsidR="0049101C">
        <w:rPr>
          <w:rStyle w:val="tlid-translation"/>
          <w:sz w:val="22"/>
          <w:szCs w:val="22"/>
          <w:lang w:val="en"/>
        </w:rPr>
        <w:t>….</w:t>
      </w:r>
      <w:r>
        <w:rPr>
          <w:rStyle w:val="tlid-translation"/>
          <w:sz w:val="22"/>
          <w:szCs w:val="22"/>
          <w:lang w:val="en"/>
        </w:rPr>
        <w:t>……………………...…</w:t>
      </w:r>
      <w:r w:rsidR="00DD3E03">
        <w:rPr>
          <w:rStyle w:val="tlid-translation"/>
          <w:sz w:val="28"/>
          <w:lang w:val="en"/>
        </w:rPr>
        <w:t>3</w:t>
      </w:r>
      <w:r w:rsidR="00332C3C">
        <w:rPr>
          <w:rStyle w:val="tlid-translation"/>
          <w:sz w:val="28"/>
          <w:lang w:val="en"/>
        </w:rPr>
        <w:t>6</w:t>
      </w:r>
    </w:p>
    <w:p w14:paraId="141A52D9" w14:textId="7CFA957C" w:rsidR="00A70FDB" w:rsidRDefault="00A70FDB" w:rsidP="0049101C">
      <w:pPr>
        <w:widowControl w:val="0"/>
        <w:autoSpaceDE w:val="0"/>
        <w:autoSpaceDN w:val="0"/>
        <w:adjustRightInd w:val="0"/>
        <w:spacing w:after="0" w:line="276" w:lineRule="auto"/>
        <w:ind w:firstLine="426"/>
        <w:rPr>
          <w:sz w:val="28"/>
          <w:lang w:val="en-US"/>
        </w:rPr>
      </w:pPr>
      <w:r w:rsidRPr="0049101C">
        <w:rPr>
          <w:b/>
          <w:bCs/>
          <w:sz w:val="22"/>
          <w:szCs w:val="22"/>
          <w:lang w:val="en-US"/>
        </w:rPr>
        <w:t>Table 16</w:t>
      </w:r>
      <w:r w:rsidRPr="0049101C">
        <w:rPr>
          <w:sz w:val="22"/>
          <w:szCs w:val="22"/>
          <w:lang w:val="en-US"/>
        </w:rPr>
        <w:t xml:space="preserve"> –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radiological risk calculations</w:t>
      </w:r>
      <w:r w:rsidR="0049101C">
        <w:rPr>
          <w:sz w:val="22"/>
          <w:szCs w:val="22"/>
          <w:lang w:val="en-US"/>
        </w:rPr>
        <w:t>…………………………………………</w:t>
      </w:r>
      <w:r w:rsidR="00DD3E03">
        <w:rPr>
          <w:sz w:val="28"/>
          <w:lang w:val="en-US"/>
        </w:rPr>
        <w:t>3</w:t>
      </w:r>
      <w:r w:rsidR="00332C3C">
        <w:rPr>
          <w:sz w:val="28"/>
          <w:lang w:val="en-US"/>
        </w:rPr>
        <w:t>8</w:t>
      </w:r>
    </w:p>
    <w:p w14:paraId="19BA2285" w14:textId="7025ECAA" w:rsidR="008F5655" w:rsidRPr="008F5655"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ECOLOGICAL RISK</w:t>
      </w:r>
      <w:r w:rsidRPr="001138FE">
        <w:rPr>
          <w:rFonts w:eastAsia="Times New Roman"/>
          <w:bCs/>
          <w:kern w:val="36"/>
          <w:sz w:val="28"/>
          <w:szCs w:val="24"/>
          <w:lang w:val="en-US" w:eastAsia="pt-BR"/>
        </w:rPr>
        <w:t>…</w:t>
      </w:r>
      <w:r>
        <w:rPr>
          <w:rFonts w:eastAsia="Times New Roman"/>
          <w:bCs/>
          <w:kern w:val="36"/>
          <w:sz w:val="28"/>
          <w:szCs w:val="24"/>
          <w:lang w:val="en-US" w:eastAsia="pt-BR"/>
        </w:rPr>
        <w:t>…</w:t>
      </w:r>
      <w:r w:rsidR="0049101C">
        <w:rPr>
          <w:rFonts w:eastAsia="Times New Roman"/>
          <w:bCs/>
          <w:kern w:val="36"/>
          <w:sz w:val="28"/>
          <w:szCs w:val="24"/>
          <w:lang w:val="en-US" w:eastAsia="pt-BR"/>
        </w:rPr>
        <w:t>…………………………</w:t>
      </w:r>
      <w:proofErr w:type="gramStart"/>
      <w:r w:rsidR="0049101C">
        <w:rPr>
          <w:rFonts w:eastAsia="Times New Roman"/>
          <w:bCs/>
          <w:kern w:val="36"/>
          <w:sz w:val="28"/>
          <w:szCs w:val="24"/>
          <w:lang w:val="en-US" w:eastAsia="pt-BR"/>
        </w:rPr>
        <w:t>…..</w:t>
      </w:r>
      <w:proofErr w:type="gramEnd"/>
      <w:r>
        <w:rPr>
          <w:rFonts w:eastAsia="Times New Roman"/>
          <w:bCs/>
          <w:kern w:val="36"/>
          <w:sz w:val="28"/>
          <w:szCs w:val="24"/>
          <w:lang w:val="en-US" w:eastAsia="pt-BR"/>
        </w:rPr>
        <w:t>…...………………</w:t>
      </w:r>
      <w:r w:rsidR="00851D4D">
        <w:rPr>
          <w:rFonts w:eastAsia="Times New Roman"/>
          <w:bCs/>
          <w:kern w:val="36"/>
          <w:sz w:val="28"/>
          <w:szCs w:val="24"/>
          <w:lang w:val="en-US" w:eastAsia="pt-BR"/>
        </w:rPr>
        <w:t>………....</w:t>
      </w:r>
      <w:r w:rsidR="00DD3E03">
        <w:rPr>
          <w:rFonts w:eastAsia="Times New Roman"/>
          <w:bCs/>
          <w:kern w:val="36"/>
          <w:sz w:val="28"/>
          <w:szCs w:val="24"/>
          <w:lang w:val="en-US" w:eastAsia="pt-BR"/>
        </w:rPr>
        <w:t>3</w:t>
      </w:r>
      <w:r w:rsidR="00332C3C">
        <w:rPr>
          <w:rFonts w:eastAsia="Times New Roman"/>
          <w:bCs/>
          <w:kern w:val="36"/>
          <w:sz w:val="28"/>
          <w:szCs w:val="24"/>
          <w:lang w:val="en-US" w:eastAsia="pt-BR"/>
        </w:rPr>
        <w:t>9</w:t>
      </w:r>
    </w:p>
    <w:p w14:paraId="4E247B8E" w14:textId="4339354E" w:rsidR="0049101C" w:rsidRPr="0049101C" w:rsidRDefault="0049101C" w:rsidP="0049101C">
      <w:pPr>
        <w:spacing w:after="0" w:line="276" w:lineRule="auto"/>
        <w:ind w:firstLine="426"/>
        <w:rPr>
          <w:sz w:val="28"/>
          <w:lang w:val="en"/>
        </w:rPr>
      </w:pPr>
      <w:r w:rsidRPr="0049101C">
        <w:rPr>
          <w:b/>
          <w:sz w:val="22"/>
          <w:szCs w:val="22"/>
          <w:lang w:val="en-US"/>
        </w:rPr>
        <w:t xml:space="preserve">Table 17 </w:t>
      </w:r>
      <w:r w:rsidRPr="0049101C">
        <w:rPr>
          <w:sz w:val="22"/>
          <w:szCs w:val="22"/>
          <w:lang w:val="en-US"/>
        </w:rPr>
        <w:t xml:space="preserve">– </w:t>
      </w:r>
      <w:r w:rsidRPr="0049101C">
        <w:rPr>
          <w:rStyle w:val="tlid-translation"/>
          <w:sz w:val="22"/>
          <w:szCs w:val="22"/>
          <w:lang w:val="en"/>
        </w:rPr>
        <w:t xml:space="preserve">Equations used by </w:t>
      </w:r>
      <w:proofErr w:type="spellStart"/>
      <w:r w:rsidR="003F31FE">
        <w:rPr>
          <w:rStyle w:val="tlid-translation"/>
          <w:sz w:val="22"/>
          <w:szCs w:val="22"/>
          <w:lang w:val="en"/>
        </w:rPr>
        <w:t>HERisk</w:t>
      </w:r>
      <w:proofErr w:type="spellEnd"/>
      <w:r w:rsidRPr="0049101C">
        <w:rPr>
          <w:rStyle w:val="tlid-translation"/>
          <w:sz w:val="22"/>
          <w:szCs w:val="22"/>
          <w:lang w:val="en"/>
        </w:rPr>
        <w:t xml:space="preserve"> for ecological risk calculations</w:t>
      </w:r>
      <w:r>
        <w:rPr>
          <w:rStyle w:val="tlid-translation"/>
          <w:sz w:val="22"/>
          <w:szCs w:val="22"/>
          <w:lang w:val="en"/>
        </w:rPr>
        <w:t>……………………………</w:t>
      </w:r>
      <w:proofErr w:type="gramStart"/>
      <w:r>
        <w:rPr>
          <w:rStyle w:val="tlid-translation"/>
          <w:sz w:val="22"/>
          <w:szCs w:val="22"/>
          <w:lang w:val="en"/>
        </w:rPr>
        <w:t>…..</w:t>
      </w:r>
      <w:proofErr w:type="gramEnd"/>
      <w:r>
        <w:rPr>
          <w:rStyle w:val="tlid-translation"/>
          <w:sz w:val="22"/>
          <w:szCs w:val="22"/>
          <w:lang w:val="en"/>
        </w:rPr>
        <w:t>……….</w:t>
      </w:r>
      <w:r w:rsidR="00332C3C">
        <w:rPr>
          <w:rStyle w:val="tlid-translation"/>
          <w:sz w:val="28"/>
          <w:lang w:val="en"/>
        </w:rPr>
        <w:t>40</w:t>
      </w:r>
    </w:p>
    <w:p w14:paraId="62B2CE4E" w14:textId="445B4DC8" w:rsidR="0049101C" w:rsidRPr="0049101C" w:rsidRDefault="0049101C" w:rsidP="0049101C">
      <w:pPr>
        <w:widowControl w:val="0"/>
        <w:autoSpaceDE w:val="0"/>
        <w:autoSpaceDN w:val="0"/>
        <w:adjustRightInd w:val="0"/>
        <w:spacing w:after="0" w:line="276" w:lineRule="auto"/>
        <w:ind w:firstLine="426"/>
        <w:rPr>
          <w:noProof/>
          <w:sz w:val="28"/>
          <w:lang w:val="en-US"/>
        </w:rPr>
      </w:pPr>
      <w:r w:rsidRPr="0049101C">
        <w:rPr>
          <w:b/>
          <w:bCs/>
          <w:sz w:val="22"/>
          <w:szCs w:val="22"/>
          <w:lang w:val="en-US"/>
        </w:rPr>
        <w:t>Table 18</w:t>
      </w:r>
      <w:r w:rsidRPr="0049101C">
        <w:rPr>
          <w:sz w:val="22"/>
          <w:szCs w:val="22"/>
          <w:lang w:val="en-US"/>
        </w:rPr>
        <w:t xml:space="preserve"> – Some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ecological risk calculations</w:t>
      </w:r>
      <w:r>
        <w:rPr>
          <w:sz w:val="22"/>
          <w:szCs w:val="22"/>
          <w:lang w:val="en-US"/>
        </w:rPr>
        <w:t>…………………………........……</w:t>
      </w:r>
      <w:r>
        <w:rPr>
          <w:sz w:val="28"/>
          <w:lang w:val="en-US"/>
        </w:rPr>
        <w:t>4</w:t>
      </w:r>
      <w:r w:rsidR="00332C3C">
        <w:rPr>
          <w:sz w:val="28"/>
          <w:lang w:val="en-US"/>
        </w:rPr>
        <w:t>3</w:t>
      </w:r>
    </w:p>
    <w:p w14:paraId="5399CB98" w14:textId="5B349AE0" w:rsidR="0049101C" w:rsidRPr="0049101C" w:rsidRDefault="0049101C" w:rsidP="0049101C">
      <w:pPr>
        <w:spacing w:after="0" w:line="276" w:lineRule="auto"/>
        <w:ind w:firstLine="426"/>
        <w:rPr>
          <w:rStyle w:val="tlid-translation"/>
          <w:sz w:val="28"/>
          <w:lang w:val="en"/>
        </w:rPr>
      </w:pPr>
      <w:r w:rsidRPr="0049101C">
        <w:rPr>
          <w:b/>
          <w:sz w:val="22"/>
          <w:szCs w:val="22"/>
          <w:lang w:val="en-US"/>
        </w:rPr>
        <w:t xml:space="preserve">Table 19 </w:t>
      </w:r>
      <w:r w:rsidRPr="0049101C">
        <w:rPr>
          <w:sz w:val="22"/>
          <w:szCs w:val="22"/>
          <w:lang w:val="en-US"/>
        </w:rPr>
        <w:t xml:space="preserve">– </w:t>
      </w:r>
      <w:r w:rsidRPr="0049101C">
        <w:rPr>
          <w:rStyle w:val="tlid-translation"/>
          <w:sz w:val="22"/>
          <w:szCs w:val="22"/>
          <w:lang w:val="en"/>
        </w:rPr>
        <w:t>Ecological risks characterizations</w:t>
      </w:r>
      <w:r>
        <w:rPr>
          <w:rStyle w:val="tlid-translation"/>
          <w:sz w:val="22"/>
          <w:szCs w:val="22"/>
          <w:lang w:val="en"/>
        </w:rPr>
        <w:t>…………………………………………………………………....</w:t>
      </w:r>
      <w:r>
        <w:rPr>
          <w:rStyle w:val="tlid-translation"/>
          <w:sz w:val="28"/>
          <w:lang w:val="en"/>
        </w:rPr>
        <w:t>4</w:t>
      </w:r>
      <w:r w:rsidR="00332C3C">
        <w:rPr>
          <w:rStyle w:val="tlid-translation"/>
          <w:sz w:val="28"/>
          <w:lang w:val="en"/>
        </w:rPr>
        <w:t>4</w:t>
      </w:r>
    </w:p>
    <w:p w14:paraId="49613578" w14:textId="27F53E78" w:rsidR="007837A2"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 xml:space="preserve">HOW TO USE </w:t>
      </w:r>
      <w:proofErr w:type="spellStart"/>
      <w:r w:rsidR="003F31FE">
        <w:rPr>
          <w:rStyle w:val="tlid-translation"/>
          <w:b/>
          <w:sz w:val="32"/>
          <w:szCs w:val="32"/>
          <w:lang w:val="en"/>
        </w:rPr>
        <w:t>HERisk</w:t>
      </w:r>
      <w:proofErr w:type="spellEnd"/>
      <w:r w:rsidR="007837A2" w:rsidRPr="00CD0FD1">
        <w:rPr>
          <w:rFonts w:eastAsia="Times New Roman"/>
          <w:kern w:val="36"/>
          <w:sz w:val="28"/>
          <w:lang w:val="en-US" w:eastAsia="pt-BR"/>
        </w:rPr>
        <w:t>…</w:t>
      </w:r>
      <w:proofErr w:type="gramStart"/>
      <w:r w:rsidR="007837A2"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182A14">
        <w:rPr>
          <w:rFonts w:eastAsia="Times New Roman"/>
          <w:kern w:val="36"/>
          <w:sz w:val="28"/>
          <w:lang w:val="en-US" w:eastAsia="pt-BR"/>
        </w:rPr>
        <w:t>..</w:t>
      </w:r>
      <w:proofErr w:type="gramEnd"/>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5</w:t>
      </w:r>
    </w:p>
    <w:p w14:paraId="314D29EA" w14:textId="24970F7C" w:rsidR="00503CA4"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REFERENCES</w:t>
      </w:r>
      <w:r w:rsidR="00503CA4"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proofErr w:type="gramStart"/>
      <w:r w:rsidR="007D6212">
        <w:rPr>
          <w:rFonts w:eastAsia="Times New Roman"/>
          <w:kern w:val="36"/>
          <w:sz w:val="28"/>
          <w:lang w:val="en-US" w:eastAsia="pt-BR"/>
        </w:rPr>
        <w:t>.....</w:t>
      </w:r>
      <w:proofErr w:type="gramEnd"/>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6</w:t>
      </w:r>
    </w:p>
    <w:p w14:paraId="784DD05E" w14:textId="77777777" w:rsidR="001100E1" w:rsidRDefault="001100E1" w:rsidP="0049101C">
      <w:pPr>
        <w:spacing w:after="0" w:line="276" w:lineRule="auto"/>
        <w:rPr>
          <w:rFonts w:eastAsia="Times New Roman"/>
          <w:kern w:val="36"/>
          <w:szCs w:val="24"/>
          <w:lang w:val="en-US" w:eastAsia="pt-BR"/>
        </w:rPr>
      </w:pPr>
      <w:r>
        <w:rPr>
          <w:rFonts w:eastAsia="Times New Roman"/>
          <w:kern w:val="36"/>
          <w:szCs w:val="24"/>
          <w:lang w:val="en-US" w:eastAsia="pt-BR"/>
        </w:rPr>
        <w:br w:type="page"/>
      </w:r>
    </w:p>
    <w:p w14:paraId="5C3FA899" w14:textId="77777777" w:rsidR="001138FE" w:rsidRDefault="001138FE" w:rsidP="0017539F">
      <w:pPr>
        <w:jc w:val="center"/>
        <w:rPr>
          <w:rFonts w:eastAsia="Times New Roman"/>
          <w:b/>
          <w:kern w:val="36"/>
          <w:sz w:val="36"/>
          <w:szCs w:val="36"/>
          <w:lang w:val="en-US" w:eastAsia="pt-BR"/>
        </w:rPr>
      </w:pPr>
    </w:p>
    <w:p w14:paraId="1133D891" w14:textId="77777777" w:rsidR="001138FE" w:rsidRDefault="001138FE" w:rsidP="0017539F">
      <w:pPr>
        <w:jc w:val="center"/>
        <w:rPr>
          <w:rFonts w:eastAsia="Times New Roman"/>
          <w:b/>
          <w:kern w:val="36"/>
          <w:sz w:val="36"/>
          <w:szCs w:val="36"/>
          <w:lang w:val="en-US" w:eastAsia="pt-BR"/>
        </w:rPr>
      </w:pPr>
    </w:p>
    <w:p w14:paraId="0D07E422" w14:textId="77777777" w:rsidR="001138FE" w:rsidRDefault="001138FE" w:rsidP="0017539F">
      <w:pPr>
        <w:jc w:val="center"/>
        <w:rPr>
          <w:rFonts w:eastAsia="Times New Roman"/>
          <w:b/>
          <w:kern w:val="36"/>
          <w:sz w:val="36"/>
          <w:szCs w:val="36"/>
          <w:lang w:val="en-US" w:eastAsia="pt-BR"/>
        </w:rPr>
      </w:pPr>
    </w:p>
    <w:p w14:paraId="02C79B56" w14:textId="77777777" w:rsidR="001138FE" w:rsidRDefault="001138FE" w:rsidP="0017539F">
      <w:pPr>
        <w:jc w:val="center"/>
        <w:rPr>
          <w:rFonts w:eastAsia="Times New Roman"/>
          <w:b/>
          <w:kern w:val="36"/>
          <w:sz w:val="36"/>
          <w:szCs w:val="36"/>
          <w:lang w:val="en-US" w:eastAsia="pt-BR"/>
        </w:rPr>
      </w:pPr>
    </w:p>
    <w:p w14:paraId="3E9EE173" w14:textId="77777777" w:rsidR="001138FE" w:rsidRDefault="001138FE" w:rsidP="0017539F">
      <w:pPr>
        <w:jc w:val="center"/>
        <w:rPr>
          <w:rFonts w:eastAsia="Times New Roman"/>
          <w:b/>
          <w:kern w:val="36"/>
          <w:sz w:val="36"/>
          <w:szCs w:val="36"/>
          <w:lang w:val="en-US" w:eastAsia="pt-BR"/>
        </w:rPr>
      </w:pPr>
    </w:p>
    <w:p w14:paraId="703BBCE3" w14:textId="77777777" w:rsidR="001138FE" w:rsidRDefault="001138FE" w:rsidP="0017539F">
      <w:pPr>
        <w:jc w:val="center"/>
        <w:rPr>
          <w:rFonts w:eastAsia="Times New Roman"/>
          <w:b/>
          <w:kern w:val="36"/>
          <w:sz w:val="36"/>
          <w:szCs w:val="36"/>
          <w:lang w:val="en-US" w:eastAsia="pt-BR"/>
        </w:rPr>
      </w:pPr>
    </w:p>
    <w:p w14:paraId="3ECA4594" w14:textId="77777777" w:rsidR="001138FE" w:rsidRDefault="001138FE" w:rsidP="0017539F">
      <w:pPr>
        <w:jc w:val="center"/>
        <w:rPr>
          <w:rFonts w:eastAsia="Times New Roman"/>
          <w:b/>
          <w:kern w:val="36"/>
          <w:sz w:val="36"/>
          <w:szCs w:val="36"/>
          <w:lang w:val="en-US" w:eastAsia="pt-BR"/>
        </w:rPr>
      </w:pPr>
    </w:p>
    <w:p w14:paraId="70DC1501" w14:textId="77777777" w:rsidR="001138FE" w:rsidRDefault="001138FE" w:rsidP="0017539F">
      <w:pPr>
        <w:jc w:val="center"/>
        <w:rPr>
          <w:rFonts w:eastAsia="Times New Roman"/>
          <w:b/>
          <w:kern w:val="36"/>
          <w:sz w:val="36"/>
          <w:szCs w:val="36"/>
          <w:lang w:val="en-US" w:eastAsia="pt-BR"/>
        </w:rPr>
      </w:pPr>
    </w:p>
    <w:p w14:paraId="461ECA30" w14:textId="77777777" w:rsidR="001138FE" w:rsidRDefault="001138FE" w:rsidP="0017539F">
      <w:pPr>
        <w:jc w:val="center"/>
        <w:rPr>
          <w:rFonts w:eastAsia="Times New Roman"/>
          <w:b/>
          <w:kern w:val="36"/>
          <w:sz w:val="36"/>
          <w:szCs w:val="36"/>
          <w:lang w:val="en-US" w:eastAsia="pt-BR"/>
        </w:rPr>
      </w:pPr>
    </w:p>
    <w:p w14:paraId="263F72F9" w14:textId="77777777" w:rsidR="001138FE" w:rsidRDefault="001138FE" w:rsidP="0017539F">
      <w:pPr>
        <w:jc w:val="center"/>
        <w:rPr>
          <w:rFonts w:eastAsia="Times New Roman"/>
          <w:b/>
          <w:kern w:val="36"/>
          <w:sz w:val="36"/>
          <w:szCs w:val="36"/>
          <w:lang w:val="en-US" w:eastAsia="pt-BR"/>
        </w:rPr>
      </w:pPr>
    </w:p>
    <w:p w14:paraId="6B2A84A2" w14:textId="77777777" w:rsidR="001138FE" w:rsidRDefault="001138FE" w:rsidP="0017539F">
      <w:pPr>
        <w:jc w:val="center"/>
        <w:rPr>
          <w:rFonts w:eastAsia="Times New Roman"/>
          <w:b/>
          <w:kern w:val="36"/>
          <w:sz w:val="36"/>
          <w:szCs w:val="36"/>
          <w:lang w:val="en-US" w:eastAsia="pt-BR"/>
        </w:rPr>
      </w:pPr>
    </w:p>
    <w:p w14:paraId="592F344F" w14:textId="17FB70C8" w:rsidR="001138FE" w:rsidRPr="001138FE" w:rsidRDefault="00F95B47" w:rsidP="001138FE">
      <w:pPr>
        <w:jc w:val="center"/>
        <w:rPr>
          <w:rFonts w:eastAsia="Times New Roman"/>
          <w:b/>
          <w:kern w:val="36"/>
          <w:sz w:val="36"/>
          <w:szCs w:val="36"/>
          <w:lang w:val="en-US" w:eastAsia="pt-BR"/>
        </w:rPr>
      </w:pPr>
      <w:r>
        <w:rPr>
          <w:rFonts w:eastAsia="Times New Roman"/>
          <w:b/>
          <w:kern w:val="36"/>
          <w:sz w:val="36"/>
          <w:szCs w:val="36"/>
          <w:lang w:val="en-US" w:eastAsia="pt-BR"/>
        </w:rPr>
        <w:t>HUMAN HEALTH</w:t>
      </w:r>
      <w:r w:rsidR="00946F8A">
        <w:rPr>
          <w:rFonts w:eastAsia="Times New Roman"/>
          <w:b/>
          <w:kern w:val="36"/>
          <w:sz w:val="36"/>
          <w:szCs w:val="36"/>
          <w:lang w:val="en-US" w:eastAsia="pt-BR"/>
        </w:rPr>
        <w:t xml:space="preserve"> </w:t>
      </w:r>
      <w:r w:rsidR="001138FE">
        <w:rPr>
          <w:rFonts w:eastAsia="Times New Roman"/>
          <w:b/>
          <w:kern w:val="36"/>
          <w:sz w:val="36"/>
          <w:szCs w:val="36"/>
          <w:lang w:val="en-US" w:eastAsia="pt-BR"/>
        </w:rPr>
        <w:t>RISK</w:t>
      </w:r>
    </w:p>
    <w:p w14:paraId="395BEC34" w14:textId="225D4933" w:rsidR="007108AD" w:rsidRDefault="001138FE" w:rsidP="00C862D1">
      <w:pPr>
        <w:jc w:val="center"/>
        <w:rPr>
          <w:rFonts w:eastAsia="Times New Roman"/>
          <w:b/>
          <w:kern w:val="36"/>
          <w:sz w:val="36"/>
          <w:szCs w:val="36"/>
          <w:lang w:val="en-US" w:eastAsia="pt-BR"/>
        </w:rPr>
        <w:sectPr w:rsidR="007108AD" w:rsidSect="006A648A">
          <w:headerReference w:type="default" r:id="rId8"/>
          <w:headerReference w:type="first" r:id="rId9"/>
          <w:type w:val="continuous"/>
          <w:pgSz w:w="11906" w:h="16838"/>
          <w:pgMar w:top="720" w:right="720" w:bottom="720" w:left="720" w:header="708" w:footer="708" w:gutter="0"/>
          <w:cols w:space="708"/>
          <w:titlePg/>
          <w:docGrid w:linePitch="360"/>
        </w:sectPr>
      </w:pPr>
      <w:r>
        <w:rPr>
          <w:rFonts w:eastAsia="Times New Roman"/>
          <w:b/>
          <w:kern w:val="36"/>
          <w:sz w:val="36"/>
          <w:szCs w:val="36"/>
          <w:lang w:val="en-US" w:eastAsia="pt-BR"/>
        </w:rPr>
        <w:br w:type="page"/>
      </w:r>
    </w:p>
    <w:p w14:paraId="5C5D564D" w14:textId="34E1756F" w:rsidR="00BD6F4A" w:rsidRDefault="00F8140D" w:rsidP="00BD6F4A">
      <w:pPr>
        <w:spacing w:after="0" w:line="276" w:lineRule="auto"/>
        <w:ind w:firstLine="567"/>
        <w:jc w:val="both"/>
        <w:rPr>
          <w:sz w:val="28"/>
          <w:lang w:val="en-US"/>
        </w:rPr>
      </w:pPr>
      <w:r w:rsidRPr="0017539F">
        <w:rPr>
          <w:rFonts w:eastAsia="Times New Roman"/>
          <w:kern w:val="36"/>
          <w:sz w:val="28"/>
          <w:lang w:val="en-US" w:eastAsia="pt-BR"/>
        </w:rPr>
        <w:lastRenderedPageBreak/>
        <w:t xml:space="preserve">Equations used by </w:t>
      </w:r>
      <w:proofErr w:type="spellStart"/>
      <w:r w:rsidR="003F31FE">
        <w:rPr>
          <w:rFonts w:eastAsia="Times New Roman"/>
          <w:kern w:val="36"/>
          <w:sz w:val="28"/>
          <w:lang w:val="en-US" w:eastAsia="pt-BR"/>
        </w:rPr>
        <w:t>HERisk</w:t>
      </w:r>
      <w:proofErr w:type="spellEnd"/>
      <w:r w:rsidRPr="0017539F">
        <w:rPr>
          <w:rFonts w:eastAsia="Times New Roman"/>
          <w:kern w:val="36"/>
          <w:sz w:val="28"/>
          <w:lang w:val="en-US" w:eastAsia="pt-BR"/>
        </w:rPr>
        <w:t xml:space="preserve"> for non-carcinogenic and carcinogenic risks</w:t>
      </w:r>
      <w:r w:rsidR="00F95B47">
        <w:rPr>
          <w:rFonts w:eastAsia="Times New Roman"/>
          <w:kern w:val="36"/>
          <w:sz w:val="28"/>
          <w:lang w:val="en-US" w:eastAsia="pt-BR"/>
        </w:rPr>
        <w:t xml:space="preserve"> </w:t>
      </w:r>
      <w:r w:rsidR="00F95B47" w:rsidRPr="0017539F">
        <w:rPr>
          <w:rFonts w:eastAsia="Times New Roman"/>
          <w:kern w:val="36"/>
          <w:sz w:val="28"/>
          <w:lang w:val="en-US" w:eastAsia="pt-BR"/>
        </w:rPr>
        <w:t>calculation</w:t>
      </w:r>
      <w:r w:rsidR="00F95B47">
        <w:rPr>
          <w:rFonts w:eastAsia="Times New Roman"/>
          <w:kern w:val="36"/>
          <w:sz w:val="28"/>
          <w:lang w:val="en-US" w:eastAsia="pt-BR"/>
        </w:rPr>
        <w:t>s</w:t>
      </w:r>
      <w:r w:rsidRPr="0017539F">
        <w:rPr>
          <w:rFonts w:eastAsia="Times New Roman"/>
          <w:kern w:val="36"/>
          <w:sz w:val="28"/>
          <w:lang w:val="en-US" w:eastAsia="pt-BR"/>
        </w:rPr>
        <w:t>.</w:t>
      </w:r>
      <w:r w:rsidR="00F95B47">
        <w:rPr>
          <w:sz w:val="28"/>
          <w:lang w:val="en-US"/>
        </w:rPr>
        <w:t xml:space="preserve"> </w:t>
      </w:r>
      <w:r w:rsidR="008F1515" w:rsidRPr="0017539F">
        <w:rPr>
          <w:sz w:val="28"/>
          <w:lang w:val="en-US"/>
        </w:rPr>
        <w:t>These equations were taken from the U.S. EPA</w:t>
      </w:r>
      <w:r w:rsidR="00C226F1">
        <w:rPr>
          <w:sz w:val="28"/>
          <w:lang w:val="en-US"/>
        </w:rPr>
        <w:t xml:space="preserve"> </w:t>
      </w:r>
      <w:r w:rsidR="00C226F1">
        <w:rPr>
          <w:sz w:val="28"/>
          <w:lang w:val="en-US"/>
        </w:rPr>
        <w:fldChar w:fldCharType="begin" w:fldLock="1"/>
      </w:r>
      <w:r w:rsidR="00D17512">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A)","type":"report","volume":"I"},"suppress-author":1,"uris":["http://www.mendeley.com/documents/?uuid=6889687f-1641-49e6-9b56-b2f8aee4ef96"]},{"id":"ITEM-2","itemData":{"abstract":"EPA's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Agency","id":"ITEM-2","issue":"540/R/99/005","issued":{"date-parts":[["2004"]]},"title":"Risk Assessment Guidance for Superfund Volume I: Human Health Evaluation Manual (Part E, Supplemental Guidance for Dermal Risk Assessment)","type":"report","volume":"I"},"suppress-author":1,"uris":["http://www.mendeley.com/documents/?uuid=d8620c5c-397d-4af1-9563-add4987c600f"]},{"id":"ITEM-3","itemData":{"ISBN":"EPA/540/1-89/002","abstract":"The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Agency","id":"ITEM-3","issued":{"date-parts":[["2009"]]},"title":"Risk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 2004, 1989)","plainTextFormattedCitation":"(2009a, 2004, 1989)","previouslyFormattedCitation":"(2009a, 2004, 1989)"},"properties":{"noteIndex":0},"schema":"https://github.com/citation-style-language/schema/raw/master/csl-citation.json"}</w:instrText>
      </w:r>
      <w:r w:rsidR="00C226F1">
        <w:rPr>
          <w:sz w:val="28"/>
          <w:lang w:val="en-US"/>
        </w:rPr>
        <w:fldChar w:fldCharType="separate"/>
      </w:r>
      <w:r w:rsidR="00014F53" w:rsidRPr="00014F53">
        <w:rPr>
          <w:noProof/>
          <w:sz w:val="28"/>
          <w:lang w:val="en-US"/>
        </w:rPr>
        <w:t>(2009a, 2004, 1989)</w:t>
      </w:r>
      <w:r w:rsidR="00C226F1">
        <w:rPr>
          <w:sz w:val="28"/>
          <w:lang w:val="en-US"/>
        </w:rPr>
        <w:fldChar w:fldCharType="end"/>
      </w:r>
      <w:r w:rsidR="007D1935">
        <w:rPr>
          <w:sz w:val="28"/>
          <w:lang w:val="en-US"/>
        </w:rPr>
        <w:t xml:space="preserve"> </w:t>
      </w:r>
      <w:r w:rsidR="008F1515" w:rsidRPr="0017539F">
        <w:rPr>
          <w:sz w:val="28"/>
          <w:lang w:val="en-US"/>
        </w:rPr>
        <w:t xml:space="preserve">guidelines. </w:t>
      </w:r>
      <w:r w:rsidR="0040297C">
        <w:rPr>
          <w:sz w:val="28"/>
          <w:lang w:val="en-US"/>
        </w:rPr>
        <w:t>Some</w:t>
      </w:r>
      <w:r w:rsidR="008F1515" w:rsidRPr="0017539F">
        <w:rPr>
          <w:sz w:val="28"/>
          <w:lang w:val="en-US"/>
        </w:rPr>
        <w:t xml:space="preserve"> parameters used in these calculations are summarized in </w:t>
      </w:r>
      <w:r w:rsidR="008F1515" w:rsidRPr="00A25D23">
        <w:rPr>
          <w:b/>
          <w:bCs/>
          <w:sz w:val="28"/>
          <w:lang w:val="en-US"/>
        </w:rPr>
        <w:t>Table</w:t>
      </w:r>
      <w:r w:rsidR="00243273">
        <w:rPr>
          <w:b/>
          <w:bCs/>
          <w:sz w:val="28"/>
          <w:lang w:val="en-US"/>
        </w:rPr>
        <w:t>s</w:t>
      </w:r>
      <w:r w:rsidR="008F1515" w:rsidRPr="00A25D23">
        <w:rPr>
          <w:b/>
          <w:bCs/>
          <w:sz w:val="28"/>
          <w:lang w:val="en-US"/>
        </w:rPr>
        <w:t xml:space="preserve"> </w:t>
      </w:r>
      <w:r w:rsidR="00A25D23" w:rsidRPr="00A25D23">
        <w:rPr>
          <w:b/>
          <w:bCs/>
          <w:sz w:val="28"/>
          <w:lang w:val="en-US"/>
        </w:rPr>
        <w:t>6</w:t>
      </w:r>
      <w:r w:rsidR="00243273">
        <w:rPr>
          <w:b/>
          <w:bCs/>
          <w:sz w:val="28"/>
          <w:lang w:val="en-US"/>
        </w:rPr>
        <w:t>–8</w:t>
      </w:r>
      <w:r w:rsidR="008F1515" w:rsidRPr="0017539F">
        <w:rPr>
          <w:sz w:val="28"/>
          <w:lang w:val="en-US"/>
        </w:rPr>
        <w:t>.</w:t>
      </w:r>
    </w:p>
    <w:p w14:paraId="70A67C44" w14:textId="17EA8DB1" w:rsidR="00BD6F4A" w:rsidRPr="00BD6F4A" w:rsidRDefault="00BD6F4A" w:rsidP="00BD6F4A">
      <w:pPr>
        <w:spacing w:before="240" w:after="0" w:line="360" w:lineRule="auto"/>
        <w:jc w:val="center"/>
        <w:rPr>
          <w:sz w:val="28"/>
          <w:lang w:val="en"/>
        </w:rPr>
      </w:pPr>
      <w:r w:rsidRPr="00BD6F4A">
        <w:rPr>
          <w:b/>
          <w:sz w:val="28"/>
          <w:lang w:val="en-US"/>
        </w:rPr>
        <w:t xml:space="preserve">Table 1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proofErr w:type="spellStart"/>
      <w:r w:rsidR="003F31FE">
        <w:rPr>
          <w:rStyle w:val="tlid-translation"/>
          <w:sz w:val="28"/>
          <w:lang w:val="en"/>
        </w:rPr>
        <w:t>HERisk</w:t>
      </w:r>
      <w:proofErr w:type="spellEnd"/>
      <w:r w:rsidRPr="00BD6F4A">
        <w:rPr>
          <w:rStyle w:val="tlid-translation"/>
          <w:sz w:val="28"/>
          <w:lang w:val="en"/>
        </w:rPr>
        <w:t xml:space="preserve"> </w:t>
      </w:r>
      <w:r>
        <w:rPr>
          <w:rStyle w:val="tlid-translation"/>
          <w:sz w:val="28"/>
          <w:lang w:val="en"/>
        </w:rPr>
        <w:t xml:space="preserve">for </w:t>
      </w:r>
      <w:r w:rsidR="0004793D">
        <w:rPr>
          <w:rStyle w:val="tlid-translation"/>
          <w:sz w:val="28"/>
          <w:lang w:val="en"/>
        </w:rPr>
        <w:t>doses or exposure concentration calculations</w:t>
      </w:r>
    </w:p>
    <w:tbl>
      <w:tblPr>
        <w:tblStyle w:val="Tabelacomgrade1"/>
        <w:tblW w:w="15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9"/>
        <w:gridCol w:w="187"/>
        <w:gridCol w:w="5483"/>
        <w:gridCol w:w="31"/>
        <w:gridCol w:w="1103"/>
        <w:gridCol w:w="35"/>
      </w:tblGrid>
      <w:tr w:rsidR="007108AD" w:rsidRPr="00105CF1" w14:paraId="595EBFA1" w14:textId="77777777" w:rsidTr="00014F53">
        <w:trPr>
          <w:trHeight w:val="495"/>
          <w:jc w:val="center"/>
        </w:trPr>
        <w:tc>
          <w:tcPr>
            <w:tcW w:w="2268" w:type="dxa"/>
            <w:tcBorders>
              <w:top w:val="double" w:sz="4" w:space="0" w:color="auto"/>
              <w:bottom w:val="double" w:sz="4" w:space="0" w:color="auto"/>
            </w:tcBorders>
            <w:vAlign w:val="center"/>
          </w:tcPr>
          <w:p w14:paraId="6B438CA2"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566" w:type="dxa"/>
            <w:gridSpan w:val="2"/>
            <w:tcBorders>
              <w:top w:val="double" w:sz="4" w:space="0" w:color="auto"/>
              <w:bottom w:val="double" w:sz="4" w:space="0" w:color="auto"/>
            </w:tcBorders>
            <w:vAlign w:val="center"/>
          </w:tcPr>
          <w:p w14:paraId="19771798"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514" w:type="dxa"/>
            <w:gridSpan w:val="2"/>
            <w:tcBorders>
              <w:top w:val="double" w:sz="4" w:space="0" w:color="auto"/>
              <w:bottom w:val="double" w:sz="4" w:space="0" w:color="auto"/>
            </w:tcBorders>
            <w:vAlign w:val="center"/>
          </w:tcPr>
          <w:p w14:paraId="08D0D5B3"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8" w:type="dxa"/>
            <w:gridSpan w:val="2"/>
            <w:tcBorders>
              <w:top w:val="double" w:sz="4" w:space="0" w:color="auto"/>
              <w:bottom w:val="double" w:sz="4" w:space="0" w:color="auto"/>
            </w:tcBorders>
            <w:vAlign w:val="center"/>
          </w:tcPr>
          <w:p w14:paraId="4EA2DF56" w14:textId="77777777" w:rsidR="007108AD" w:rsidRPr="003C1E54" w:rsidRDefault="007108AD"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7108AD" w:rsidRPr="00DE6121" w14:paraId="180D6305" w14:textId="77777777" w:rsidTr="0074766E">
        <w:trPr>
          <w:trHeight w:val="344"/>
          <w:jc w:val="center"/>
        </w:trPr>
        <w:tc>
          <w:tcPr>
            <w:tcW w:w="15486" w:type="dxa"/>
            <w:gridSpan w:val="7"/>
            <w:tcBorders>
              <w:top w:val="double" w:sz="4" w:space="0" w:color="auto"/>
              <w:bottom w:val="single" w:sz="4" w:space="0" w:color="auto"/>
            </w:tcBorders>
            <w:vAlign w:val="center"/>
          </w:tcPr>
          <w:p w14:paraId="22EA7814" w14:textId="51C67FF0" w:rsidR="007108AD" w:rsidRPr="00D276F2" w:rsidRDefault="007108AD" w:rsidP="0089019C">
            <w:pPr>
              <w:jc w:val="center"/>
              <w:rPr>
                <w:rFonts w:eastAsia="Times New Roman"/>
                <w:b/>
                <w:bCs/>
                <w:sz w:val="20"/>
                <w:szCs w:val="20"/>
                <w:lang w:val="en-US" w:eastAsia="pt-BR"/>
              </w:rPr>
            </w:pPr>
            <w:r w:rsidRPr="00D276F2">
              <w:rPr>
                <w:rFonts w:eastAsia="Times New Roman"/>
                <w:b/>
                <w:bCs/>
                <w:sz w:val="20"/>
                <w:szCs w:val="20"/>
                <w:lang w:val="en-US" w:eastAsia="pt-BR"/>
              </w:rPr>
              <w:t>Dose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7108AD" w:rsidRPr="00EB4901" w14:paraId="54D2E6D8" w14:textId="77777777" w:rsidTr="00014F53">
        <w:trPr>
          <w:trHeight w:val="2055"/>
          <w:jc w:val="center"/>
        </w:trPr>
        <w:tc>
          <w:tcPr>
            <w:tcW w:w="2268" w:type="dxa"/>
            <w:tcBorders>
              <w:top w:val="single" w:sz="4" w:space="0" w:color="auto"/>
              <w:bottom w:val="single" w:sz="4" w:space="0" w:color="auto"/>
            </w:tcBorders>
            <w:vAlign w:val="center"/>
          </w:tcPr>
          <w:p w14:paraId="549C82CB"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soil ingestion </w:t>
            </w:r>
            <w:r w:rsidRPr="00307854">
              <w:rPr>
                <w:sz w:val="20"/>
                <w:szCs w:val="20"/>
                <w:lang w:val="en-US"/>
              </w:rPr>
              <w:t xml:space="preserve">for initial age </w:t>
            </w:r>
            <w:r w:rsidRPr="00307854">
              <w:rPr>
                <w:i/>
                <w:iCs/>
                <w:sz w:val="20"/>
                <w:szCs w:val="20"/>
                <w:lang w:val="en-US"/>
              </w:rPr>
              <w:t>IA</w:t>
            </w:r>
          </w:p>
          <w:p w14:paraId="135286A2" w14:textId="77777777" w:rsidR="007108AD" w:rsidRPr="00307854" w:rsidRDefault="007108AD" w:rsidP="0089019C">
            <w:pPr>
              <w:spacing w:line="276" w:lineRule="auto"/>
              <w:jc w:val="center"/>
              <w:rPr>
                <w:rStyle w:val="tlid-translation"/>
                <w:rFonts w:eastAsiaTheme="minorEastAsia"/>
                <w:b/>
                <w:bCs/>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6003A301" w14:textId="395E021E" w:rsidR="007108AD" w:rsidRPr="00EB4901" w:rsidRDefault="00A10B4C" w:rsidP="0089019C">
            <w:pPr>
              <w:spacing w:line="360" w:lineRule="auto"/>
              <w:jc w:val="center"/>
              <w:rPr>
                <w:rStyle w:val="tlid-translation"/>
                <w:color w:val="000000" w:themeColor="text1"/>
                <w:sz w:val="20"/>
                <w:szCs w:val="20"/>
                <w:vertAlign w:val="superscript"/>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ing_s</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s</m:t>
                            </m:r>
                          </m:sub>
                        </m:sSub>
                        <m:r>
                          <w:rPr>
                            <w:rFonts w:ascii="Cambria Math" w:hAnsi="Cambria Math"/>
                            <w:sz w:val="18"/>
                            <w:szCs w:val="18"/>
                            <w:lang w:val="en-US"/>
                          </w:rPr>
                          <m:t>∙EF(i)∙∆t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(1)</m:t>
                </m:r>
              </m:oMath>
            </m:oMathPara>
          </w:p>
        </w:tc>
        <w:tc>
          <w:tcPr>
            <w:tcW w:w="5514" w:type="dxa"/>
            <w:gridSpan w:val="2"/>
            <w:tcBorders>
              <w:top w:val="single" w:sz="4" w:space="0" w:color="auto"/>
              <w:bottom w:val="single" w:sz="4" w:space="0" w:color="auto"/>
            </w:tcBorders>
            <w:vAlign w:val="center"/>
          </w:tcPr>
          <w:p w14:paraId="06915960" w14:textId="77777777" w:rsidR="007108AD" w:rsidRPr="00E55C4E" w:rsidRDefault="007108AD" w:rsidP="0089019C">
            <w:pPr>
              <w:spacing w:line="360" w:lineRule="auto"/>
              <w:jc w:val="center"/>
              <w:rPr>
                <w:rStyle w:val="tlid-translation"/>
                <w:color w:val="000000" w:themeColor="text1"/>
                <w:sz w:val="18"/>
                <w:szCs w:val="18"/>
                <w:lang w:val="en-US"/>
              </w:rPr>
            </w:pPr>
            <w:r w:rsidRPr="00E55C4E">
              <w:rPr>
                <w:b/>
                <w:bCs/>
                <w:i/>
                <w:sz w:val="18"/>
                <w:szCs w:val="18"/>
                <w:lang w:val="en-US"/>
              </w:rPr>
              <w:t>C</w:t>
            </w:r>
            <w:r w:rsidRPr="00E55C4E">
              <w:rPr>
                <w:b/>
                <w:bCs/>
                <w:i/>
                <w:sz w:val="18"/>
                <w:szCs w:val="18"/>
                <w:vertAlign w:val="subscript"/>
                <w:lang w:val="en-US"/>
              </w:rPr>
              <w:t>s</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soil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Soil ingestion rate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rFonts w:eastAsiaTheme="minorEastAsia"/>
                <w:b/>
                <w:bCs/>
                <w:i/>
                <w:sz w:val="18"/>
                <w:szCs w:val="18"/>
                <w:lang w:val="en-US"/>
              </w:rPr>
              <w:t>CF</w:t>
            </w:r>
            <w:r w:rsidRPr="00E55C4E">
              <w:rPr>
                <w:rFonts w:eastAsiaTheme="minorEastAsia"/>
                <w:b/>
                <w:bCs/>
                <w:i/>
                <w:sz w:val="18"/>
                <w:szCs w:val="18"/>
                <w:vertAlign w:val="subscript"/>
                <w:lang w:val="en-US"/>
              </w:rPr>
              <w:t>1</w:t>
            </w:r>
            <w:r w:rsidRPr="00E55C4E">
              <w:rPr>
                <w:rFonts w:eastAsiaTheme="minorEastAsia"/>
                <w:sz w:val="18"/>
                <w:szCs w:val="18"/>
                <w:lang w:val="en-US"/>
              </w:rPr>
              <w:t xml:space="preserve"> =</w:t>
            </w:r>
            <w:r w:rsidRPr="00E55C4E">
              <w:rPr>
                <w:sz w:val="18"/>
                <w:szCs w:val="18"/>
                <w:lang w:val="en-US"/>
              </w:rPr>
              <w:t xml:space="preserve"> Conversion factor (kg mg</w:t>
            </w:r>
            <w:r w:rsidRPr="00E55C4E">
              <w:rPr>
                <w:sz w:val="18"/>
                <w:szCs w:val="18"/>
                <w:vertAlign w:val="superscript"/>
                <w:lang w:val="en-US"/>
              </w:rPr>
              <w:t>-1</w:t>
            </w:r>
            <w:r w:rsidRPr="00E55C4E">
              <w:rPr>
                <w:sz w:val="18"/>
                <w:szCs w:val="18"/>
                <w:lang w:val="en-US"/>
              </w:rPr>
              <w:t xml:space="preserve">); </w:t>
            </w:r>
            <w:bookmarkStart w:id="0" w:name="_Hlk41747476"/>
            <w:r w:rsidRPr="00E55C4E">
              <w:rPr>
                <w:b/>
                <w:bCs/>
                <w:i/>
                <w:sz w:val="18"/>
                <w:szCs w:val="18"/>
                <w:lang w:val="en-US"/>
              </w:rPr>
              <w:t>FI</w:t>
            </w:r>
            <w:r>
              <w:rPr>
                <w:b/>
                <w:bCs/>
                <w:i/>
                <w:sz w:val="18"/>
                <w:szCs w:val="18"/>
                <w:vertAlign w:val="subscript"/>
                <w:lang w:val="en-US"/>
              </w:rPr>
              <w:t xml:space="preserve">s </w:t>
            </w:r>
            <w:r w:rsidRPr="00E55C4E">
              <w:rPr>
                <w:sz w:val="18"/>
                <w:szCs w:val="18"/>
                <w:lang w:val="en-US"/>
              </w:rPr>
              <w:t>= Fraction ingested of contaminated soil</w:t>
            </w:r>
            <w:r w:rsidRPr="00E55C4E">
              <w:rPr>
                <w:sz w:val="18"/>
                <w:szCs w:val="18"/>
                <w:lang w:val="en"/>
              </w:rPr>
              <w:t>;</w:t>
            </w:r>
            <w:r w:rsidRPr="00E55C4E">
              <w:rPr>
                <w:sz w:val="18"/>
                <w:szCs w:val="18"/>
                <w:lang w:val="en-US"/>
              </w:rPr>
              <w:t xml:space="preserve"> </w:t>
            </w:r>
            <w:bookmarkEnd w:id="0"/>
            <w:r w:rsidRPr="00E55C4E">
              <w:rPr>
                <w:b/>
                <w:bCs/>
                <w:i/>
                <w:sz w:val="18"/>
                <w:szCs w:val="18"/>
                <w:lang w:val="en-US"/>
              </w:rPr>
              <w:t>EF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Exposure frequency</w:t>
            </w:r>
            <w:r w:rsidRPr="00E55C4E">
              <w:rPr>
                <w:rStyle w:val="tlid-translation"/>
                <w:sz w:val="18"/>
                <w:szCs w:val="18"/>
                <w:lang w:val="en"/>
              </w:rPr>
              <w:t xml:space="preserve"> for age group </w:t>
            </w:r>
            <w:proofErr w:type="spellStart"/>
            <w:r w:rsidRPr="00E55C4E">
              <w:rPr>
                <w:rStyle w:val="tlid-translation"/>
                <w:i/>
                <w:iCs/>
                <w:sz w:val="18"/>
                <w:szCs w:val="18"/>
                <w:lang w:val="en"/>
              </w:rPr>
              <w:t>i</w:t>
            </w:r>
            <w:proofErr w:type="spellEnd"/>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w:t>
            </w:r>
            <w:proofErr w:type="spellStart"/>
            <w:r w:rsidRPr="00E55C4E">
              <w:rPr>
                <w:b/>
                <w:bCs/>
                <w:i/>
                <w:sz w:val="18"/>
                <w:szCs w:val="18"/>
                <w:lang w:val="en-US"/>
              </w:rPr>
              <w:t>Δt</w:t>
            </w:r>
            <w:proofErr w:type="spellEnd"/>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8" w:type="dxa"/>
            <w:gridSpan w:val="2"/>
            <w:tcBorders>
              <w:top w:val="single" w:sz="4" w:space="0" w:color="auto"/>
              <w:bottom w:val="single" w:sz="4" w:space="0" w:color="auto"/>
            </w:tcBorders>
            <w:vAlign w:val="center"/>
          </w:tcPr>
          <w:p w14:paraId="111E5C98"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787FAFEF" w14:textId="77777777" w:rsidTr="00014F53">
        <w:trPr>
          <w:trHeight w:val="495"/>
          <w:jc w:val="center"/>
        </w:trPr>
        <w:tc>
          <w:tcPr>
            <w:tcW w:w="2268" w:type="dxa"/>
            <w:tcBorders>
              <w:top w:val="single" w:sz="4" w:space="0" w:color="auto"/>
              <w:bottom w:val="single" w:sz="4" w:space="0" w:color="auto"/>
            </w:tcBorders>
            <w:vAlign w:val="center"/>
          </w:tcPr>
          <w:p w14:paraId="39EECC14"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water ingestion </w:t>
            </w:r>
            <w:r w:rsidRPr="00307854">
              <w:rPr>
                <w:sz w:val="20"/>
                <w:szCs w:val="20"/>
                <w:lang w:val="en-US"/>
              </w:rPr>
              <w:t xml:space="preserve">for initial age </w:t>
            </w:r>
            <w:r w:rsidRPr="00307854">
              <w:rPr>
                <w:i/>
                <w:iCs/>
                <w:sz w:val="20"/>
                <w:szCs w:val="20"/>
                <w:lang w:val="en-US"/>
              </w:rPr>
              <w:t>IA</w:t>
            </w:r>
          </w:p>
          <w:p w14:paraId="1917EC6A" w14:textId="77777777" w:rsidR="007108AD" w:rsidRPr="00B16F85" w:rsidRDefault="007108AD" w:rsidP="0089019C">
            <w:pPr>
              <w:spacing w:line="360" w:lineRule="auto"/>
              <w:jc w:val="center"/>
              <w:rPr>
                <w:rStyle w:val="tlid-translation"/>
                <w:b/>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45D56D7B" w14:textId="568F4A02" w:rsidR="007108AD" w:rsidRPr="00EB4901" w:rsidRDefault="00A10B4C"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 xml:space="preserve">ing_w </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(2)</m:t>
                </m:r>
              </m:oMath>
            </m:oMathPara>
          </w:p>
        </w:tc>
        <w:tc>
          <w:tcPr>
            <w:tcW w:w="5514" w:type="dxa"/>
            <w:gridSpan w:val="2"/>
            <w:tcBorders>
              <w:top w:val="single" w:sz="4" w:space="0" w:color="auto"/>
              <w:bottom w:val="single" w:sz="4" w:space="0" w:color="auto"/>
            </w:tcBorders>
            <w:vAlign w:val="center"/>
          </w:tcPr>
          <w:p w14:paraId="27D5F2C2" w14:textId="77777777" w:rsidR="007108AD" w:rsidRPr="00EB4901" w:rsidRDefault="007108AD" w:rsidP="0089019C">
            <w:pPr>
              <w:spacing w:line="360" w:lineRule="auto"/>
              <w:jc w:val="center"/>
              <w:rPr>
                <w:rStyle w:val="tlid-translation"/>
                <w:color w:val="000000" w:themeColor="text1"/>
                <w:sz w:val="20"/>
                <w:szCs w:val="20"/>
                <w:lang w:val="en-US"/>
              </w:rPr>
            </w:pPr>
            <w:proofErr w:type="spellStart"/>
            <w:r w:rsidRPr="00E55C4E">
              <w:rPr>
                <w:b/>
                <w:bCs/>
                <w:i/>
                <w:sz w:val="18"/>
                <w:szCs w:val="18"/>
                <w:lang w:val="en-US"/>
              </w:rPr>
              <w:t>C</w:t>
            </w:r>
            <w:r>
              <w:rPr>
                <w:b/>
                <w:bCs/>
                <w:i/>
                <w:sz w:val="18"/>
                <w:szCs w:val="18"/>
                <w:vertAlign w:val="subscript"/>
                <w:lang w:val="en-US"/>
              </w:rPr>
              <w:t>w</w:t>
            </w:r>
            <w:proofErr w:type="spellEnd"/>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water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L</w:t>
            </w:r>
            <w:r w:rsidRPr="00E55C4E">
              <w:rPr>
                <w:sz w:val="18"/>
                <w:szCs w:val="18"/>
                <w:vertAlign w:val="superscript"/>
                <w:lang w:val="en-US"/>
              </w:rPr>
              <w:t>-1</w:t>
            </w:r>
            <w:r w:rsidRPr="00E55C4E">
              <w:rPr>
                <w:sz w:val="18"/>
                <w:szCs w:val="18"/>
                <w:lang w:val="en-US"/>
              </w:rPr>
              <w:t>);</w:t>
            </w:r>
            <w:r>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w:t>
            </w:r>
            <w:r>
              <w:rPr>
                <w:sz w:val="18"/>
                <w:szCs w:val="18"/>
                <w:lang w:val="en-US"/>
              </w:rPr>
              <w:t>Water</w:t>
            </w:r>
            <w:r w:rsidRPr="00E55C4E">
              <w:rPr>
                <w:sz w:val="18"/>
                <w:szCs w:val="18"/>
                <w:lang w:val="en-US"/>
              </w:rPr>
              <w:t xml:space="preserve"> ingestion rate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w:t>
            </w:r>
            <w:r>
              <w:rPr>
                <w:sz w:val="18"/>
                <w:szCs w:val="18"/>
                <w:lang w:val="en-US"/>
              </w:rPr>
              <w:t>L</w:t>
            </w:r>
            <w:r w:rsidRPr="00E55C4E">
              <w:rPr>
                <w:sz w:val="18"/>
                <w:szCs w:val="18"/>
                <w:lang w:val="en-US"/>
              </w:rPr>
              <w:t xml:space="preserve">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55CEC59B"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0424CDF1" w14:textId="77777777" w:rsidTr="00CD43EB">
        <w:trPr>
          <w:trHeight w:val="512"/>
          <w:jc w:val="center"/>
        </w:trPr>
        <w:tc>
          <w:tcPr>
            <w:tcW w:w="2268" w:type="dxa"/>
            <w:tcBorders>
              <w:top w:val="single" w:sz="4" w:space="0" w:color="auto"/>
              <w:bottom w:val="single" w:sz="4" w:space="0" w:color="auto"/>
            </w:tcBorders>
            <w:vAlign w:val="center"/>
          </w:tcPr>
          <w:p w14:paraId="558D61DA" w14:textId="77777777" w:rsidR="007108AD" w:rsidRDefault="007108AD" w:rsidP="0089019C">
            <w:pPr>
              <w:spacing w:line="360" w:lineRule="auto"/>
              <w:jc w:val="center"/>
              <w:rPr>
                <w:i/>
                <w:iCs/>
                <w:sz w:val="20"/>
                <w:szCs w:val="20"/>
                <w:lang w:val="en-US"/>
              </w:rPr>
            </w:pPr>
            <w:r w:rsidRPr="00307854">
              <w:rPr>
                <w:rStyle w:val="tlid-translation"/>
                <w:sz w:val="20"/>
                <w:szCs w:val="20"/>
                <w:lang w:val="en-US"/>
              </w:rPr>
              <w:t>Daily</w:t>
            </w:r>
            <w:r>
              <w:rPr>
                <w:rStyle w:val="tlid-translation"/>
                <w:sz w:val="20"/>
                <w:szCs w:val="20"/>
                <w:lang w:val="en-US"/>
              </w:rPr>
              <w:t xml:space="preserve"> </w:t>
            </w:r>
            <w:r w:rsidRPr="00307854">
              <w:rPr>
                <w:rStyle w:val="tlid-translation"/>
                <w:sz w:val="20"/>
                <w:szCs w:val="20"/>
                <w:lang w:val="en-US"/>
              </w:rPr>
              <w:t>chemical species absorption dose by dermal contact</w:t>
            </w:r>
            <w:r w:rsidRPr="00307854">
              <w:rPr>
                <w:rFonts w:eastAsiaTheme="minorEastAsia"/>
                <w:sz w:val="20"/>
                <w:szCs w:val="20"/>
                <w:lang w:val="en-US"/>
              </w:rPr>
              <w:t xml:space="preserve"> with soil </w:t>
            </w:r>
            <w:r w:rsidRPr="00307854">
              <w:rPr>
                <w:sz w:val="20"/>
                <w:szCs w:val="20"/>
                <w:lang w:val="en-US"/>
              </w:rPr>
              <w:t xml:space="preserve">for initial age </w:t>
            </w:r>
            <w:r w:rsidRPr="00307854">
              <w:rPr>
                <w:i/>
                <w:iCs/>
                <w:sz w:val="20"/>
                <w:szCs w:val="20"/>
                <w:lang w:val="en-US"/>
              </w:rPr>
              <w:t>IA</w:t>
            </w:r>
          </w:p>
          <w:p w14:paraId="2BEFD61E" w14:textId="77777777" w:rsidR="007108AD" w:rsidRPr="00307854" w:rsidRDefault="007108AD" w:rsidP="0089019C">
            <w:pPr>
              <w:spacing w:line="360" w:lineRule="auto"/>
              <w:jc w:val="center"/>
              <w:rPr>
                <w:rStyle w:val="tlid-translation"/>
                <w:rFonts w:eastAsiaTheme="minorEastAsia"/>
                <w:sz w:val="20"/>
                <w:szCs w:val="20"/>
                <w:lang w:val="en-US"/>
              </w:rPr>
            </w:pPr>
            <w:r w:rsidRPr="001C51AF">
              <w:rPr>
                <w:rFonts w:eastAsiaTheme="minorEastAsia"/>
                <w:sz w:val="20"/>
                <w:szCs w:val="20"/>
                <w:lang w:val="en-US"/>
              </w:rPr>
              <w:t>(mg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2AF60249" w14:textId="7E796D50" w:rsidR="007108AD" w:rsidRPr="001C51AF" w:rsidRDefault="00A10B4C"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der_s</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s</m:t>
                            </m:r>
                          </m:sub>
                        </m:sSub>
                        <m:r>
                          <w:rPr>
                            <w:rFonts w:ascii="Cambria Math" w:hAnsi="Cambria Math"/>
                            <w:sz w:val="18"/>
                            <w:szCs w:val="18"/>
                            <w:lang w:val="en-US"/>
                          </w:rPr>
                          <m:t>(i)∙AF(i)∙ABS∙</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s</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(3)</m:t>
                </m:r>
              </m:oMath>
            </m:oMathPara>
          </w:p>
        </w:tc>
        <w:tc>
          <w:tcPr>
            <w:tcW w:w="5514" w:type="dxa"/>
            <w:gridSpan w:val="2"/>
            <w:tcBorders>
              <w:top w:val="single" w:sz="4" w:space="0" w:color="auto"/>
              <w:bottom w:val="single" w:sz="4" w:space="0" w:color="auto"/>
            </w:tcBorders>
            <w:vAlign w:val="center"/>
          </w:tcPr>
          <w:p w14:paraId="3AC265A3" w14:textId="77777777" w:rsidR="007108AD" w:rsidRPr="00EB4901" w:rsidRDefault="007108AD" w:rsidP="0089019C">
            <w:pPr>
              <w:spacing w:line="360" w:lineRule="auto"/>
              <w:jc w:val="center"/>
              <w:rPr>
                <w:rStyle w:val="tlid-translation"/>
                <w:color w:val="000000" w:themeColor="text1"/>
                <w:sz w:val="20"/>
                <w:szCs w:val="20"/>
                <w:lang w:val="en-US"/>
              </w:rPr>
            </w:pPr>
            <w:r w:rsidRPr="001C51AF">
              <w:rPr>
                <w:b/>
                <w:bCs/>
                <w:i/>
                <w:sz w:val="18"/>
                <w:szCs w:val="18"/>
                <w:lang w:val="en-US"/>
              </w:rPr>
              <w:t>SA</w:t>
            </w:r>
            <w:r w:rsidRPr="001C51AF">
              <w:rPr>
                <w:b/>
                <w:bCs/>
                <w:i/>
                <w:sz w:val="18"/>
                <w:szCs w:val="18"/>
                <w:vertAlign w:val="subscript"/>
                <w:lang w:val="en-US"/>
              </w:rPr>
              <w:t>s</w:t>
            </w:r>
            <w:r w:rsidRPr="001C51AF">
              <w:rPr>
                <w:b/>
                <w:bCs/>
                <w:i/>
                <w:sz w:val="18"/>
                <w:szCs w:val="18"/>
                <w:lang w:val="en-US"/>
              </w:rPr>
              <w:t xml:space="preserve"> (</w:t>
            </w:r>
            <w:proofErr w:type="spellStart"/>
            <w:r w:rsidRPr="001C51AF">
              <w:rPr>
                <w:b/>
                <w:bCs/>
                <w:i/>
                <w:sz w:val="18"/>
                <w:szCs w:val="18"/>
                <w:lang w:val="en-US"/>
              </w:rPr>
              <w:t>i</w:t>
            </w:r>
            <w:proofErr w:type="spellEnd"/>
            <w:r w:rsidRPr="001C51AF">
              <w:rPr>
                <w:b/>
                <w:bCs/>
                <w:i/>
                <w:sz w:val="18"/>
                <w:szCs w:val="18"/>
                <w:lang w:val="en-US"/>
              </w:rPr>
              <w:t>)</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soil</w:t>
            </w:r>
            <w:r w:rsidRPr="00E55C4E">
              <w:rPr>
                <w:rStyle w:val="tlid-translation"/>
                <w:sz w:val="18"/>
                <w:szCs w:val="18"/>
                <w:lang w:val="en"/>
              </w:rPr>
              <w:t xml:space="preserve"> for age group </w:t>
            </w:r>
            <w:proofErr w:type="spellStart"/>
            <w:r w:rsidRPr="00E55C4E">
              <w:rPr>
                <w:rStyle w:val="tlid-translation"/>
                <w:i/>
                <w:iCs/>
                <w:sz w:val="18"/>
                <w:szCs w:val="18"/>
                <w:lang w:val="en"/>
              </w:rPr>
              <w:t>i</w:t>
            </w:r>
            <w:proofErr w:type="spellEnd"/>
            <w:r w:rsidRPr="00E55C4E">
              <w:rPr>
                <w:sz w:val="18"/>
                <w:szCs w:val="18"/>
                <w:lang w:val="en-US"/>
              </w:rPr>
              <w:t xml:space="preserve"> (cm</w:t>
            </w:r>
            <w:r w:rsidRPr="00E55C4E">
              <w:rPr>
                <w:sz w:val="18"/>
                <w:szCs w:val="18"/>
                <w:vertAlign w:val="superscript"/>
                <w:lang w:val="en-US"/>
              </w:rPr>
              <w:t>2</w:t>
            </w:r>
            <w:r w:rsidRPr="00E55C4E">
              <w:rPr>
                <w:sz w:val="18"/>
                <w:szCs w:val="18"/>
                <w:lang w:val="en-US"/>
              </w:rPr>
              <w:t>);</w:t>
            </w:r>
            <w:r w:rsidRPr="00E55C4E">
              <w:rPr>
                <w:i/>
                <w:sz w:val="18"/>
                <w:szCs w:val="18"/>
                <w:lang w:val="en-US"/>
              </w:rPr>
              <w:t xml:space="preserve"> </w:t>
            </w:r>
            <w:r w:rsidRPr="001C51AF">
              <w:rPr>
                <w:b/>
                <w:bCs/>
                <w:i/>
                <w:sz w:val="18"/>
                <w:szCs w:val="18"/>
                <w:lang w:val="en-US"/>
              </w:rPr>
              <w:t>AF (</w:t>
            </w:r>
            <w:proofErr w:type="spellStart"/>
            <w:r w:rsidRPr="001C51AF">
              <w:rPr>
                <w:b/>
                <w:bCs/>
                <w:i/>
                <w:sz w:val="18"/>
                <w:szCs w:val="18"/>
                <w:lang w:val="en-US"/>
              </w:rPr>
              <w:t>i</w:t>
            </w:r>
            <w:proofErr w:type="spellEnd"/>
            <w:r w:rsidRPr="001C51AF">
              <w:rPr>
                <w:b/>
                <w:bCs/>
                <w:i/>
                <w:sz w:val="18"/>
                <w:szCs w:val="18"/>
                <w:lang w:val="en-US"/>
              </w:rPr>
              <w:t>)</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 xml:space="preserve">oil adherence factor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i/>
                <w:iCs/>
                <w:sz w:val="18"/>
                <w:szCs w:val="18"/>
                <w:lang w:val="en-US"/>
              </w:rPr>
              <w:t xml:space="preserve"> </w:t>
            </w:r>
            <w:r w:rsidRPr="00E55C4E">
              <w:rPr>
                <w:sz w:val="18"/>
                <w:szCs w:val="18"/>
                <w:lang w:val="en-US"/>
              </w:rPr>
              <w:t>(mg cm</w:t>
            </w:r>
            <w:r w:rsidRPr="00E55C4E">
              <w:rPr>
                <w:sz w:val="18"/>
                <w:szCs w:val="18"/>
                <w:vertAlign w:val="superscript"/>
                <w:lang w:val="en-US"/>
              </w:rPr>
              <w:t>-2</w:t>
            </w:r>
            <w:r w:rsidRPr="00E55C4E">
              <w:rPr>
                <w:sz w:val="18"/>
                <w:szCs w:val="18"/>
                <w:lang w:val="en-US"/>
              </w:rPr>
              <w:t xml:space="preserve"> event</w:t>
            </w:r>
            <w:r w:rsidRPr="00E55C4E">
              <w:rPr>
                <w:sz w:val="18"/>
                <w:szCs w:val="18"/>
                <w:vertAlign w:val="superscript"/>
                <w:lang w:val="en-US"/>
              </w:rPr>
              <w:t>-1</w:t>
            </w:r>
            <w:r w:rsidRPr="00E55C4E">
              <w:rPr>
                <w:sz w:val="18"/>
                <w:szCs w:val="18"/>
                <w:lang w:val="en-US"/>
              </w:rPr>
              <w:t xml:space="preserve">); </w:t>
            </w:r>
            <w:r w:rsidRPr="001C51AF">
              <w:rPr>
                <w:b/>
                <w:bCs/>
                <w:i/>
                <w:sz w:val="18"/>
                <w:szCs w:val="18"/>
                <w:lang w:val="en-US"/>
              </w:rPr>
              <w:t>ABS</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D</w:t>
            </w:r>
            <w:r w:rsidRPr="00E55C4E">
              <w:rPr>
                <w:sz w:val="18"/>
                <w:szCs w:val="18"/>
                <w:lang w:val="en-US"/>
              </w:rPr>
              <w:t xml:space="preserve">ermal absorption fraction; </w:t>
            </w:r>
            <w:r w:rsidRPr="001C51AF">
              <w:rPr>
                <w:b/>
                <w:bCs/>
                <w:i/>
                <w:sz w:val="18"/>
                <w:szCs w:val="18"/>
                <w:lang w:val="en-US"/>
              </w:rPr>
              <w:t>EV</w:t>
            </w:r>
            <w:r w:rsidRPr="001C51AF">
              <w:rPr>
                <w:b/>
                <w:bCs/>
                <w:i/>
                <w:sz w:val="18"/>
                <w:szCs w:val="18"/>
                <w:vertAlign w:val="subscript"/>
                <w:lang w:val="en-US"/>
              </w:rPr>
              <w:t>s</w:t>
            </w:r>
            <w:r w:rsidRPr="001C51AF">
              <w:rPr>
                <w:b/>
                <w:bCs/>
                <w:i/>
                <w:sz w:val="18"/>
                <w:szCs w:val="18"/>
                <w:lang w:val="en-US"/>
              </w:rPr>
              <w:t xml:space="preserve"> (</w:t>
            </w:r>
            <w:proofErr w:type="spellStart"/>
            <w:r w:rsidRPr="001C51AF">
              <w:rPr>
                <w:b/>
                <w:bCs/>
                <w:i/>
                <w:sz w:val="18"/>
                <w:szCs w:val="18"/>
                <w:lang w:val="en-US"/>
              </w:rPr>
              <w:t>i</w:t>
            </w:r>
            <w:proofErr w:type="spellEnd"/>
            <w:r w:rsidRPr="001C51AF">
              <w:rPr>
                <w:b/>
                <w:bCs/>
                <w:i/>
                <w:sz w:val="18"/>
                <w:szCs w:val="18"/>
                <w:lang w:val="en-US"/>
              </w:rPr>
              <w:t>)</w:t>
            </w:r>
            <w:r>
              <w:rPr>
                <w:sz w:val="18"/>
                <w:szCs w:val="18"/>
                <w:lang w:val="en-US"/>
              </w:rPr>
              <w:t xml:space="preserve"> =</w:t>
            </w:r>
            <w:r w:rsidRPr="00E55C4E">
              <w:rPr>
                <w:sz w:val="18"/>
                <w:szCs w:val="18"/>
                <w:lang w:val="en-US"/>
              </w:rPr>
              <w:t xml:space="preserve">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4EC2041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2544790C" w14:textId="77777777" w:rsidTr="00CD43EB">
        <w:trPr>
          <w:trHeight w:val="512"/>
          <w:jc w:val="center"/>
        </w:trPr>
        <w:tc>
          <w:tcPr>
            <w:tcW w:w="2268" w:type="dxa"/>
            <w:tcBorders>
              <w:top w:val="single" w:sz="4" w:space="0" w:color="auto"/>
              <w:bottom w:val="double" w:sz="4" w:space="0" w:color="auto"/>
            </w:tcBorders>
            <w:vAlign w:val="center"/>
          </w:tcPr>
          <w:p w14:paraId="12FD3E44" w14:textId="77777777" w:rsidR="007108AD" w:rsidRDefault="007108AD" w:rsidP="0089019C">
            <w:pPr>
              <w:spacing w:line="360" w:lineRule="auto"/>
              <w:jc w:val="center"/>
              <w:rPr>
                <w:i/>
                <w:iCs/>
                <w:sz w:val="20"/>
                <w:szCs w:val="20"/>
                <w:lang w:val="en-US"/>
              </w:rPr>
            </w:pPr>
            <w:r w:rsidRPr="001C51AF">
              <w:rPr>
                <w:rStyle w:val="tlid-translation"/>
                <w:sz w:val="20"/>
                <w:szCs w:val="20"/>
                <w:lang w:val="en-US"/>
              </w:rPr>
              <w:t>Daily chemical species absorption dose by dermal contact</w:t>
            </w:r>
            <w:r w:rsidRPr="001C51AF">
              <w:rPr>
                <w:rFonts w:eastAsiaTheme="minorEastAsia"/>
                <w:sz w:val="20"/>
                <w:szCs w:val="20"/>
                <w:lang w:val="en-US"/>
              </w:rPr>
              <w:t xml:space="preserve"> with </w:t>
            </w:r>
            <w:r>
              <w:rPr>
                <w:rFonts w:eastAsiaTheme="minorEastAsia"/>
                <w:sz w:val="20"/>
                <w:szCs w:val="20"/>
                <w:lang w:val="en-US"/>
              </w:rPr>
              <w:t xml:space="preserve">water </w:t>
            </w:r>
            <w:r w:rsidRPr="00307854">
              <w:rPr>
                <w:sz w:val="20"/>
                <w:szCs w:val="20"/>
                <w:lang w:val="en-US"/>
              </w:rPr>
              <w:t xml:space="preserve">for initial age </w:t>
            </w:r>
            <w:r w:rsidRPr="00307854">
              <w:rPr>
                <w:i/>
                <w:iCs/>
                <w:sz w:val="20"/>
                <w:szCs w:val="20"/>
                <w:lang w:val="en-US"/>
              </w:rPr>
              <w:t>IA</w:t>
            </w:r>
          </w:p>
          <w:p w14:paraId="184A7486" w14:textId="77777777" w:rsidR="007108AD" w:rsidRPr="00B16F85" w:rsidRDefault="007108AD" w:rsidP="0089019C">
            <w:pPr>
              <w:spacing w:line="360" w:lineRule="auto"/>
              <w:jc w:val="center"/>
              <w:rPr>
                <w:rStyle w:val="tlid-translation"/>
                <w:b/>
                <w:sz w:val="20"/>
                <w:szCs w:val="20"/>
                <w:lang w:val="en-US"/>
              </w:rPr>
            </w:pPr>
            <w:r w:rsidRPr="001C51AF">
              <w:rPr>
                <w:rFonts w:eastAsiaTheme="minorEastAsia"/>
                <w:sz w:val="20"/>
                <w:szCs w:val="20"/>
                <w:lang w:val="en-US"/>
              </w:rPr>
              <w:t xml:space="preserve"> (mg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double" w:sz="4" w:space="0" w:color="auto"/>
            </w:tcBorders>
            <w:vAlign w:val="center"/>
          </w:tcPr>
          <w:p w14:paraId="7B64E688" w14:textId="2356DEEE" w:rsidR="007108AD" w:rsidRPr="001C51AF" w:rsidRDefault="00A10B4C" w:rsidP="0089019C">
            <w:pPr>
              <w:spacing w:line="360" w:lineRule="auto"/>
              <w:jc w:val="center"/>
              <w:rPr>
                <w:rStyle w:val="tlid-translation"/>
                <w:color w:val="000000" w:themeColor="text1"/>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der_w</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w</m:t>
                            </m:r>
                          </m:sub>
                        </m:sSub>
                        <m:r>
                          <w:rPr>
                            <w:rFonts w:ascii="Cambria Math" w:hAnsi="Cambria Math"/>
                            <w:sz w:val="18"/>
                            <w:szCs w:val="18"/>
                            <w:lang w:val="en-US"/>
                          </w:rPr>
                          <m:t>(i)∙PC∙</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w</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(4)</m:t>
                </m:r>
              </m:oMath>
            </m:oMathPara>
          </w:p>
        </w:tc>
        <w:tc>
          <w:tcPr>
            <w:tcW w:w="5514" w:type="dxa"/>
            <w:gridSpan w:val="2"/>
            <w:tcBorders>
              <w:top w:val="single" w:sz="4" w:space="0" w:color="auto"/>
              <w:bottom w:val="double" w:sz="4" w:space="0" w:color="auto"/>
            </w:tcBorders>
            <w:vAlign w:val="center"/>
          </w:tcPr>
          <w:p w14:paraId="68ECF5E6" w14:textId="77777777" w:rsidR="007108AD" w:rsidRPr="00EB4901" w:rsidRDefault="007108AD" w:rsidP="0089019C">
            <w:pPr>
              <w:spacing w:line="360" w:lineRule="auto"/>
              <w:jc w:val="center"/>
              <w:rPr>
                <w:rStyle w:val="tlid-translation"/>
                <w:color w:val="000000" w:themeColor="text1"/>
                <w:sz w:val="20"/>
                <w:szCs w:val="20"/>
                <w:lang w:val="en-US"/>
              </w:rPr>
            </w:pPr>
            <w:r w:rsidRPr="00356855">
              <w:rPr>
                <w:rFonts w:eastAsiaTheme="minorEastAsia"/>
                <w:b/>
                <w:bCs/>
                <w:i/>
                <w:sz w:val="18"/>
                <w:szCs w:val="18"/>
                <w:lang w:val="en-US"/>
              </w:rPr>
              <w:t>CF</w:t>
            </w:r>
            <w:r w:rsidRPr="00356855">
              <w:rPr>
                <w:rFonts w:eastAsiaTheme="minorEastAsia"/>
                <w:b/>
                <w:bCs/>
                <w:i/>
                <w:sz w:val="18"/>
                <w:szCs w:val="18"/>
                <w:vertAlign w:val="subscript"/>
                <w:lang w:val="en-US"/>
              </w:rPr>
              <w:t>3</w:t>
            </w:r>
            <w:r w:rsidRPr="00356855">
              <w:rPr>
                <w:rFonts w:eastAsiaTheme="minorEastAsia"/>
                <w:b/>
                <w:bCs/>
                <w:sz w:val="18"/>
                <w:szCs w:val="18"/>
                <w:lang w:val="en-US"/>
              </w:rPr>
              <w:t xml:space="preserve"> </w:t>
            </w:r>
            <w:r>
              <w:rPr>
                <w:rFonts w:eastAsiaTheme="minorEastAsia"/>
                <w:b/>
                <w:bCs/>
                <w:sz w:val="18"/>
                <w:szCs w:val="18"/>
                <w:lang w:val="en-US"/>
              </w:rPr>
              <w:t>=</w:t>
            </w:r>
            <w:r w:rsidRPr="00E55C4E">
              <w:rPr>
                <w:rFonts w:eastAsiaTheme="minorEastAsia"/>
                <w:sz w:val="18"/>
                <w:szCs w:val="18"/>
                <w:lang w:val="en-US"/>
              </w:rPr>
              <w:t xml:space="preserve"> </w:t>
            </w:r>
            <w:r>
              <w:rPr>
                <w:rFonts w:eastAsiaTheme="minorEastAsia"/>
                <w:sz w:val="18"/>
                <w:szCs w:val="18"/>
                <w:lang w:val="en-US"/>
              </w:rPr>
              <w:t>V</w:t>
            </w:r>
            <w:r w:rsidRPr="00E55C4E">
              <w:rPr>
                <w:rFonts w:eastAsiaTheme="minorEastAsia"/>
                <w:sz w:val="18"/>
                <w:szCs w:val="18"/>
                <w:lang w:val="en-US"/>
              </w:rPr>
              <w:t>olumetric conversion factor (L cm</w:t>
            </w:r>
            <w:r w:rsidRPr="00E55C4E">
              <w:rPr>
                <w:rFonts w:eastAsiaTheme="minorEastAsia"/>
                <w:sz w:val="18"/>
                <w:szCs w:val="18"/>
                <w:vertAlign w:val="superscript"/>
                <w:lang w:val="en-US"/>
              </w:rPr>
              <w:t>-3</w:t>
            </w:r>
            <w:r w:rsidRPr="00E55C4E">
              <w:rPr>
                <w:rFonts w:eastAsiaTheme="minorEastAsia"/>
                <w:sz w:val="18"/>
                <w:szCs w:val="18"/>
                <w:lang w:val="en-US"/>
              </w:rPr>
              <w:t>);</w:t>
            </w:r>
            <w:r w:rsidRPr="00E55C4E">
              <w:rPr>
                <w:sz w:val="18"/>
                <w:szCs w:val="18"/>
                <w:lang w:val="en-US"/>
              </w:rPr>
              <w:t xml:space="preserve"> </w:t>
            </w:r>
            <w:proofErr w:type="spellStart"/>
            <w:r w:rsidRPr="00356855">
              <w:rPr>
                <w:b/>
                <w:bCs/>
                <w:i/>
                <w:sz w:val="18"/>
                <w:szCs w:val="18"/>
                <w:lang w:val="en-US"/>
              </w:rPr>
              <w:t>SA</w:t>
            </w:r>
            <w:r w:rsidRPr="00356855">
              <w:rPr>
                <w:b/>
                <w:bCs/>
                <w:i/>
                <w:sz w:val="18"/>
                <w:szCs w:val="18"/>
                <w:vertAlign w:val="subscript"/>
                <w:lang w:val="en-US"/>
              </w:rPr>
              <w:t>w</w:t>
            </w:r>
            <w:proofErr w:type="spellEnd"/>
            <w:r w:rsidRPr="00356855">
              <w:rPr>
                <w:b/>
                <w:bCs/>
                <w:i/>
                <w:sz w:val="18"/>
                <w:szCs w:val="18"/>
                <w:lang w:val="en-US"/>
              </w:rPr>
              <w:t xml:space="preserve"> (</w:t>
            </w:r>
            <w:proofErr w:type="spellStart"/>
            <w:r w:rsidRPr="00356855">
              <w:rPr>
                <w:b/>
                <w:bCs/>
                <w:i/>
                <w:sz w:val="18"/>
                <w:szCs w:val="18"/>
                <w:lang w:val="en-US"/>
              </w:rPr>
              <w:t>i</w:t>
            </w:r>
            <w:proofErr w:type="spellEnd"/>
            <w:r w:rsidRPr="00356855">
              <w:rPr>
                <w:b/>
                <w:bCs/>
                <w:i/>
                <w:sz w:val="18"/>
                <w:szCs w:val="18"/>
                <w:lang w:val="en-US"/>
              </w:rPr>
              <w:t>)</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water while swimming</w:t>
            </w:r>
            <w:r>
              <w:rPr>
                <w:sz w:val="18"/>
                <w:szCs w:val="18"/>
                <w:lang w:val="en-US"/>
              </w:rPr>
              <w:t xml:space="preserve"> or showering</w:t>
            </w:r>
            <w:r w:rsidRPr="00E55C4E">
              <w:rPr>
                <w:rStyle w:val="tlid-translation"/>
                <w:sz w:val="18"/>
                <w:szCs w:val="18"/>
                <w:lang w:val="en"/>
              </w:rPr>
              <w:t xml:space="preserve"> for age group </w:t>
            </w:r>
            <w:proofErr w:type="spellStart"/>
            <w:r w:rsidRPr="00E55C4E">
              <w:rPr>
                <w:rStyle w:val="tlid-translation"/>
                <w:i/>
                <w:iCs/>
                <w:sz w:val="18"/>
                <w:szCs w:val="18"/>
                <w:lang w:val="en"/>
              </w:rPr>
              <w:t>i</w:t>
            </w:r>
            <w:proofErr w:type="spellEnd"/>
            <w:r w:rsidRPr="00E55C4E">
              <w:rPr>
                <w:sz w:val="18"/>
                <w:szCs w:val="18"/>
                <w:lang w:val="en-US"/>
              </w:rPr>
              <w:t xml:space="preserve"> (cm</w:t>
            </w:r>
            <w:r w:rsidRPr="00E55C4E">
              <w:rPr>
                <w:sz w:val="18"/>
                <w:szCs w:val="18"/>
                <w:vertAlign w:val="superscript"/>
                <w:lang w:val="en-US"/>
              </w:rPr>
              <w:t>2</w:t>
            </w:r>
            <w:r w:rsidRPr="00E55C4E">
              <w:rPr>
                <w:sz w:val="18"/>
                <w:szCs w:val="18"/>
                <w:lang w:val="en-US"/>
              </w:rPr>
              <w:t xml:space="preserve">); </w:t>
            </w:r>
            <w:r w:rsidRPr="00244BA2">
              <w:rPr>
                <w:rStyle w:val="tlid-translation"/>
                <w:b/>
                <w:bCs/>
                <w:i/>
                <w:sz w:val="18"/>
                <w:szCs w:val="18"/>
                <w:lang w:val="en-US"/>
              </w:rPr>
              <w:t>PC</w:t>
            </w:r>
            <w:r w:rsidRPr="00E55C4E">
              <w:rPr>
                <w:rStyle w:val="tlid-translation"/>
                <w:sz w:val="18"/>
                <w:szCs w:val="18"/>
                <w:lang w:val="en-US"/>
              </w:rPr>
              <w:t xml:space="preserve"> </w:t>
            </w:r>
            <w:r>
              <w:rPr>
                <w:rStyle w:val="tlid-translation"/>
                <w:sz w:val="18"/>
                <w:szCs w:val="18"/>
                <w:lang w:val="en-US"/>
              </w:rPr>
              <w:t>= D</w:t>
            </w:r>
            <w:r w:rsidRPr="00E55C4E">
              <w:rPr>
                <w:rStyle w:val="tlid-translation"/>
                <w:sz w:val="18"/>
                <w:szCs w:val="18"/>
                <w:lang w:val="en-US"/>
              </w:rPr>
              <w:t>ermal permeability of the chemical species (cm h</w:t>
            </w:r>
            <w:r w:rsidRPr="00E55C4E">
              <w:rPr>
                <w:rStyle w:val="tlid-translation"/>
                <w:sz w:val="18"/>
                <w:szCs w:val="18"/>
                <w:vertAlign w:val="superscript"/>
                <w:lang w:val="en-US"/>
              </w:rPr>
              <w:t>-1</w:t>
            </w:r>
            <w:r w:rsidRPr="00E55C4E">
              <w:rPr>
                <w:rStyle w:val="tlid-translation"/>
                <w:sz w:val="18"/>
                <w:szCs w:val="18"/>
                <w:lang w:val="en-US"/>
              </w:rPr>
              <w:t>);</w:t>
            </w:r>
            <w:r w:rsidRPr="00E55C4E">
              <w:rPr>
                <w:i/>
                <w:sz w:val="18"/>
                <w:szCs w:val="18"/>
                <w:lang w:val="en-US"/>
              </w:rPr>
              <w:t xml:space="preserve"> </w:t>
            </w:r>
            <w:proofErr w:type="spellStart"/>
            <w:r w:rsidRPr="00244BA2">
              <w:rPr>
                <w:b/>
                <w:bCs/>
                <w:i/>
                <w:sz w:val="18"/>
                <w:szCs w:val="18"/>
                <w:lang w:val="en-US"/>
              </w:rPr>
              <w:t>ET</w:t>
            </w:r>
            <w:r w:rsidRPr="00244BA2">
              <w:rPr>
                <w:b/>
                <w:bCs/>
                <w:i/>
                <w:sz w:val="18"/>
                <w:szCs w:val="18"/>
                <w:vertAlign w:val="subscript"/>
                <w:lang w:val="en-US"/>
              </w:rPr>
              <w:t>w</w:t>
            </w:r>
            <w:proofErr w:type="spellEnd"/>
            <w:r w:rsidRPr="00244BA2">
              <w:rPr>
                <w:b/>
                <w:bCs/>
                <w:i/>
                <w:sz w:val="18"/>
                <w:szCs w:val="18"/>
                <w:lang w:val="en-US"/>
              </w:rPr>
              <w:t xml:space="preserve"> (</w:t>
            </w:r>
            <w:proofErr w:type="spellStart"/>
            <w:r w:rsidRPr="00244BA2">
              <w:rPr>
                <w:b/>
                <w:bCs/>
                <w:i/>
                <w:sz w:val="18"/>
                <w:szCs w:val="18"/>
                <w:lang w:val="en-US"/>
              </w:rPr>
              <w:t>i</w:t>
            </w:r>
            <w:proofErr w:type="spellEnd"/>
            <w:r w:rsidRPr="00244BA2">
              <w:rPr>
                <w:b/>
                <w:bCs/>
                <w:i/>
                <w:sz w:val="18"/>
                <w:szCs w:val="18"/>
                <w:lang w:val="en-US"/>
              </w:rPr>
              <w:t>)</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W</w:t>
            </w:r>
            <w:r w:rsidRPr="00E55C4E">
              <w:rPr>
                <w:sz w:val="18"/>
                <w:szCs w:val="18"/>
                <w:lang w:val="en-US"/>
              </w:rPr>
              <w:t>ater exposure time while swimming</w:t>
            </w:r>
            <w:r>
              <w:rPr>
                <w:sz w:val="18"/>
                <w:szCs w:val="18"/>
                <w:lang w:val="en-US"/>
              </w:rPr>
              <w:t xml:space="preserve"> or showering</w:t>
            </w:r>
            <w:r w:rsidRPr="00E55C4E">
              <w:rPr>
                <w:sz w:val="18"/>
                <w:szCs w:val="18"/>
                <w:lang w:val="en-US"/>
              </w:rPr>
              <w:t xml:space="preserve">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i/>
                <w:iCs/>
                <w:sz w:val="18"/>
                <w:szCs w:val="18"/>
                <w:lang w:val="en-US"/>
              </w:rPr>
              <w:t xml:space="preserve"> </w:t>
            </w:r>
            <w:r w:rsidRPr="00E55C4E">
              <w:rPr>
                <w:sz w:val="18"/>
                <w:szCs w:val="18"/>
                <w:lang w:val="en-US"/>
              </w:rPr>
              <w:t>(h event</w:t>
            </w:r>
            <w:r w:rsidRPr="00E55C4E">
              <w:rPr>
                <w:sz w:val="18"/>
                <w:szCs w:val="18"/>
                <w:vertAlign w:val="superscript"/>
                <w:lang w:val="en-US"/>
              </w:rPr>
              <w:t>-1</w:t>
            </w:r>
            <w:r w:rsidRPr="00E55C4E">
              <w:rPr>
                <w:sz w:val="18"/>
                <w:szCs w:val="18"/>
                <w:lang w:val="en-US"/>
              </w:rPr>
              <w:t xml:space="preserve">); </w:t>
            </w:r>
            <w:proofErr w:type="spellStart"/>
            <w:r w:rsidRPr="00244BA2">
              <w:rPr>
                <w:b/>
                <w:bCs/>
                <w:i/>
                <w:sz w:val="18"/>
                <w:szCs w:val="18"/>
                <w:lang w:val="en-US"/>
              </w:rPr>
              <w:t>EV</w:t>
            </w:r>
            <w:r w:rsidRPr="00244BA2">
              <w:rPr>
                <w:b/>
                <w:bCs/>
                <w:i/>
                <w:sz w:val="18"/>
                <w:szCs w:val="18"/>
                <w:vertAlign w:val="subscript"/>
                <w:lang w:val="en-US"/>
              </w:rPr>
              <w:t>w</w:t>
            </w:r>
            <w:proofErr w:type="spellEnd"/>
            <w:r w:rsidRPr="00244BA2">
              <w:rPr>
                <w:b/>
                <w:bCs/>
                <w:i/>
                <w:sz w:val="18"/>
                <w:szCs w:val="18"/>
                <w:lang w:val="en-US"/>
              </w:rPr>
              <w:t xml:space="preserve"> (</w:t>
            </w:r>
            <w:proofErr w:type="spellStart"/>
            <w:r w:rsidRPr="00244BA2">
              <w:rPr>
                <w:b/>
                <w:bCs/>
                <w:i/>
                <w:sz w:val="18"/>
                <w:szCs w:val="18"/>
                <w:lang w:val="en-US"/>
              </w:rPr>
              <w:t>i</w:t>
            </w:r>
            <w:proofErr w:type="spellEnd"/>
            <w:r w:rsidRPr="00244BA2">
              <w:rPr>
                <w:b/>
                <w:bCs/>
                <w:i/>
                <w:sz w:val="18"/>
                <w:szCs w:val="18"/>
                <w:lang w:val="en-US"/>
              </w:rPr>
              <w:t>)</w:t>
            </w:r>
            <w:r>
              <w:rPr>
                <w:b/>
                <w:bCs/>
                <w:i/>
                <w:sz w:val="18"/>
                <w:szCs w:val="18"/>
                <w:lang w:val="en-US"/>
              </w:rPr>
              <w:t xml:space="preserve"> </w:t>
            </w:r>
            <w:r>
              <w:rPr>
                <w:sz w:val="18"/>
                <w:szCs w:val="18"/>
                <w:lang w:val="en-US"/>
              </w:rPr>
              <w:t xml:space="preserve">= </w:t>
            </w:r>
            <w:r w:rsidRPr="00C86949">
              <w:rPr>
                <w:sz w:val="18"/>
                <w:szCs w:val="18"/>
                <w:lang w:val="en-US"/>
              </w:rPr>
              <w:t xml:space="preserve">Swimming or showering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double" w:sz="4" w:space="0" w:color="auto"/>
            </w:tcBorders>
            <w:vAlign w:val="center"/>
          </w:tcPr>
          <w:p w14:paraId="65A27A8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798A76E5" w14:textId="77777777" w:rsidTr="00CD43EB">
        <w:trPr>
          <w:trHeight w:val="70"/>
          <w:jc w:val="center"/>
        </w:trPr>
        <w:tc>
          <w:tcPr>
            <w:tcW w:w="2268" w:type="dxa"/>
            <w:tcBorders>
              <w:top w:val="double" w:sz="4" w:space="0" w:color="auto"/>
            </w:tcBorders>
            <w:vAlign w:val="center"/>
          </w:tcPr>
          <w:p w14:paraId="4EE48492" w14:textId="77777777" w:rsidR="007108AD" w:rsidRPr="00B16F85" w:rsidRDefault="007108AD" w:rsidP="0089019C">
            <w:pPr>
              <w:spacing w:line="360" w:lineRule="auto"/>
              <w:jc w:val="center"/>
              <w:rPr>
                <w:rStyle w:val="tlid-translation"/>
                <w:b/>
                <w:sz w:val="20"/>
                <w:szCs w:val="20"/>
                <w:lang w:val="en-US"/>
              </w:rPr>
            </w:pPr>
          </w:p>
        </w:tc>
        <w:tc>
          <w:tcPr>
            <w:tcW w:w="6566" w:type="dxa"/>
            <w:gridSpan w:val="2"/>
            <w:tcBorders>
              <w:top w:val="double" w:sz="4" w:space="0" w:color="auto"/>
            </w:tcBorders>
            <w:vAlign w:val="center"/>
          </w:tcPr>
          <w:p w14:paraId="2FBEAC42" w14:textId="77777777" w:rsidR="007108AD" w:rsidRPr="00EB4901" w:rsidRDefault="007108AD" w:rsidP="0089019C">
            <w:pPr>
              <w:spacing w:line="360" w:lineRule="auto"/>
              <w:jc w:val="center"/>
              <w:rPr>
                <w:rStyle w:val="tlid-translation"/>
                <w:color w:val="000000" w:themeColor="text1"/>
                <w:sz w:val="20"/>
                <w:szCs w:val="20"/>
                <w:vertAlign w:val="superscript"/>
                <w:lang w:val="en-US"/>
              </w:rPr>
            </w:pPr>
          </w:p>
        </w:tc>
        <w:tc>
          <w:tcPr>
            <w:tcW w:w="5514" w:type="dxa"/>
            <w:gridSpan w:val="2"/>
            <w:tcBorders>
              <w:top w:val="double" w:sz="4" w:space="0" w:color="auto"/>
            </w:tcBorders>
            <w:vAlign w:val="center"/>
          </w:tcPr>
          <w:p w14:paraId="40E323F0" w14:textId="77777777" w:rsidR="007108AD" w:rsidRPr="00EB4901" w:rsidRDefault="007108AD" w:rsidP="0089019C">
            <w:pPr>
              <w:spacing w:line="360" w:lineRule="auto"/>
              <w:jc w:val="center"/>
              <w:rPr>
                <w:rStyle w:val="tlid-translation"/>
                <w:color w:val="000000" w:themeColor="text1"/>
                <w:sz w:val="20"/>
                <w:szCs w:val="20"/>
                <w:lang w:val="en-US"/>
              </w:rPr>
            </w:pPr>
          </w:p>
        </w:tc>
        <w:tc>
          <w:tcPr>
            <w:tcW w:w="1138" w:type="dxa"/>
            <w:gridSpan w:val="2"/>
            <w:tcBorders>
              <w:top w:val="double" w:sz="4" w:space="0" w:color="auto"/>
            </w:tcBorders>
            <w:vAlign w:val="center"/>
          </w:tcPr>
          <w:p w14:paraId="64E67E5C" w14:textId="3AD60E5A" w:rsidR="007108AD" w:rsidRPr="00EB4901" w:rsidRDefault="007108AD" w:rsidP="0089019C">
            <w:pPr>
              <w:spacing w:line="360" w:lineRule="auto"/>
              <w:jc w:val="right"/>
              <w:rPr>
                <w:rStyle w:val="tlid-translation"/>
                <w:color w:val="000000" w:themeColor="text1"/>
                <w:sz w:val="20"/>
                <w:szCs w:val="20"/>
                <w:lang w:val="en-US"/>
              </w:rPr>
            </w:pPr>
          </w:p>
        </w:tc>
      </w:tr>
      <w:tr w:rsidR="0074766E" w:rsidRPr="00105CF1" w14:paraId="64399048" w14:textId="77777777" w:rsidTr="00014F53">
        <w:trPr>
          <w:gridAfter w:val="1"/>
          <w:wAfter w:w="35" w:type="dxa"/>
          <w:trHeight w:val="493"/>
          <w:jc w:val="center"/>
        </w:trPr>
        <w:tc>
          <w:tcPr>
            <w:tcW w:w="2268" w:type="dxa"/>
            <w:tcBorders>
              <w:top w:val="double" w:sz="4" w:space="0" w:color="auto"/>
              <w:bottom w:val="double" w:sz="4" w:space="0" w:color="auto"/>
            </w:tcBorders>
            <w:vAlign w:val="center"/>
          </w:tcPr>
          <w:p w14:paraId="5DD52FFD"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79" w:type="dxa"/>
            <w:tcBorders>
              <w:top w:val="double" w:sz="4" w:space="0" w:color="auto"/>
              <w:bottom w:val="double" w:sz="4" w:space="0" w:color="auto"/>
            </w:tcBorders>
            <w:vAlign w:val="center"/>
          </w:tcPr>
          <w:p w14:paraId="569EF565"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670" w:type="dxa"/>
            <w:gridSpan w:val="2"/>
            <w:tcBorders>
              <w:top w:val="double" w:sz="4" w:space="0" w:color="auto"/>
              <w:bottom w:val="double" w:sz="4" w:space="0" w:color="auto"/>
            </w:tcBorders>
            <w:vAlign w:val="center"/>
          </w:tcPr>
          <w:p w14:paraId="2B390087"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4" w:type="dxa"/>
            <w:gridSpan w:val="2"/>
            <w:tcBorders>
              <w:top w:val="double" w:sz="4" w:space="0" w:color="auto"/>
              <w:bottom w:val="double" w:sz="4" w:space="0" w:color="auto"/>
            </w:tcBorders>
            <w:vAlign w:val="center"/>
          </w:tcPr>
          <w:p w14:paraId="44D616E8" w14:textId="77777777" w:rsidR="0074766E" w:rsidRPr="003C1E54" w:rsidRDefault="0074766E"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82716" w:rsidRPr="00E90906" w14:paraId="107147DE" w14:textId="77777777" w:rsidTr="00014F53">
        <w:trPr>
          <w:gridAfter w:val="1"/>
          <w:wAfter w:w="35" w:type="dxa"/>
          <w:trHeight w:val="421"/>
          <w:jc w:val="center"/>
        </w:trPr>
        <w:tc>
          <w:tcPr>
            <w:tcW w:w="15451" w:type="dxa"/>
            <w:gridSpan w:val="6"/>
            <w:tcBorders>
              <w:top w:val="single" w:sz="4" w:space="0" w:color="auto"/>
              <w:bottom w:val="single" w:sz="4" w:space="0" w:color="auto"/>
            </w:tcBorders>
            <w:vAlign w:val="center"/>
          </w:tcPr>
          <w:p w14:paraId="0CAAD31A" w14:textId="2F7F7F32" w:rsidR="00E82716" w:rsidRPr="00172C84" w:rsidRDefault="00E82716" w:rsidP="00E82716">
            <w:pPr>
              <w:jc w:val="center"/>
              <w:rPr>
                <w:rStyle w:val="tlid-translation"/>
                <w:b/>
                <w:bCs/>
                <w:color w:val="000000" w:themeColor="text1"/>
                <w:sz w:val="20"/>
                <w:szCs w:val="20"/>
                <w:lang w:val="en-US"/>
              </w:rPr>
            </w:pPr>
            <w:r w:rsidRPr="00D276F2">
              <w:rPr>
                <w:rFonts w:eastAsia="Times New Roman"/>
                <w:b/>
                <w:bCs/>
                <w:sz w:val="20"/>
                <w:szCs w:val="20"/>
                <w:lang w:val="en-US" w:eastAsia="pt-BR"/>
              </w:rPr>
              <w:t>Doses or exposure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FD1F5F" w:rsidRPr="00EB4901" w14:paraId="7E1D2B8E" w14:textId="77777777" w:rsidTr="0036387C">
        <w:trPr>
          <w:gridAfter w:val="1"/>
          <w:wAfter w:w="35" w:type="dxa"/>
          <w:trHeight w:val="2017"/>
          <w:jc w:val="center"/>
        </w:trPr>
        <w:tc>
          <w:tcPr>
            <w:tcW w:w="2268" w:type="dxa"/>
            <w:tcBorders>
              <w:top w:val="single" w:sz="4" w:space="0" w:color="auto"/>
              <w:bottom w:val="single" w:sz="4" w:space="0" w:color="auto"/>
            </w:tcBorders>
            <w:vAlign w:val="center"/>
          </w:tcPr>
          <w:p w14:paraId="371B2975" w14:textId="07808779" w:rsidR="00FD1F5F" w:rsidRPr="00307854" w:rsidRDefault="00FD1F5F" w:rsidP="00FD1F5F">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t>
            </w:r>
            <w:r>
              <w:rPr>
                <w:rStyle w:val="tlid-translation"/>
                <w:sz w:val="20"/>
                <w:szCs w:val="20"/>
                <w:lang w:val="en-US"/>
              </w:rPr>
              <w:t>food</w:t>
            </w:r>
            <w:r w:rsidRPr="00307854">
              <w:rPr>
                <w:rStyle w:val="tlid-translation"/>
                <w:sz w:val="20"/>
                <w:szCs w:val="20"/>
                <w:lang w:val="en-US"/>
              </w:rPr>
              <w:t xml:space="preserve"> ingestion </w:t>
            </w:r>
            <w:r w:rsidRPr="00307854">
              <w:rPr>
                <w:sz w:val="20"/>
                <w:szCs w:val="20"/>
                <w:lang w:val="en-US"/>
              </w:rPr>
              <w:t xml:space="preserve">for initial age </w:t>
            </w:r>
            <w:r w:rsidRPr="00307854">
              <w:rPr>
                <w:i/>
                <w:iCs/>
                <w:sz w:val="20"/>
                <w:szCs w:val="20"/>
                <w:lang w:val="en-US"/>
              </w:rPr>
              <w:t>IA</w:t>
            </w:r>
          </w:p>
          <w:p w14:paraId="05A2EB31" w14:textId="28123609" w:rsidR="00FD1F5F" w:rsidRPr="006A4B4A" w:rsidRDefault="00FD1F5F" w:rsidP="00FD1F5F">
            <w:pPr>
              <w:spacing w:line="276" w:lineRule="auto"/>
              <w:jc w:val="center"/>
              <w:rPr>
                <w:rStyle w:val="tlid-translation"/>
                <w:rFonts w:eastAsiaTheme="minorEastAsia"/>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79" w:type="dxa"/>
            <w:tcBorders>
              <w:top w:val="single" w:sz="4" w:space="0" w:color="auto"/>
              <w:bottom w:val="single" w:sz="4" w:space="0" w:color="auto"/>
            </w:tcBorders>
            <w:vAlign w:val="center"/>
          </w:tcPr>
          <w:p w14:paraId="562577C3" w14:textId="2CEFDCC2" w:rsidR="00FD1F5F" w:rsidRPr="00FD1F5F" w:rsidRDefault="00A10B4C" w:rsidP="00FD1F5F">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ing_f</m:t>
                    </m:r>
                  </m:sub>
                  <m:sup>
                    <m:r>
                      <w:rPr>
                        <w:rFonts w:ascii="Cambria Math" w:hAnsi="Cambria Math"/>
                        <w:sz w:val="18"/>
                        <w:szCs w:val="18"/>
                      </w:rPr>
                      <m:t>IA</m:t>
                    </m:r>
                  </m:sup>
                </m:sSub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EF</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t</m:t>
                        </m:r>
                      </m:num>
                      <m:den>
                        <m:r>
                          <w:rPr>
                            <w:rFonts w:ascii="Cambria Math" w:hAnsi="Cambria Math"/>
                            <w:sz w:val="18"/>
                            <w:szCs w:val="18"/>
                            <w:lang w:val="en-US"/>
                          </w:rPr>
                          <m:t>BW</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AT</m:t>
                        </m:r>
                      </m:den>
                    </m:f>
                  </m:e>
                </m:nary>
                <m:r>
                  <w:rPr>
                    <w:rFonts w:ascii="Cambria Math" w:eastAsiaTheme="minorEastAsia" w:hAnsi="Cambria Math"/>
                    <w:sz w:val="18"/>
                    <w:szCs w:val="18"/>
                  </w:rPr>
                  <m:t xml:space="preserve">          (5)</m:t>
                </m:r>
              </m:oMath>
            </m:oMathPara>
          </w:p>
        </w:tc>
        <w:tc>
          <w:tcPr>
            <w:tcW w:w="5670" w:type="dxa"/>
            <w:gridSpan w:val="2"/>
            <w:tcBorders>
              <w:top w:val="single" w:sz="4" w:space="0" w:color="auto"/>
              <w:bottom w:val="single" w:sz="4" w:space="0" w:color="auto"/>
            </w:tcBorders>
            <w:vAlign w:val="center"/>
          </w:tcPr>
          <w:p w14:paraId="7670602F" w14:textId="44CF3800" w:rsidR="00FD1F5F" w:rsidRPr="00E55C4E" w:rsidRDefault="00FD1F5F" w:rsidP="00FD1F5F">
            <w:pPr>
              <w:spacing w:line="360" w:lineRule="auto"/>
              <w:jc w:val="center"/>
              <w:rPr>
                <w:b/>
                <w:bCs/>
                <w:i/>
                <w:sz w:val="18"/>
                <w:szCs w:val="18"/>
                <w:lang w:val="en-US"/>
              </w:rPr>
            </w:pPr>
            <w:proofErr w:type="spellStart"/>
            <w:r w:rsidRPr="00E55C4E">
              <w:rPr>
                <w:b/>
                <w:bCs/>
                <w:i/>
                <w:sz w:val="18"/>
                <w:szCs w:val="18"/>
                <w:lang w:val="en-US"/>
              </w:rPr>
              <w:t>C</w:t>
            </w:r>
            <w:r>
              <w:rPr>
                <w:b/>
                <w:bCs/>
                <w:i/>
                <w:sz w:val="18"/>
                <w:szCs w:val="18"/>
                <w:vertAlign w:val="subscript"/>
                <w:lang w:val="en-US"/>
              </w:rPr>
              <w:t>f</w:t>
            </w:r>
            <w:proofErr w:type="spellEnd"/>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food</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proofErr w:type="spellStart"/>
            <w:r w:rsidRPr="00E55C4E">
              <w:rPr>
                <w:b/>
                <w:bCs/>
                <w:i/>
                <w:sz w:val="18"/>
                <w:szCs w:val="18"/>
                <w:lang w:val="en-US"/>
              </w:rPr>
              <w:t>IR</w:t>
            </w:r>
            <w:r>
              <w:rPr>
                <w:b/>
                <w:bCs/>
                <w:i/>
                <w:sz w:val="18"/>
                <w:szCs w:val="18"/>
                <w:vertAlign w:val="subscript"/>
                <w:lang w:val="en-US"/>
              </w:rPr>
              <w:t>f</w:t>
            </w:r>
            <w:proofErr w:type="spellEnd"/>
            <w:r w:rsidRPr="00E55C4E">
              <w:rPr>
                <w:b/>
                <w:bCs/>
                <w:i/>
                <w:sz w:val="18"/>
                <w:szCs w:val="18"/>
                <w:lang w:val="en-US"/>
              </w:rPr>
              <w:t xml:space="preserve">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w:t>
            </w:r>
            <w:r>
              <w:rPr>
                <w:sz w:val="18"/>
                <w:szCs w:val="18"/>
                <w:lang w:val="en-US"/>
              </w:rPr>
              <w:t>Food</w:t>
            </w:r>
            <w:r w:rsidRPr="00E55C4E">
              <w:rPr>
                <w:sz w:val="18"/>
                <w:szCs w:val="18"/>
                <w:lang w:val="en-US"/>
              </w:rPr>
              <w:t xml:space="preserve"> ingestion rate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proofErr w:type="spellStart"/>
            <w:r w:rsidRPr="00E55C4E">
              <w:rPr>
                <w:b/>
                <w:bCs/>
                <w:i/>
                <w:sz w:val="18"/>
                <w:szCs w:val="18"/>
                <w:lang w:val="en-US"/>
              </w:rPr>
              <w:t>FI</w:t>
            </w:r>
            <w:r>
              <w:rPr>
                <w:b/>
                <w:bCs/>
                <w:i/>
                <w:sz w:val="18"/>
                <w:szCs w:val="18"/>
                <w:vertAlign w:val="subscript"/>
                <w:lang w:val="en-US"/>
              </w:rPr>
              <w:t>f</w:t>
            </w:r>
            <w:proofErr w:type="spellEnd"/>
            <w:r>
              <w:rPr>
                <w:b/>
                <w:bCs/>
                <w:i/>
                <w:sz w:val="18"/>
                <w:szCs w:val="18"/>
                <w:vertAlign w:val="subscript"/>
                <w:lang w:val="en-US"/>
              </w:rPr>
              <w:t xml:space="preserve"> </w:t>
            </w:r>
            <w:r w:rsidRPr="00E55C4E">
              <w:rPr>
                <w:sz w:val="18"/>
                <w:szCs w:val="18"/>
                <w:lang w:val="en-US"/>
              </w:rPr>
              <w:t xml:space="preserve">= Fraction ingested of contaminated </w:t>
            </w:r>
            <w:r>
              <w:rPr>
                <w:sz w:val="18"/>
                <w:szCs w:val="18"/>
                <w:lang w:val="en-US"/>
              </w:rPr>
              <w:t>food</w:t>
            </w:r>
            <w:r w:rsidRPr="00E55C4E">
              <w:rPr>
                <w:sz w:val="18"/>
                <w:szCs w:val="18"/>
                <w:lang w:val="en"/>
              </w:rPr>
              <w:t>;</w:t>
            </w:r>
            <w:r w:rsidRPr="00E55C4E">
              <w:rPr>
                <w:sz w:val="18"/>
                <w:szCs w:val="18"/>
                <w:lang w:val="en-US"/>
              </w:rPr>
              <w:t xml:space="preserve"> </w:t>
            </w:r>
            <w:r w:rsidRPr="00E55C4E">
              <w:rPr>
                <w:b/>
                <w:bCs/>
                <w:i/>
                <w:sz w:val="18"/>
                <w:szCs w:val="18"/>
                <w:lang w:val="en-US"/>
              </w:rPr>
              <w:t>EF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Exposure frequency</w:t>
            </w:r>
            <w:r w:rsidRPr="00E55C4E">
              <w:rPr>
                <w:rStyle w:val="tlid-translation"/>
                <w:sz w:val="18"/>
                <w:szCs w:val="18"/>
                <w:lang w:val="en"/>
              </w:rPr>
              <w:t xml:space="preserve"> for age group </w:t>
            </w:r>
            <w:proofErr w:type="spellStart"/>
            <w:r w:rsidRPr="00E55C4E">
              <w:rPr>
                <w:rStyle w:val="tlid-translation"/>
                <w:i/>
                <w:iCs/>
                <w:sz w:val="18"/>
                <w:szCs w:val="18"/>
                <w:lang w:val="en"/>
              </w:rPr>
              <w:t>i</w:t>
            </w:r>
            <w:proofErr w:type="spellEnd"/>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w:t>
            </w:r>
            <w:proofErr w:type="spellStart"/>
            <w:r w:rsidRPr="00E55C4E">
              <w:rPr>
                <w:b/>
                <w:bCs/>
                <w:i/>
                <w:sz w:val="18"/>
                <w:szCs w:val="18"/>
                <w:lang w:val="en-US"/>
              </w:rPr>
              <w:t>Δt</w:t>
            </w:r>
            <w:proofErr w:type="spellEnd"/>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4" w:type="dxa"/>
            <w:gridSpan w:val="2"/>
            <w:tcBorders>
              <w:top w:val="single" w:sz="4" w:space="0" w:color="auto"/>
              <w:bottom w:val="single" w:sz="4" w:space="0" w:color="auto"/>
            </w:tcBorders>
            <w:vAlign w:val="center"/>
          </w:tcPr>
          <w:p w14:paraId="5026DDF0" w14:textId="7CAA54C9" w:rsidR="00FD1F5F" w:rsidRPr="003C1E54" w:rsidRDefault="00FD1F5F" w:rsidP="00FD1F5F">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E82716" w:rsidRPr="00EB4901" w14:paraId="070596AB" w14:textId="77777777" w:rsidTr="00014F53">
        <w:trPr>
          <w:gridAfter w:val="1"/>
          <w:wAfter w:w="35" w:type="dxa"/>
          <w:trHeight w:val="1831"/>
          <w:jc w:val="center"/>
        </w:trPr>
        <w:tc>
          <w:tcPr>
            <w:tcW w:w="2268" w:type="dxa"/>
            <w:tcBorders>
              <w:top w:val="single" w:sz="4" w:space="0" w:color="auto"/>
              <w:bottom w:val="double" w:sz="4" w:space="0" w:color="auto"/>
            </w:tcBorders>
            <w:vAlign w:val="center"/>
          </w:tcPr>
          <w:p w14:paraId="28A25AD1" w14:textId="77777777" w:rsidR="00E82716" w:rsidRDefault="00E82716" w:rsidP="00E82716">
            <w:pPr>
              <w:spacing w:line="276" w:lineRule="auto"/>
              <w:jc w:val="center"/>
              <w:rPr>
                <w:rStyle w:val="tlid-translation"/>
                <w:rFonts w:eastAsiaTheme="minorEastAsia"/>
                <w:iCs/>
                <w:sz w:val="20"/>
                <w:szCs w:val="20"/>
                <w:lang w:val="en-US"/>
              </w:rPr>
            </w:pPr>
            <w:r w:rsidRPr="006A4B4A">
              <w:rPr>
                <w:rStyle w:val="tlid-translation"/>
                <w:rFonts w:eastAsiaTheme="minorEastAsia"/>
                <w:iCs/>
                <w:sz w:val="20"/>
                <w:szCs w:val="20"/>
                <w:lang w:val="en-US"/>
              </w:rPr>
              <w:t xml:space="preserve">Exposure concentration </w:t>
            </w:r>
            <w:r w:rsidRPr="00307854">
              <w:rPr>
                <w:sz w:val="20"/>
                <w:szCs w:val="20"/>
                <w:lang w:val="en-US"/>
              </w:rPr>
              <w:t xml:space="preserve">for initial age </w:t>
            </w:r>
            <w:r w:rsidRPr="00307854">
              <w:rPr>
                <w:i/>
                <w:iCs/>
                <w:sz w:val="20"/>
                <w:szCs w:val="20"/>
                <w:lang w:val="en-US"/>
              </w:rPr>
              <w:t>IA</w:t>
            </w:r>
          </w:p>
          <w:p w14:paraId="512CD195" w14:textId="7782DB37" w:rsidR="00E82716" w:rsidRPr="00307854" w:rsidRDefault="00E82716" w:rsidP="00E82716">
            <w:pPr>
              <w:spacing w:line="360" w:lineRule="auto"/>
              <w:jc w:val="center"/>
              <w:rPr>
                <w:rStyle w:val="tlid-translation"/>
                <w:b/>
                <w:sz w:val="20"/>
                <w:szCs w:val="20"/>
                <w:vertAlign w:val="superscript"/>
                <w:lang w:val="en-US"/>
              </w:rPr>
            </w:pPr>
            <w:r w:rsidRPr="006A4B4A">
              <w:rPr>
                <w:rStyle w:val="tlid-translation"/>
                <w:rFonts w:eastAsiaTheme="minorEastAsia"/>
                <w:iCs/>
                <w:sz w:val="20"/>
                <w:szCs w:val="20"/>
                <w:lang w:val="en-US"/>
              </w:rPr>
              <w:t>(mg m</w:t>
            </w:r>
            <w:r w:rsidRPr="006A4B4A">
              <w:rPr>
                <w:rStyle w:val="tlid-translation"/>
                <w:rFonts w:eastAsiaTheme="minorEastAsia"/>
                <w:iCs/>
                <w:sz w:val="20"/>
                <w:szCs w:val="20"/>
                <w:vertAlign w:val="superscript"/>
                <w:lang w:val="en-US"/>
              </w:rPr>
              <w:t>-3</w:t>
            </w:r>
            <w:r w:rsidRPr="006A4B4A">
              <w:rPr>
                <w:rStyle w:val="tlid-translation"/>
                <w:rFonts w:eastAsiaTheme="minorEastAsia"/>
                <w:iCs/>
                <w:sz w:val="20"/>
                <w:szCs w:val="20"/>
                <w:lang w:val="en-US"/>
              </w:rPr>
              <w:t>)</w:t>
            </w:r>
          </w:p>
        </w:tc>
        <w:tc>
          <w:tcPr>
            <w:tcW w:w="6379" w:type="dxa"/>
            <w:tcBorders>
              <w:top w:val="single" w:sz="4" w:space="0" w:color="auto"/>
              <w:bottom w:val="double" w:sz="4" w:space="0" w:color="auto"/>
            </w:tcBorders>
            <w:vAlign w:val="center"/>
          </w:tcPr>
          <w:p w14:paraId="3F7110B4" w14:textId="0424467F" w:rsidR="00E82716" w:rsidRPr="001C51AF" w:rsidRDefault="00A10B4C" w:rsidP="00E82716">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EC</m:t>
                    </m:r>
                  </m:e>
                  <m:sup>
                    <m:r>
                      <w:rPr>
                        <w:rFonts w:ascii="Cambria Math" w:hAnsi="Cambria Math"/>
                        <w:sz w:val="18"/>
                        <w:szCs w:val="18"/>
                        <w:lang w:val="en-US"/>
                      </w:rPr>
                      <m:t>IA</m:t>
                    </m:r>
                  </m:sup>
                </m:sSup>
                <m:r>
                  <w:rPr>
                    <w:rFonts w:ascii="Cambria Math" w:hAnsi="Cambria Math"/>
                    <w:sz w:val="18"/>
                    <w:szCs w:val="18"/>
                    <w:lang w:val="en-US"/>
                  </w:rPr>
                  <m:t xml:space="preserve"> (t)=</m:t>
                </m:r>
                <m:nary>
                  <m:naryPr>
                    <m:chr m:val="∑"/>
                    <m:limLoc m:val="undOvr"/>
                    <m:ctrlPr>
                      <w:rPr>
                        <w:rFonts w:ascii="Cambria Math" w:hAnsi="Cambria Math"/>
                        <w:i/>
                        <w:sz w:val="18"/>
                        <w:szCs w:val="18"/>
                        <w:lang w:val="en-US"/>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C</m:t>
                            </m:r>
                            <m:ctrlPr>
                              <w:rPr>
                                <w:rFonts w:ascii="Cambria Math" w:eastAsia="Cambria Math" w:hAnsi="Cambria Math" w:cs="Cambria Math"/>
                                <w:i/>
                                <w:sz w:val="18"/>
                                <w:szCs w:val="18"/>
                                <w:lang w:val="en-US"/>
                              </w:rPr>
                            </m:ctrlPr>
                          </m:e>
                          <m:sub>
                            <m:r>
                              <w:rPr>
                                <w:rFonts w:ascii="Cambria Math" w:hAnsi="Cambria Math"/>
                                <w:sz w:val="18"/>
                                <w:szCs w:val="18"/>
                                <w:lang w:val="en-US"/>
                              </w:rPr>
                              <m:t xml:space="preserve">air </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inh</m:t>
                            </m:r>
                          </m:sub>
                        </m:sSub>
                        <m:r>
                          <w:rPr>
                            <w:rFonts w:ascii="Cambria Math" w:hAnsi="Cambria Math"/>
                            <w:sz w:val="18"/>
                            <w:szCs w:val="18"/>
                            <w:lang w:val="en-US"/>
                          </w:rPr>
                          <m:t xml:space="preserve"> (i)∙EF(i)∙∆t</m:t>
                        </m:r>
                      </m:num>
                      <m:den>
                        <m:sSub>
                          <m:sSubPr>
                            <m:ctrlPr>
                              <w:rPr>
                                <w:rFonts w:ascii="Cambria Math" w:hAnsi="Cambria Math"/>
                                <w:i/>
                                <w:sz w:val="18"/>
                                <w:szCs w:val="18"/>
                                <w:lang w:val="en-US"/>
                              </w:rPr>
                            </m:ctrlPr>
                          </m:sSubPr>
                          <m:e>
                            <m:r>
                              <w:rPr>
                                <w:rFonts w:ascii="Cambria Math" w:hAnsi="Cambria Math"/>
                                <w:sz w:val="18"/>
                                <w:szCs w:val="18"/>
                                <w:lang w:val="en-US"/>
                              </w:rPr>
                              <m:t>AT</m:t>
                            </m:r>
                          </m:e>
                          <m:sub>
                            <m:r>
                              <w:rPr>
                                <w:rFonts w:ascii="Cambria Math" w:hAnsi="Cambria Math"/>
                                <w:sz w:val="18"/>
                                <w:szCs w:val="18"/>
                                <w:lang w:val="en-US"/>
                              </w:rPr>
                              <m:t>h</m:t>
                            </m:r>
                          </m:sub>
                        </m:sSub>
                      </m:den>
                    </m:f>
                  </m:e>
                </m:nary>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6</m:t>
                    </m:r>
                  </m:e>
                </m:d>
              </m:oMath>
            </m:oMathPara>
          </w:p>
        </w:tc>
        <w:tc>
          <w:tcPr>
            <w:tcW w:w="5670" w:type="dxa"/>
            <w:gridSpan w:val="2"/>
            <w:tcBorders>
              <w:top w:val="single" w:sz="4" w:space="0" w:color="auto"/>
              <w:bottom w:val="double" w:sz="4" w:space="0" w:color="auto"/>
            </w:tcBorders>
            <w:vAlign w:val="center"/>
          </w:tcPr>
          <w:p w14:paraId="6F9A9F7B" w14:textId="728B7D1C" w:rsidR="00E82716" w:rsidRPr="00EB4901" w:rsidRDefault="00E82716" w:rsidP="00E82716">
            <w:pPr>
              <w:spacing w:line="360" w:lineRule="auto"/>
              <w:jc w:val="center"/>
              <w:rPr>
                <w:rStyle w:val="tlid-translation"/>
                <w:color w:val="000000" w:themeColor="text1"/>
                <w:sz w:val="20"/>
                <w:szCs w:val="20"/>
                <w:lang w:val="en-US"/>
              </w:rPr>
            </w:pPr>
            <w:proofErr w:type="spellStart"/>
            <w:r w:rsidRPr="00E55C4E">
              <w:rPr>
                <w:b/>
                <w:bCs/>
                <w:i/>
                <w:sz w:val="18"/>
                <w:szCs w:val="18"/>
                <w:lang w:val="en-US"/>
              </w:rPr>
              <w:t>C</w:t>
            </w:r>
            <w:r>
              <w:rPr>
                <w:b/>
                <w:bCs/>
                <w:i/>
                <w:sz w:val="18"/>
                <w:szCs w:val="18"/>
                <w:vertAlign w:val="subscript"/>
                <w:lang w:val="en-US"/>
              </w:rPr>
              <w:t>air</w:t>
            </w:r>
            <w:proofErr w:type="spellEnd"/>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steam or particulate matter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m</w:t>
            </w:r>
            <w:r w:rsidRPr="00E55C4E">
              <w:rPr>
                <w:sz w:val="18"/>
                <w:szCs w:val="18"/>
                <w:vertAlign w:val="superscript"/>
                <w:lang w:val="en-US"/>
              </w:rPr>
              <w:t>-</w:t>
            </w:r>
            <w:r>
              <w:rPr>
                <w:sz w:val="18"/>
                <w:szCs w:val="18"/>
                <w:vertAlign w:val="superscript"/>
                <w:lang w:val="en-US"/>
              </w:rPr>
              <w:t>3</w:t>
            </w:r>
            <w:r w:rsidRPr="00E55C4E">
              <w:rPr>
                <w:sz w:val="18"/>
                <w:szCs w:val="18"/>
                <w:lang w:val="en-US"/>
              </w:rPr>
              <w:t>);</w:t>
            </w:r>
            <w:r>
              <w:rPr>
                <w:sz w:val="18"/>
                <w:szCs w:val="18"/>
                <w:lang w:val="en-US"/>
              </w:rPr>
              <w:t xml:space="preserve"> </w:t>
            </w:r>
            <w:proofErr w:type="spellStart"/>
            <w:r w:rsidRPr="004B60C5">
              <w:rPr>
                <w:b/>
                <w:i/>
                <w:sz w:val="18"/>
                <w:szCs w:val="18"/>
                <w:lang w:val="en-US"/>
              </w:rPr>
              <w:t>ET</w:t>
            </w:r>
            <w:r>
              <w:rPr>
                <w:b/>
                <w:i/>
                <w:sz w:val="18"/>
                <w:szCs w:val="18"/>
                <w:vertAlign w:val="subscript"/>
                <w:lang w:val="en-US"/>
              </w:rPr>
              <w:t>inh</w:t>
            </w:r>
            <w:proofErr w:type="spellEnd"/>
            <w:r w:rsidRPr="004B60C5">
              <w:rPr>
                <w:b/>
                <w:i/>
                <w:sz w:val="18"/>
                <w:szCs w:val="18"/>
                <w:lang w:val="en-US"/>
              </w:rPr>
              <w:t xml:space="preserve"> (</w:t>
            </w:r>
            <w:proofErr w:type="spellStart"/>
            <w:r w:rsidRPr="004B60C5">
              <w:rPr>
                <w:b/>
                <w:i/>
                <w:sz w:val="18"/>
                <w:szCs w:val="18"/>
                <w:lang w:val="en-US"/>
              </w:rPr>
              <w:t>i</w:t>
            </w:r>
            <w:proofErr w:type="spellEnd"/>
            <w:r w:rsidRPr="004B60C5">
              <w:rPr>
                <w:b/>
                <w:i/>
                <w:sz w:val="18"/>
                <w:szCs w:val="18"/>
                <w:lang w:val="en-US"/>
              </w:rPr>
              <w:t xml:space="preserve">) </w:t>
            </w:r>
            <w:r w:rsidRPr="004B60C5">
              <w:rPr>
                <w:sz w:val="18"/>
                <w:szCs w:val="18"/>
                <w:lang w:val="en-US"/>
              </w:rPr>
              <w:t xml:space="preserve">= Exposure time at age </w:t>
            </w:r>
            <w:proofErr w:type="spellStart"/>
            <w:r w:rsidRPr="004B60C5">
              <w:rPr>
                <w:i/>
                <w:sz w:val="18"/>
                <w:szCs w:val="18"/>
                <w:lang w:val="en-US"/>
              </w:rPr>
              <w:t>i</w:t>
            </w:r>
            <w:proofErr w:type="spellEnd"/>
            <w:r w:rsidRPr="004B60C5">
              <w:rPr>
                <w:sz w:val="18"/>
                <w:szCs w:val="18"/>
                <w:lang w:val="en-US"/>
              </w:rPr>
              <w:t xml:space="preserve"> (h d</w:t>
            </w:r>
            <w:r w:rsidRPr="004B60C5">
              <w:rPr>
                <w:sz w:val="18"/>
                <w:szCs w:val="18"/>
                <w:vertAlign w:val="superscript"/>
                <w:lang w:val="en-US"/>
              </w:rPr>
              <w:t>-1</w:t>
            </w:r>
            <w:r w:rsidRPr="004B60C5">
              <w:rPr>
                <w:sz w:val="18"/>
                <w:szCs w:val="18"/>
                <w:lang w:val="en-US"/>
              </w:rPr>
              <w:t>);</w:t>
            </w:r>
            <w:r>
              <w:rPr>
                <w:sz w:val="18"/>
                <w:szCs w:val="18"/>
                <w:lang w:val="en-US"/>
              </w:rPr>
              <w:t xml:space="preserve"> </w:t>
            </w:r>
            <w:proofErr w:type="spellStart"/>
            <w:r w:rsidRPr="00E55C4E">
              <w:rPr>
                <w:b/>
                <w:bCs/>
                <w:i/>
                <w:sz w:val="18"/>
                <w:szCs w:val="18"/>
                <w:lang w:val="en-US"/>
              </w:rPr>
              <w:t>AT</w:t>
            </w:r>
            <w:r>
              <w:rPr>
                <w:b/>
                <w:bCs/>
                <w:i/>
                <w:sz w:val="18"/>
                <w:szCs w:val="18"/>
                <w:vertAlign w:val="subscript"/>
                <w:lang w:val="en-US"/>
              </w:rPr>
              <w:t>h</w:t>
            </w:r>
            <w:proofErr w:type="spellEnd"/>
            <w:r w:rsidRPr="00E55C4E">
              <w:rPr>
                <w:b/>
                <w:bCs/>
                <w:sz w:val="18"/>
                <w:szCs w:val="18"/>
                <w:lang w:val="en-US"/>
              </w:rPr>
              <w:t xml:space="preserve"> =</w:t>
            </w:r>
            <w:r w:rsidRPr="00E55C4E">
              <w:rPr>
                <w:sz w:val="18"/>
                <w:szCs w:val="18"/>
                <w:lang w:val="en-US"/>
              </w:rPr>
              <w:t xml:space="preserve"> Averaging time (</w:t>
            </w:r>
            <w:r>
              <w:rPr>
                <w:sz w:val="18"/>
                <w:szCs w:val="18"/>
                <w:lang w:val="en-US"/>
              </w:rPr>
              <w:t>h</w:t>
            </w:r>
            <w:r w:rsidRPr="00E55C4E">
              <w:rPr>
                <w:sz w:val="18"/>
                <w:szCs w:val="18"/>
                <w:lang w:val="en-US"/>
              </w:rPr>
              <w:t>)</w:t>
            </w:r>
            <w:r>
              <w:rPr>
                <w:sz w:val="18"/>
                <w:szCs w:val="18"/>
                <w:lang w:val="en-US"/>
              </w:rPr>
              <w:t>.</w:t>
            </w:r>
          </w:p>
        </w:tc>
        <w:tc>
          <w:tcPr>
            <w:tcW w:w="1134" w:type="dxa"/>
            <w:gridSpan w:val="2"/>
            <w:tcBorders>
              <w:top w:val="single" w:sz="4" w:space="0" w:color="auto"/>
              <w:bottom w:val="double" w:sz="4" w:space="0" w:color="auto"/>
            </w:tcBorders>
            <w:vAlign w:val="center"/>
          </w:tcPr>
          <w:p w14:paraId="19E52693" w14:textId="64682591" w:rsidR="00E82716" w:rsidRPr="00EB4901" w:rsidRDefault="00E82716" w:rsidP="00E82716">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D17512">
              <w:rPr>
                <w:rStyle w:val="tlid-translation"/>
                <w:sz w:val="20"/>
                <w:szCs w:val="20"/>
                <w:lang w:val="en"/>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3C1E54">
              <w:rPr>
                <w:rStyle w:val="tlid-translation"/>
                <w:sz w:val="20"/>
                <w:szCs w:val="20"/>
                <w:lang w:val="en"/>
              </w:rPr>
              <w:fldChar w:fldCharType="separate"/>
            </w:r>
            <w:r w:rsidR="00014F53" w:rsidRPr="00014F53">
              <w:rPr>
                <w:rStyle w:val="tlid-translation"/>
                <w:noProof/>
                <w:sz w:val="20"/>
                <w:szCs w:val="20"/>
                <w:lang w:val="en"/>
              </w:rPr>
              <w:t>(2009a)</w:t>
            </w:r>
            <w:r w:rsidRPr="003C1E54">
              <w:rPr>
                <w:rStyle w:val="tlid-translation"/>
                <w:sz w:val="20"/>
                <w:szCs w:val="20"/>
                <w:lang w:val="en"/>
              </w:rPr>
              <w:fldChar w:fldCharType="end"/>
            </w:r>
          </w:p>
        </w:tc>
      </w:tr>
    </w:tbl>
    <w:p w14:paraId="593CDE0D" w14:textId="39DFC497" w:rsidR="0094679A" w:rsidRDefault="0094679A" w:rsidP="007108AD">
      <w:pPr>
        <w:spacing w:line="276" w:lineRule="auto"/>
        <w:jc w:val="both"/>
        <w:rPr>
          <w:b/>
          <w:sz w:val="28"/>
          <w:lang w:val="en-US"/>
        </w:rPr>
      </w:pPr>
    </w:p>
    <w:p w14:paraId="2D5E95CF" w14:textId="4E6723A3" w:rsidR="007108AD" w:rsidRDefault="007108AD" w:rsidP="007108AD">
      <w:pPr>
        <w:spacing w:after="60" w:line="276" w:lineRule="auto"/>
        <w:jc w:val="both"/>
        <w:rPr>
          <w:rStyle w:val="tlid-translation"/>
          <w:b/>
          <w:bCs/>
          <w:szCs w:val="32"/>
          <w:lang w:val="en"/>
        </w:rPr>
      </w:pPr>
      <w:r>
        <w:rPr>
          <w:rStyle w:val="tlid-translation"/>
          <w:b/>
          <w:bCs/>
          <w:szCs w:val="32"/>
          <w:lang w:val="en"/>
        </w:rPr>
        <w:br w:type="page"/>
      </w:r>
    </w:p>
    <w:p w14:paraId="7A5AAF45" w14:textId="77777777" w:rsidR="007108AD" w:rsidRDefault="007108AD" w:rsidP="00D91E13">
      <w:pPr>
        <w:spacing w:after="60" w:line="276" w:lineRule="auto"/>
        <w:ind w:firstLine="567"/>
        <w:jc w:val="both"/>
        <w:rPr>
          <w:sz w:val="28"/>
          <w:lang w:val="en-US"/>
        </w:rPr>
        <w:sectPr w:rsidR="007108AD" w:rsidSect="006A648A">
          <w:pgSz w:w="16838" w:h="11906" w:orient="landscape"/>
          <w:pgMar w:top="720" w:right="720" w:bottom="720" w:left="720" w:header="709" w:footer="709" w:gutter="0"/>
          <w:cols w:space="708"/>
          <w:titlePg/>
          <w:docGrid w:linePitch="360"/>
        </w:sectPr>
      </w:pPr>
    </w:p>
    <w:p w14:paraId="76F9D7BE" w14:textId="77777777" w:rsidR="00CC68E6" w:rsidRDefault="008F1515" w:rsidP="00CC68E6">
      <w:pPr>
        <w:spacing w:before="240" w:after="0"/>
        <w:ind w:firstLine="567"/>
        <w:jc w:val="both"/>
        <w:rPr>
          <w:sz w:val="28"/>
          <w:lang w:val="en-US"/>
        </w:rPr>
      </w:pPr>
      <w:r w:rsidRPr="0017539F">
        <w:rPr>
          <w:sz w:val="28"/>
          <w:lang w:val="en-US"/>
        </w:rPr>
        <w:lastRenderedPageBreak/>
        <w:t xml:space="preserve">In equation </w:t>
      </w:r>
      <w:r w:rsidR="00C96EC6">
        <w:rPr>
          <w:sz w:val="28"/>
          <w:lang w:val="en-US"/>
        </w:rPr>
        <w:t>5</w:t>
      </w:r>
      <w:r w:rsidRPr="0017539F">
        <w:rPr>
          <w:sz w:val="28"/>
          <w:lang w:val="en-US"/>
        </w:rPr>
        <w:t>, the concentration of contaminants in the food (</w:t>
      </w:r>
      <w:proofErr w:type="spellStart"/>
      <w:r w:rsidRPr="0017539F">
        <w:rPr>
          <w:i/>
          <w:sz w:val="28"/>
          <w:lang w:val="en-US"/>
        </w:rPr>
        <w:t>C</w:t>
      </w:r>
      <w:r w:rsidRPr="0017539F">
        <w:rPr>
          <w:i/>
          <w:sz w:val="28"/>
          <w:vertAlign w:val="subscript"/>
          <w:lang w:val="en-US"/>
        </w:rPr>
        <w:t>food</w:t>
      </w:r>
      <w:proofErr w:type="spellEnd"/>
      <w:r w:rsidRPr="0017539F">
        <w:rPr>
          <w:sz w:val="28"/>
          <w:lang w:val="en-US"/>
        </w:rPr>
        <w:t xml:space="preserve">) </w:t>
      </w:r>
      <w:r w:rsidR="008B1E2A">
        <w:rPr>
          <w:sz w:val="28"/>
          <w:lang w:val="en-US"/>
        </w:rPr>
        <w:t>could</w:t>
      </w:r>
      <w:r w:rsidRPr="0017539F">
        <w:rPr>
          <w:sz w:val="28"/>
          <w:lang w:val="en-US"/>
        </w:rPr>
        <w:t xml:space="preserve"> be estimated from the concentration of contaminants in the soil (</w:t>
      </w:r>
      <w:proofErr w:type="spellStart"/>
      <w:r w:rsidRPr="0017539F">
        <w:rPr>
          <w:i/>
          <w:sz w:val="28"/>
          <w:lang w:val="en-US"/>
        </w:rPr>
        <w:t>C</w:t>
      </w:r>
      <w:r w:rsidRPr="0017539F">
        <w:rPr>
          <w:i/>
          <w:sz w:val="28"/>
          <w:vertAlign w:val="subscript"/>
          <w:lang w:val="en-US"/>
        </w:rPr>
        <w:t>soil</w:t>
      </w:r>
      <w:proofErr w:type="spellEnd"/>
      <w:r w:rsidRPr="0017539F">
        <w:rPr>
          <w:sz w:val="28"/>
          <w:lang w:val="en-US"/>
        </w:rPr>
        <w:t>)</w:t>
      </w:r>
      <w:r w:rsidR="00D36EE1">
        <w:rPr>
          <w:sz w:val="28"/>
          <w:lang w:val="en-US"/>
        </w:rPr>
        <w:t xml:space="preserve"> and/or water </w:t>
      </w:r>
      <w:r w:rsidR="00D36EE1" w:rsidRPr="0017539F">
        <w:rPr>
          <w:sz w:val="28"/>
          <w:lang w:val="en-US"/>
        </w:rPr>
        <w:t>(</w:t>
      </w:r>
      <w:proofErr w:type="spellStart"/>
      <w:r w:rsidR="00D36EE1" w:rsidRPr="0017539F">
        <w:rPr>
          <w:i/>
          <w:sz w:val="28"/>
          <w:lang w:val="en-US"/>
        </w:rPr>
        <w:t>C</w:t>
      </w:r>
      <w:r w:rsidR="00D36EE1">
        <w:rPr>
          <w:i/>
          <w:sz w:val="28"/>
          <w:vertAlign w:val="subscript"/>
          <w:lang w:val="en-US"/>
        </w:rPr>
        <w:t>water</w:t>
      </w:r>
      <w:proofErr w:type="spellEnd"/>
      <w:r w:rsidR="00D36EE1" w:rsidRPr="0017539F">
        <w:rPr>
          <w:sz w:val="28"/>
          <w:lang w:val="en-US"/>
        </w:rPr>
        <w:t>)</w:t>
      </w:r>
      <w:r w:rsidRPr="0017539F">
        <w:rPr>
          <w:sz w:val="28"/>
          <w:lang w:val="en-US"/>
        </w:rPr>
        <w:t>,</w:t>
      </w:r>
      <w:r w:rsidR="008B1E2A">
        <w:rPr>
          <w:sz w:val="28"/>
          <w:lang w:val="en-US"/>
        </w:rPr>
        <w:t xml:space="preserve"> through</w:t>
      </w:r>
      <w:r w:rsidRPr="0017539F">
        <w:rPr>
          <w:sz w:val="28"/>
          <w:lang w:val="en-US"/>
        </w:rPr>
        <w:t xml:space="preserve"> </w:t>
      </w:r>
      <w:proofErr w:type="spellStart"/>
      <w:r w:rsidRPr="0017539F">
        <w:rPr>
          <w:sz w:val="28"/>
          <w:lang w:val="en-US"/>
        </w:rPr>
        <w:t>Biotransfer</w:t>
      </w:r>
      <w:proofErr w:type="spellEnd"/>
      <w:r w:rsidRPr="0017539F">
        <w:rPr>
          <w:sz w:val="28"/>
          <w:lang w:val="en-US"/>
        </w:rPr>
        <w:t xml:space="preserve"> factors (</w:t>
      </w:r>
      <w:r w:rsidRPr="0017539F">
        <w:rPr>
          <w:i/>
          <w:sz w:val="28"/>
          <w:lang w:val="en-US"/>
        </w:rPr>
        <w:t>BTF</w:t>
      </w:r>
      <w:r w:rsidRPr="0017539F">
        <w:rPr>
          <w:sz w:val="28"/>
          <w:lang w:val="en-US"/>
        </w:rPr>
        <w:t xml:space="preserve">) and </w:t>
      </w:r>
      <w:r w:rsidR="0030135C">
        <w:rPr>
          <w:sz w:val="28"/>
          <w:lang w:val="en-US"/>
        </w:rPr>
        <w:t>others</w:t>
      </w:r>
      <w:r w:rsidRPr="0017539F">
        <w:rPr>
          <w:sz w:val="28"/>
          <w:lang w:val="en-US"/>
        </w:rPr>
        <w:t xml:space="preserve"> </w:t>
      </w:r>
      <w:r w:rsidR="0030135C">
        <w:rPr>
          <w:sz w:val="28"/>
          <w:lang w:val="en-US"/>
        </w:rPr>
        <w:t>parameters</w:t>
      </w:r>
      <w:r w:rsidRPr="0017539F">
        <w:rPr>
          <w:sz w:val="28"/>
          <w:lang w:val="en-US"/>
        </w:rPr>
        <w:t xml:space="preserve">. The </w:t>
      </w:r>
      <w:r w:rsidRPr="0017539F">
        <w:rPr>
          <w:i/>
          <w:sz w:val="28"/>
          <w:lang w:val="en-US"/>
        </w:rPr>
        <w:t>BTF</w:t>
      </w:r>
      <w:r w:rsidRPr="0017539F">
        <w:rPr>
          <w:sz w:val="28"/>
          <w:lang w:val="en-US"/>
        </w:rPr>
        <w:t xml:space="preserve"> values are generally determined through bioassays and are available in the literature.</w:t>
      </w:r>
    </w:p>
    <w:p w14:paraId="064260EA" w14:textId="71A03140" w:rsidR="00CC68E6" w:rsidRDefault="0089019C" w:rsidP="00CC68E6">
      <w:pPr>
        <w:ind w:firstLine="567"/>
        <w:jc w:val="both"/>
        <w:rPr>
          <w:bCs/>
          <w:iCs/>
          <w:sz w:val="28"/>
          <w:szCs w:val="22"/>
          <w:lang w:val="en-US"/>
        </w:rPr>
      </w:pPr>
      <w:r w:rsidRPr="007660AB">
        <w:rPr>
          <w:bCs/>
          <w:iCs/>
          <w:sz w:val="28"/>
          <w:szCs w:val="22"/>
          <w:lang w:val="en-US"/>
        </w:rPr>
        <w:t xml:space="preserve">In agricultural areas, is common the presence of animals and vegetables that can be raised and cultivated in the interest contaminated areas. To assess all possible routes of humans’ contamination, </w:t>
      </w:r>
      <w:proofErr w:type="spellStart"/>
      <w:r w:rsidR="003F31FE">
        <w:rPr>
          <w:bCs/>
          <w:iCs/>
          <w:sz w:val="28"/>
          <w:szCs w:val="22"/>
          <w:lang w:val="en-US"/>
        </w:rPr>
        <w:t>HERisk</w:t>
      </w:r>
      <w:proofErr w:type="spellEnd"/>
      <w:r w:rsidRPr="007660AB">
        <w:rPr>
          <w:bCs/>
          <w:iCs/>
          <w:sz w:val="28"/>
          <w:szCs w:val="22"/>
          <w:lang w:val="en-US"/>
        </w:rPr>
        <w:t xml:space="preserve"> uses formulas for modeling the transport of contaminants present in soil and water to animals and vegetables which will later be ingested by humans.</w:t>
      </w:r>
      <w:r w:rsidR="0040297C">
        <w:rPr>
          <w:bCs/>
          <w:iCs/>
          <w:sz w:val="28"/>
          <w:szCs w:val="22"/>
          <w:lang w:val="en-US"/>
        </w:rPr>
        <w:t xml:space="preserve"> </w:t>
      </w:r>
      <w:r w:rsidR="0040297C">
        <w:rPr>
          <w:sz w:val="28"/>
          <w:lang w:val="en-US"/>
        </w:rPr>
        <w:t>Some</w:t>
      </w:r>
      <w:r w:rsidR="0040297C" w:rsidRPr="0017539F">
        <w:rPr>
          <w:sz w:val="28"/>
          <w:lang w:val="en-US"/>
        </w:rPr>
        <w:t xml:space="preserve"> parameters used in these calculations are summarized in </w:t>
      </w:r>
      <w:r w:rsidR="0040297C" w:rsidRPr="00A25D23">
        <w:rPr>
          <w:b/>
          <w:bCs/>
          <w:sz w:val="28"/>
          <w:lang w:val="en-US"/>
        </w:rPr>
        <w:t>Table</w:t>
      </w:r>
      <w:r w:rsidR="00243273">
        <w:rPr>
          <w:b/>
          <w:bCs/>
          <w:sz w:val="28"/>
          <w:lang w:val="en-US"/>
        </w:rPr>
        <w:t>s</w:t>
      </w:r>
      <w:r w:rsidR="0040297C" w:rsidRPr="00A25D23">
        <w:rPr>
          <w:b/>
          <w:bCs/>
          <w:sz w:val="28"/>
          <w:lang w:val="en-US"/>
        </w:rPr>
        <w:t xml:space="preserve"> </w:t>
      </w:r>
      <w:r w:rsidR="00243273">
        <w:rPr>
          <w:b/>
          <w:bCs/>
          <w:sz w:val="28"/>
          <w:lang w:val="en-US"/>
        </w:rPr>
        <w:t>9–10</w:t>
      </w:r>
      <w:r w:rsidR="0040297C" w:rsidRPr="0017539F">
        <w:rPr>
          <w:sz w:val="28"/>
          <w:lang w:val="en-US"/>
        </w:rPr>
        <w:t>.</w:t>
      </w:r>
    </w:p>
    <w:p w14:paraId="27DFED2C" w14:textId="577F7E93" w:rsidR="002E2B65" w:rsidRPr="002E2B65" w:rsidRDefault="002E2B65" w:rsidP="002E2B65">
      <w:pPr>
        <w:spacing w:before="240" w:after="0" w:line="360" w:lineRule="auto"/>
        <w:jc w:val="center"/>
        <w:rPr>
          <w:sz w:val="28"/>
          <w:lang w:val="en"/>
        </w:rPr>
      </w:pPr>
      <w:r w:rsidRPr="00BD6F4A">
        <w:rPr>
          <w:b/>
          <w:sz w:val="28"/>
          <w:lang w:val="en-US"/>
        </w:rPr>
        <w:t xml:space="preserve">Table </w:t>
      </w:r>
      <w:r>
        <w:rPr>
          <w:b/>
          <w:sz w:val="28"/>
          <w:lang w:val="en-US"/>
        </w:rPr>
        <w:t>2</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proofErr w:type="spellStart"/>
      <w:r w:rsidR="003F31FE">
        <w:rPr>
          <w:rStyle w:val="tlid-translation"/>
          <w:sz w:val="28"/>
          <w:lang w:val="en"/>
        </w:rPr>
        <w:t>HERisk</w:t>
      </w:r>
      <w:proofErr w:type="spellEnd"/>
      <w:r w:rsidRPr="00BD6F4A">
        <w:rPr>
          <w:rStyle w:val="tlid-translation"/>
          <w:sz w:val="28"/>
          <w:lang w:val="en"/>
        </w:rPr>
        <w:t xml:space="preserve"> </w:t>
      </w:r>
      <w:r>
        <w:rPr>
          <w:rStyle w:val="tlid-translation"/>
          <w:sz w:val="28"/>
          <w:lang w:val="en"/>
        </w:rPr>
        <w:t xml:space="preserve">for </w:t>
      </w:r>
      <w:r w:rsidRPr="002E2B65">
        <w:rPr>
          <w:rStyle w:val="tlid-translation"/>
          <w:color w:val="000000" w:themeColor="text1"/>
          <w:sz w:val="28"/>
          <w:lang w:val="en-US"/>
        </w:rPr>
        <w:t>modeling the transport of contaminants</w:t>
      </w:r>
    </w:p>
    <w:tbl>
      <w:tblPr>
        <w:tblStyle w:val="Tabelacomgrade1"/>
        <w:tblW w:w="15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18"/>
        <w:gridCol w:w="5169"/>
        <w:gridCol w:w="1128"/>
      </w:tblGrid>
      <w:tr w:rsidR="00CC68E6" w:rsidRPr="00105CF1" w14:paraId="153A8824" w14:textId="77777777" w:rsidTr="002E2B65">
        <w:trPr>
          <w:trHeight w:val="494"/>
          <w:jc w:val="center"/>
        </w:trPr>
        <w:tc>
          <w:tcPr>
            <w:tcW w:w="2835" w:type="dxa"/>
            <w:tcBorders>
              <w:top w:val="double" w:sz="4" w:space="0" w:color="auto"/>
              <w:bottom w:val="double" w:sz="4" w:space="0" w:color="auto"/>
            </w:tcBorders>
            <w:vAlign w:val="center"/>
          </w:tcPr>
          <w:p w14:paraId="3F8AABBA"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218" w:type="dxa"/>
            <w:tcBorders>
              <w:top w:val="double" w:sz="4" w:space="0" w:color="auto"/>
              <w:bottom w:val="double" w:sz="4" w:space="0" w:color="auto"/>
            </w:tcBorders>
            <w:vAlign w:val="center"/>
          </w:tcPr>
          <w:p w14:paraId="45EACA8C"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69" w:type="dxa"/>
            <w:tcBorders>
              <w:top w:val="double" w:sz="4" w:space="0" w:color="auto"/>
              <w:bottom w:val="double" w:sz="4" w:space="0" w:color="auto"/>
            </w:tcBorders>
            <w:vAlign w:val="center"/>
          </w:tcPr>
          <w:p w14:paraId="5B693DBE"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28" w:type="dxa"/>
            <w:tcBorders>
              <w:top w:val="double" w:sz="4" w:space="0" w:color="auto"/>
              <w:bottom w:val="double" w:sz="4" w:space="0" w:color="auto"/>
            </w:tcBorders>
            <w:vAlign w:val="center"/>
          </w:tcPr>
          <w:p w14:paraId="6F72768A" w14:textId="77777777" w:rsidR="00CC68E6" w:rsidRPr="003C1E54" w:rsidRDefault="00CC68E6"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C68E6" w:rsidRPr="00E90906" w14:paraId="5C4E44D2" w14:textId="77777777" w:rsidTr="002E2B65">
        <w:trPr>
          <w:trHeight w:val="422"/>
          <w:jc w:val="center"/>
        </w:trPr>
        <w:tc>
          <w:tcPr>
            <w:tcW w:w="15350" w:type="dxa"/>
            <w:gridSpan w:val="4"/>
            <w:tcBorders>
              <w:top w:val="single" w:sz="4" w:space="0" w:color="auto"/>
              <w:bottom w:val="single" w:sz="4" w:space="0" w:color="auto"/>
            </w:tcBorders>
            <w:vAlign w:val="center"/>
          </w:tcPr>
          <w:p w14:paraId="28E7B66D" w14:textId="3D0824D5" w:rsidR="00CC68E6" w:rsidRPr="00172C84" w:rsidRDefault="00CC68E6"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833D09">
              <w:rPr>
                <w:rStyle w:val="tlid-translation"/>
                <w:b/>
                <w:bCs/>
                <w:color w:val="000000" w:themeColor="text1"/>
                <w:sz w:val="20"/>
                <w:szCs w:val="20"/>
                <w:lang w:val="en-US"/>
              </w:rPr>
              <w:t>b</w:t>
            </w:r>
            <w:r w:rsidR="00833D09" w:rsidRPr="00833D09">
              <w:rPr>
                <w:rStyle w:val="tlid-translation"/>
                <w:b/>
                <w:bCs/>
                <w:color w:val="000000" w:themeColor="text1"/>
                <w:sz w:val="20"/>
                <w:szCs w:val="20"/>
                <w:lang w:val="en-US"/>
              </w:rPr>
              <w:t>o</w:t>
            </w:r>
            <w:r w:rsidR="00833D09">
              <w:rPr>
                <w:rStyle w:val="tlid-translation"/>
                <w:b/>
                <w:bCs/>
                <w:color w:val="000000" w:themeColor="text1"/>
                <w:sz w:val="20"/>
                <w:szCs w:val="20"/>
                <w:lang w:val="en-US"/>
              </w:rPr>
              <w:t>vine meat or milk</w:t>
            </w:r>
          </w:p>
        </w:tc>
      </w:tr>
      <w:tr w:rsidR="00CC68E6" w:rsidRPr="00EB4901" w14:paraId="7F41466B" w14:textId="77777777" w:rsidTr="002E2B65">
        <w:trPr>
          <w:trHeight w:val="1838"/>
          <w:jc w:val="center"/>
        </w:trPr>
        <w:tc>
          <w:tcPr>
            <w:tcW w:w="2835" w:type="dxa"/>
            <w:tcBorders>
              <w:top w:val="single" w:sz="4" w:space="0" w:color="auto"/>
              <w:bottom w:val="single" w:sz="4" w:space="0" w:color="auto"/>
            </w:tcBorders>
            <w:vAlign w:val="center"/>
          </w:tcPr>
          <w:p w14:paraId="41B3023B"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accidental soil ingestion by the cattle</w:t>
            </w:r>
            <w:r w:rsidRPr="00307854">
              <w:rPr>
                <w:rFonts w:eastAsiaTheme="minorEastAsia"/>
                <w:sz w:val="20"/>
                <w:szCs w:val="20"/>
                <w:lang w:val="en-US"/>
              </w:rPr>
              <w:t xml:space="preserve"> </w:t>
            </w:r>
          </w:p>
          <w:p w14:paraId="0B697863" w14:textId="77777777" w:rsidR="00CC68E6" w:rsidRPr="00307854" w:rsidRDefault="00CC68E6" w:rsidP="008C28B2">
            <w:pPr>
              <w:spacing w:line="360" w:lineRule="auto"/>
              <w:jc w:val="center"/>
              <w:rPr>
                <w:rStyle w:val="tlid-translation"/>
                <w:b/>
                <w:sz w:val="20"/>
                <w:szCs w:val="20"/>
                <w:vertAlign w:val="superscript"/>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683C3778" w14:textId="1FD6EB3A" w:rsidR="00CC68E6" w:rsidRPr="001C51AF" w:rsidRDefault="00A10B4C"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(7)</m:t>
                </m:r>
              </m:oMath>
            </m:oMathPara>
          </w:p>
        </w:tc>
        <w:tc>
          <w:tcPr>
            <w:tcW w:w="5169" w:type="dxa"/>
            <w:tcBorders>
              <w:top w:val="single" w:sz="4" w:space="0" w:color="auto"/>
              <w:bottom w:val="single" w:sz="4" w:space="0" w:color="auto"/>
            </w:tcBorders>
            <w:vAlign w:val="center"/>
          </w:tcPr>
          <w:p w14:paraId="6928D7B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s-M</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s-cattle</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proofErr w:type="spellStart"/>
            <w:r w:rsidRPr="005919AF">
              <w:rPr>
                <w:b/>
                <w:bCs/>
                <w:i/>
                <w:iCs/>
                <w:sz w:val="18"/>
                <w:szCs w:val="18"/>
                <w:lang w:val="en-US"/>
              </w:rPr>
              <w:t>Fp</w:t>
            </w:r>
            <w:proofErr w:type="spellEnd"/>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raction of the year that the cattle remains on the site</w:t>
            </w:r>
            <w:r>
              <w:rPr>
                <w:sz w:val="18"/>
                <w:szCs w:val="18"/>
                <w:lang w:val="en-US"/>
              </w:rPr>
              <w:t>.</w:t>
            </w:r>
          </w:p>
        </w:tc>
        <w:tc>
          <w:tcPr>
            <w:tcW w:w="1128" w:type="dxa"/>
            <w:tcBorders>
              <w:top w:val="single" w:sz="4" w:space="0" w:color="auto"/>
              <w:bottom w:val="single" w:sz="4" w:space="0" w:color="auto"/>
            </w:tcBorders>
            <w:vAlign w:val="center"/>
          </w:tcPr>
          <w:p w14:paraId="5EE7D77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2A014BDD" w14:textId="77777777" w:rsidTr="00C862D1">
        <w:trPr>
          <w:trHeight w:val="1240"/>
          <w:jc w:val="center"/>
        </w:trPr>
        <w:tc>
          <w:tcPr>
            <w:tcW w:w="2835" w:type="dxa"/>
            <w:tcBorders>
              <w:top w:val="single" w:sz="4" w:space="0" w:color="auto"/>
              <w:bottom w:val="single" w:sz="4" w:space="0" w:color="auto"/>
            </w:tcBorders>
            <w:vAlign w:val="center"/>
          </w:tcPr>
          <w:p w14:paraId="06376971"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water ingestion by the cattle</w:t>
            </w:r>
            <w:r w:rsidRPr="00307854">
              <w:rPr>
                <w:rFonts w:eastAsiaTheme="minorEastAsia"/>
                <w:sz w:val="20"/>
                <w:szCs w:val="20"/>
                <w:lang w:val="en-US"/>
              </w:rPr>
              <w:t xml:space="preserve"> </w:t>
            </w:r>
          </w:p>
          <w:p w14:paraId="16D4BD30"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7A6AA98F" w14:textId="05E4F2E4" w:rsidR="00CC68E6" w:rsidRPr="005D3BD4" w:rsidRDefault="00A10B4C" w:rsidP="008C28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w-cattle</m:t>
                    </m:r>
                  </m:sub>
                </m:sSub>
                <m:r>
                  <w:rPr>
                    <w:rFonts w:ascii="Cambria Math" w:hAnsi="Cambria Math"/>
                    <w:sz w:val="18"/>
                    <w:szCs w:val="18"/>
                    <w:lang w:val="en-US"/>
                  </w:rPr>
                  <m:t>∙fw</m:t>
                </m:r>
                <m:r>
                  <w:rPr>
                    <w:rFonts w:ascii="Cambria Math" w:eastAsiaTheme="minorEastAsia" w:hAnsi="Cambria Math"/>
                    <w:sz w:val="18"/>
                    <w:szCs w:val="18"/>
                    <w:lang w:val="en-US"/>
                  </w:rPr>
                  <m:t xml:space="preserve">         (8)</m:t>
                </m:r>
              </m:oMath>
            </m:oMathPara>
          </w:p>
        </w:tc>
        <w:tc>
          <w:tcPr>
            <w:tcW w:w="5169" w:type="dxa"/>
            <w:tcBorders>
              <w:top w:val="single" w:sz="4" w:space="0" w:color="auto"/>
              <w:bottom w:val="single" w:sz="4" w:space="0" w:color="auto"/>
            </w:tcBorders>
            <w:vAlign w:val="center"/>
          </w:tcPr>
          <w:p w14:paraId="68F7CBF5" w14:textId="77777777" w:rsidR="00CC68E6" w:rsidRPr="005D3BD4" w:rsidRDefault="00CC68E6" w:rsidP="008C28B2">
            <w:pPr>
              <w:spacing w:line="360" w:lineRule="auto"/>
              <w:jc w:val="center"/>
              <w:rPr>
                <w:rFonts w:eastAsiaTheme="minorEastAsia"/>
                <w:b/>
                <w:bCs/>
                <w:i/>
                <w:sz w:val="18"/>
                <w:szCs w:val="18"/>
                <w:lang w:val="en-US"/>
              </w:rPr>
            </w:pPr>
            <w:proofErr w:type="spellStart"/>
            <w:r w:rsidRPr="00323B9E">
              <w:rPr>
                <w:rFonts w:eastAsiaTheme="minorEastAsia"/>
                <w:b/>
                <w:bCs/>
                <w:i/>
                <w:sz w:val="18"/>
                <w:szCs w:val="18"/>
                <w:lang w:val="en-US"/>
              </w:rPr>
              <w:t>BTF</w:t>
            </w:r>
            <w:r w:rsidRPr="00323B9E">
              <w:rPr>
                <w:rFonts w:eastAsiaTheme="minorEastAsia"/>
                <w:b/>
                <w:bCs/>
                <w:i/>
                <w:sz w:val="18"/>
                <w:szCs w:val="18"/>
                <w:vertAlign w:val="subscript"/>
                <w:lang w:val="en-US"/>
              </w:rPr>
              <w:t>w</w:t>
            </w:r>
            <w:proofErr w:type="spellEnd"/>
            <w:r w:rsidRPr="00323B9E">
              <w:rPr>
                <w:rFonts w:eastAsiaTheme="minorEastAsia"/>
                <w:b/>
                <w:bCs/>
                <w:i/>
                <w:sz w:val="18"/>
                <w:szCs w:val="18"/>
                <w:vertAlign w:val="subscript"/>
                <w:lang w:val="en-US"/>
              </w:rPr>
              <w:t>-M</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water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proofErr w:type="spellStart"/>
            <w:r w:rsidRPr="00323B9E">
              <w:rPr>
                <w:b/>
                <w:bCs/>
                <w:i/>
                <w:sz w:val="18"/>
                <w:szCs w:val="18"/>
                <w:lang w:val="en-US"/>
              </w:rPr>
              <w:t>IR</w:t>
            </w:r>
            <w:r w:rsidRPr="00323B9E">
              <w:rPr>
                <w:b/>
                <w:bCs/>
                <w:i/>
                <w:sz w:val="18"/>
                <w:szCs w:val="18"/>
                <w:vertAlign w:val="subscript"/>
                <w:lang w:val="en-US"/>
              </w:rPr>
              <w:t>w</w:t>
            </w:r>
            <w:proofErr w:type="spellEnd"/>
            <w:r w:rsidRPr="00323B9E">
              <w:rPr>
                <w:b/>
                <w:bCs/>
                <w:i/>
                <w:sz w:val="18"/>
                <w:szCs w:val="18"/>
                <w:vertAlign w:val="subscript"/>
                <w:lang w:val="en-US"/>
              </w:rPr>
              <w:t>-cattle</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proofErr w:type="spellStart"/>
            <w:r w:rsidRPr="00323B9E">
              <w:rPr>
                <w:b/>
                <w:bCs/>
                <w:i/>
                <w:iCs/>
                <w:sz w:val="18"/>
                <w:szCs w:val="18"/>
                <w:lang w:val="en-US"/>
              </w:rPr>
              <w:t>fw</w:t>
            </w:r>
            <w:proofErr w:type="spellEnd"/>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128" w:type="dxa"/>
            <w:tcBorders>
              <w:top w:val="single" w:sz="4" w:space="0" w:color="auto"/>
              <w:bottom w:val="single" w:sz="4" w:space="0" w:color="auto"/>
            </w:tcBorders>
            <w:vAlign w:val="center"/>
          </w:tcPr>
          <w:p w14:paraId="05585D5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55D7F848" w14:textId="77777777" w:rsidTr="00CD68D6">
        <w:trPr>
          <w:trHeight w:val="1838"/>
          <w:jc w:val="center"/>
        </w:trPr>
        <w:tc>
          <w:tcPr>
            <w:tcW w:w="2835" w:type="dxa"/>
            <w:tcBorders>
              <w:top w:val="single" w:sz="4" w:space="0" w:color="auto"/>
              <w:bottom w:val="double" w:sz="4" w:space="0" w:color="auto"/>
            </w:tcBorders>
            <w:vAlign w:val="center"/>
          </w:tcPr>
          <w:p w14:paraId="0EC829CA"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contaminated feed plants ingestion by the cattle</w:t>
            </w:r>
            <w:r w:rsidRPr="00307854">
              <w:rPr>
                <w:rFonts w:eastAsiaTheme="minorEastAsia"/>
                <w:sz w:val="20"/>
                <w:szCs w:val="20"/>
                <w:lang w:val="en-US"/>
              </w:rPr>
              <w:t xml:space="preserve"> </w:t>
            </w:r>
          </w:p>
          <w:p w14:paraId="2FF7EF51"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double" w:sz="4" w:space="0" w:color="auto"/>
            </w:tcBorders>
            <w:vAlign w:val="center"/>
          </w:tcPr>
          <w:p w14:paraId="55A4D476" w14:textId="7B527873" w:rsidR="00CC68E6" w:rsidRPr="00323B9E" w:rsidRDefault="00A10B4C"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M-3</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s-f.p</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f.p-M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f.p.-cattle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(9)</m:t>
                </m:r>
              </m:oMath>
            </m:oMathPara>
          </w:p>
        </w:tc>
        <w:tc>
          <w:tcPr>
            <w:tcW w:w="5169" w:type="dxa"/>
            <w:tcBorders>
              <w:top w:val="single" w:sz="4" w:space="0" w:color="auto"/>
              <w:bottom w:val="double" w:sz="4" w:space="0" w:color="auto"/>
            </w:tcBorders>
            <w:vAlign w:val="center"/>
          </w:tcPr>
          <w:p w14:paraId="2F778B22" w14:textId="77777777" w:rsidR="00CC68E6" w:rsidRPr="00071AAC" w:rsidRDefault="00CC68E6" w:rsidP="008C28B2">
            <w:pPr>
              <w:spacing w:line="360" w:lineRule="auto"/>
              <w:jc w:val="center"/>
              <w:rPr>
                <w:rFonts w:eastAsiaTheme="minorEastAsia"/>
                <w:b/>
                <w:bCs/>
                <w:i/>
                <w:sz w:val="18"/>
                <w:szCs w:val="18"/>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proofErr w:type="spellStart"/>
            <w:r w:rsidRPr="00071AAC">
              <w:rPr>
                <w:rFonts w:eastAsiaTheme="minorEastAsia"/>
                <w:b/>
                <w:bCs/>
                <w:i/>
                <w:sz w:val="18"/>
                <w:szCs w:val="18"/>
                <w:vertAlign w:val="subscript"/>
                <w:lang w:val="en-US"/>
              </w:rPr>
              <w:t>f.p</w:t>
            </w:r>
            <w:r w:rsidRPr="005D3BD4">
              <w:rPr>
                <w:rFonts w:eastAsiaTheme="minorEastAsia"/>
                <w:i/>
                <w:sz w:val="18"/>
                <w:szCs w:val="18"/>
                <w:vertAlign w:val="subscript"/>
                <w:lang w:val="en-US"/>
              </w:rPr>
              <w:t>.</w:t>
            </w:r>
            <w:proofErr w:type="spellEnd"/>
            <w:r w:rsidRPr="005D3BD4">
              <w:rPr>
                <w:sz w:val="18"/>
                <w:szCs w:val="18"/>
                <w:lang w:val="en-US"/>
              </w:rPr>
              <w:t xml:space="preserve"> </w:t>
            </w:r>
            <w:r>
              <w:rPr>
                <w:sz w:val="18"/>
                <w:szCs w:val="18"/>
                <w:lang w:val="en-US"/>
              </w:rPr>
              <w:t>=</w:t>
            </w:r>
            <w:r w:rsidRPr="005D3BD4">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feed plants</w:t>
            </w:r>
            <w:r w:rsidRPr="005D3BD4">
              <w:rPr>
                <w:sz w:val="18"/>
                <w:szCs w:val="18"/>
                <w:lang w:val="en-US"/>
              </w:rPr>
              <w:t xml:space="preserve">; </w:t>
            </w:r>
            <w:bookmarkStart w:id="1" w:name="_Hlk41750082"/>
            <w:r w:rsidRPr="00071AAC">
              <w:rPr>
                <w:rFonts w:eastAsiaTheme="minorEastAsia"/>
                <w:b/>
                <w:bCs/>
                <w:i/>
                <w:sz w:val="18"/>
                <w:szCs w:val="18"/>
                <w:lang w:val="en-US"/>
              </w:rPr>
              <w:t>CF</w:t>
            </w:r>
            <w:r w:rsidRPr="00071AAC">
              <w:rPr>
                <w:rFonts w:eastAsiaTheme="minorEastAsia"/>
                <w:b/>
                <w:bCs/>
                <w:i/>
                <w:sz w:val="18"/>
                <w:szCs w:val="18"/>
                <w:vertAlign w:val="subscript"/>
                <w:lang w:val="en-US"/>
              </w:rPr>
              <w:t>2</w:t>
            </w:r>
            <w:r w:rsidRPr="00071AAC">
              <w:rPr>
                <w:rFonts w:eastAsiaTheme="minorEastAsia"/>
                <w:b/>
                <w:bCs/>
                <w:sz w:val="18"/>
                <w:szCs w:val="18"/>
                <w:lang w:val="en-US"/>
              </w:rPr>
              <w:t xml:space="preserve"> </w:t>
            </w:r>
            <w:r>
              <w:rPr>
                <w:rFonts w:eastAsiaTheme="minorEastAsia"/>
                <w:b/>
                <w:bCs/>
                <w:sz w:val="18"/>
                <w:szCs w:val="18"/>
                <w:lang w:val="en-US"/>
              </w:rPr>
              <w:t>=</w:t>
            </w:r>
            <w:r w:rsidRPr="005D3BD4">
              <w:rPr>
                <w:rFonts w:eastAsiaTheme="minorEastAsia"/>
                <w:sz w:val="18"/>
                <w:szCs w:val="18"/>
                <w:lang w:val="en-US"/>
              </w:rPr>
              <w:t xml:space="preserve"> </w:t>
            </w:r>
            <w:r>
              <w:rPr>
                <w:rFonts w:eastAsiaTheme="minorEastAsia"/>
                <w:sz w:val="18"/>
                <w:szCs w:val="18"/>
                <w:lang w:val="en-US"/>
              </w:rPr>
              <w:t>D</w:t>
            </w:r>
            <w:r w:rsidRPr="005D3BD4">
              <w:rPr>
                <w:rFonts w:eastAsiaTheme="minorEastAsia"/>
                <w:sz w:val="18"/>
                <w:szCs w:val="18"/>
                <w:lang w:val="en-US"/>
              </w:rPr>
              <w:t>ry/wet weight adjustment (85% vegetable moisture)</w:t>
            </w:r>
            <w:bookmarkEnd w:id="1"/>
            <w:r w:rsidRPr="005D3BD4">
              <w:rPr>
                <w:rFonts w:eastAsiaTheme="minorEastAsia"/>
                <w:sz w:val="18"/>
                <w:szCs w:val="18"/>
                <w:lang w:val="en-US"/>
              </w:rPr>
              <w:t xml:space="preserve">; </w:t>
            </w:r>
            <w:proofErr w:type="spellStart"/>
            <w:r w:rsidRPr="00071AAC">
              <w:rPr>
                <w:rFonts w:eastAsiaTheme="minorEastAsia"/>
                <w:b/>
                <w:bCs/>
                <w:i/>
                <w:sz w:val="18"/>
                <w:szCs w:val="18"/>
                <w:lang w:val="en-US"/>
              </w:rPr>
              <w:t>BTF</w:t>
            </w:r>
            <w:r w:rsidRPr="00071AAC">
              <w:rPr>
                <w:rFonts w:eastAsiaTheme="minorEastAsia"/>
                <w:b/>
                <w:bCs/>
                <w:i/>
                <w:sz w:val="18"/>
                <w:szCs w:val="18"/>
                <w:vertAlign w:val="subscript"/>
                <w:lang w:val="en-US"/>
              </w:rPr>
              <w:t>f.p</w:t>
            </w:r>
            <w:proofErr w:type="spellEnd"/>
            <w:r w:rsidRPr="00071AAC">
              <w:rPr>
                <w:rFonts w:eastAsiaTheme="minorEastAsia"/>
                <w:b/>
                <w:bCs/>
                <w:i/>
                <w:sz w:val="18"/>
                <w:szCs w:val="18"/>
                <w:vertAlign w:val="subscript"/>
                <w:lang w:val="en-US"/>
              </w:rPr>
              <w:t>.-M</w:t>
            </w:r>
            <w:r w:rsidRPr="005D3BD4">
              <w:rPr>
                <w:sz w:val="18"/>
                <w:szCs w:val="18"/>
                <w:lang w:val="en-US"/>
              </w:rPr>
              <w:t xml:space="preserve"> </w:t>
            </w:r>
            <w:r>
              <w:rPr>
                <w:sz w:val="18"/>
                <w:szCs w:val="18"/>
                <w:lang w:val="en-US"/>
              </w:rPr>
              <w:t>=</w:t>
            </w:r>
            <w:r w:rsidRPr="005D3BD4">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 xml:space="preserve">chemical species </w:t>
            </w:r>
            <w:r w:rsidRPr="005D3BD4">
              <w:rPr>
                <w:rStyle w:val="tlid-translation"/>
                <w:sz w:val="18"/>
                <w:szCs w:val="18"/>
                <w:lang w:val="en"/>
              </w:rPr>
              <w:t>from feed plants</w:t>
            </w:r>
            <w:r w:rsidRPr="005D3BD4">
              <w:rPr>
                <w:sz w:val="18"/>
                <w:szCs w:val="18"/>
                <w:lang w:val="en"/>
              </w:rPr>
              <w:t xml:space="preserve"> to meat or milk </w:t>
            </w:r>
            <w:r w:rsidRPr="005D3BD4">
              <w:rPr>
                <w:sz w:val="18"/>
                <w:szCs w:val="18"/>
                <w:lang w:val="en-US"/>
              </w:rPr>
              <w:t>(d kg</w:t>
            </w:r>
            <w:r w:rsidRPr="005D3BD4">
              <w:rPr>
                <w:sz w:val="18"/>
                <w:szCs w:val="18"/>
                <w:vertAlign w:val="superscript"/>
                <w:lang w:val="en-US"/>
              </w:rPr>
              <w:t>-1</w:t>
            </w:r>
            <w:r w:rsidRPr="005D3BD4">
              <w:rPr>
                <w:sz w:val="18"/>
                <w:szCs w:val="18"/>
                <w:lang w:val="en-US"/>
              </w:rPr>
              <w:t>);</w:t>
            </w:r>
            <w:r w:rsidRPr="005D3BD4">
              <w:rPr>
                <w:i/>
                <w:sz w:val="18"/>
                <w:szCs w:val="18"/>
                <w:lang w:val="en-US"/>
              </w:rPr>
              <w:t xml:space="preserve"> </w:t>
            </w:r>
            <w:proofErr w:type="spellStart"/>
            <w:r w:rsidRPr="00780897">
              <w:rPr>
                <w:b/>
                <w:bCs/>
                <w:i/>
                <w:sz w:val="18"/>
                <w:szCs w:val="18"/>
                <w:lang w:val="en-US"/>
              </w:rPr>
              <w:t>IR</w:t>
            </w:r>
            <w:r w:rsidRPr="00780897">
              <w:rPr>
                <w:b/>
                <w:bCs/>
                <w:i/>
                <w:sz w:val="18"/>
                <w:szCs w:val="18"/>
                <w:vertAlign w:val="subscript"/>
                <w:lang w:val="en-US"/>
              </w:rPr>
              <w:t>f.p</w:t>
            </w:r>
            <w:proofErr w:type="spellEnd"/>
            <w:r w:rsidRPr="00780897">
              <w:rPr>
                <w:b/>
                <w:bCs/>
                <w:i/>
                <w:sz w:val="18"/>
                <w:szCs w:val="18"/>
                <w:vertAlign w:val="subscript"/>
                <w:lang w:val="en-US"/>
              </w:rPr>
              <w:t>.-cattle</w:t>
            </w:r>
            <w:r w:rsidRPr="005D3BD4">
              <w:rPr>
                <w:i/>
                <w:sz w:val="18"/>
                <w:szCs w:val="18"/>
                <w:lang w:val="en-US"/>
              </w:rPr>
              <w:t xml:space="preserve"> </w:t>
            </w:r>
            <w:r w:rsidRPr="005D3BD4">
              <w:rPr>
                <w:sz w:val="18"/>
                <w:szCs w:val="18"/>
                <w:lang w:val="en-US"/>
              </w:rPr>
              <w:t xml:space="preserve">is the feed plants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Pr>
                <w:sz w:val="18"/>
                <w:szCs w:val="18"/>
                <w:lang w:val="en-US"/>
              </w:rPr>
              <w:t>).</w:t>
            </w:r>
          </w:p>
        </w:tc>
        <w:tc>
          <w:tcPr>
            <w:tcW w:w="1128" w:type="dxa"/>
            <w:tcBorders>
              <w:top w:val="single" w:sz="4" w:space="0" w:color="auto"/>
              <w:bottom w:val="double" w:sz="4" w:space="0" w:color="auto"/>
            </w:tcBorders>
            <w:vAlign w:val="center"/>
          </w:tcPr>
          <w:p w14:paraId="1821702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7E9F7C99" w14:textId="2B63586B" w:rsidR="002E2B65" w:rsidRDefault="002E2B65"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2E2B65" w:rsidRPr="003C1E54" w14:paraId="09E14BEC" w14:textId="77777777" w:rsidTr="002F7A36">
        <w:trPr>
          <w:trHeight w:val="494"/>
          <w:jc w:val="center"/>
        </w:trPr>
        <w:tc>
          <w:tcPr>
            <w:tcW w:w="2694" w:type="dxa"/>
            <w:tcBorders>
              <w:top w:val="double" w:sz="4" w:space="0" w:color="auto"/>
              <w:bottom w:val="double" w:sz="4" w:space="0" w:color="auto"/>
            </w:tcBorders>
            <w:vAlign w:val="center"/>
          </w:tcPr>
          <w:p w14:paraId="6A7249F7"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3D8C69C3"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4EC2404C"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0D297104" w14:textId="77777777" w:rsidR="002E2B65" w:rsidRPr="003C1E54" w:rsidRDefault="002E2B65"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2E2B65" w:rsidRPr="00E90906" w14:paraId="284B8530" w14:textId="77777777" w:rsidTr="00336061">
        <w:trPr>
          <w:trHeight w:val="422"/>
          <w:jc w:val="center"/>
        </w:trPr>
        <w:tc>
          <w:tcPr>
            <w:tcW w:w="15305" w:type="dxa"/>
            <w:gridSpan w:val="4"/>
            <w:tcBorders>
              <w:top w:val="single" w:sz="4" w:space="0" w:color="auto"/>
              <w:bottom w:val="single" w:sz="4" w:space="0" w:color="auto"/>
            </w:tcBorders>
            <w:vAlign w:val="center"/>
          </w:tcPr>
          <w:p w14:paraId="232A4952" w14:textId="37AD26EF" w:rsidR="002E2B65" w:rsidRPr="00172C84" w:rsidRDefault="002E2B65"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336061">
              <w:rPr>
                <w:rStyle w:val="tlid-translation"/>
                <w:b/>
                <w:bCs/>
                <w:color w:val="000000" w:themeColor="text1"/>
                <w:sz w:val="20"/>
                <w:szCs w:val="20"/>
                <w:lang w:val="en-US"/>
              </w:rPr>
              <w:t>bovine meat or milk</w:t>
            </w:r>
          </w:p>
        </w:tc>
      </w:tr>
      <w:tr w:rsidR="002E2B65" w:rsidRPr="00EB4901" w14:paraId="128746EA" w14:textId="77777777" w:rsidTr="002F7195">
        <w:trPr>
          <w:trHeight w:val="1245"/>
          <w:jc w:val="center"/>
        </w:trPr>
        <w:tc>
          <w:tcPr>
            <w:tcW w:w="2694" w:type="dxa"/>
            <w:tcBorders>
              <w:top w:val="single" w:sz="4" w:space="0" w:color="auto"/>
              <w:bottom w:val="single" w:sz="4" w:space="0" w:color="auto"/>
            </w:tcBorders>
            <w:vAlign w:val="center"/>
          </w:tcPr>
          <w:p w14:paraId="74415754" w14:textId="77777777" w:rsidR="002E2B65" w:rsidRPr="00F71999" w:rsidRDefault="002E2B65" w:rsidP="008C28B2">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meat or milk </w:t>
            </w:r>
          </w:p>
          <w:p w14:paraId="09C02A01" w14:textId="77777777" w:rsidR="002E2B65" w:rsidRPr="00323B9E" w:rsidRDefault="002E2B65" w:rsidP="008C28B2">
            <w:pPr>
              <w:spacing w:line="360" w:lineRule="auto"/>
              <w:jc w:val="center"/>
              <w:rPr>
                <w:rStyle w:val="tlid-translation"/>
                <w:b/>
                <w:sz w:val="17"/>
                <w:szCs w:val="17"/>
                <w:vertAlign w:val="superscript"/>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2C181ED6" w14:textId="71E8D3DB" w:rsidR="002E2B65" w:rsidRPr="001C51AF" w:rsidRDefault="00A10B4C"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(10)</m:t>
                </m:r>
              </m:oMath>
            </m:oMathPara>
          </w:p>
        </w:tc>
        <w:tc>
          <w:tcPr>
            <w:tcW w:w="5032" w:type="dxa"/>
            <w:tcBorders>
              <w:top w:val="single" w:sz="4" w:space="0" w:color="auto"/>
              <w:bottom w:val="single" w:sz="4" w:space="0" w:color="auto"/>
            </w:tcBorders>
            <w:vAlign w:val="center"/>
          </w:tcPr>
          <w:p w14:paraId="3463D39B" w14:textId="1B20092B" w:rsidR="002E2B65" w:rsidRPr="00EB4901" w:rsidRDefault="002E2B65" w:rsidP="008C28B2">
            <w:pPr>
              <w:spacing w:line="360" w:lineRule="auto"/>
              <w:jc w:val="center"/>
              <w:rPr>
                <w:rStyle w:val="tlid-translation"/>
                <w:color w:val="000000" w:themeColor="text1"/>
                <w:sz w:val="20"/>
                <w:szCs w:val="20"/>
                <w:lang w:val="en-US"/>
              </w:rPr>
            </w:pPr>
            <w:r>
              <w:rPr>
                <w:rFonts w:eastAsiaTheme="minorEastAsia"/>
                <w:b/>
                <w:bCs/>
                <w:i/>
                <w:sz w:val="18"/>
                <w:szCs w:val="18"/>
                <w:lang w:val="en-US"/>
              </w:rPr>
              <w:t>C</w:t>
            </w:r>
            <w:r w:rsidRPr="005D3BD4">
              <w:rPr>
                <w:rFonts w:eastAsiaTheme="minorEastAsia"/>
                <w:b/>
                <w:bCs/>
                <w:i/>
                <w:sz w:val="18"/>
                <w:szCs w:val="18"/>
                <w:vertAlign w:val="subscript"/>
                <w:lang w:val="en-US"/>
              </w:rPr>
              <w:t>M</w:t>
            </w:r>
            <w:r>
              <w:rPr>
                <w:rFonts w:eastAsiaTheme="minorEastAsia"/>
                <w:b/>
                <w:bCs/>
                <w:i/>
                <w:sz w:val="18"/>
                <w:szCs w:val="18"/>
                <w:vertAlign w:val="subscript"/>
                <w:lang w:val="en-US"/>
              </w:rPr>
              <w:t>-γ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 meat or milk derived from contaminated feed plants</w:t>
            </w:r>
            <w:r w:rsidR="002F7195">
              <w:rPr>
                <w:rStyle w:val="tlid-translation"/>
                <w:sz w:val="18"/>
                <w:szCs w:val="18"/>
                <w:lang w:val="en-US"/>
              </w:rPr>
              <w:t xml:space="preserve"> </w:t>
            </w:r>
            <w:r w:rsidR="002F7195" w:rsidRPr="002F7195">
              <w:rPr>
                <w:rFonts w:eastAsiaTheme="minorEastAsia"/>
                <w:sz w:val="18"/>
                <w:szCs w:val="18"/>
                <w:lang w:val="en-US"/>
              </w:rPr>
              <w:t>(mg kg</w:t>
            </w:r>
            <w:r w:rsidR="002F7195" w:rsidRPr="002F7195">
              <w:rPr>
                <w:rFonts w:eastAsiaTheme="minorEastAsia"/>
                <w:sz w:val="18"/>
                <w:szCs w:val="18"/>
                <w:vertAlign w:val="superscript"/>
                <w:lang w:val="en-US"/>
              </w:rPr>
              <w:t>-1</w:t>
            </w:r>
            <w:r w:rsidR="002F7195" w:rsidRPr="002F7195">
              <w:rPr>
                <w:rFonts w:eastAsiaTheme="minorEastAsia"/>
                <w:sz w:val="18"/>
                <w:szCs w:val="18"/>
                <w:lang w:val="en-US"/>
              </w:rPr>
              <w:t>)</w:t>
            </w:r>
            <w:r w:rsidRPr="009C592E">
              <w:rPr>
                <w:rStyle w:val="tlid-translation"/>
                <w:sz w:val="18"/>
                <w:szCs w:val="18"/>
                <w:lang w:val="en-US"/>
              </w:rPr>
              <w:t>,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74B9AF4E" w14:textId="77777777" w:rsidR="002E2B65" w:rsidRPr="00EB4901" w:rsidRDefault="002E2B65"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4560E" w:rsidRPr="00E90906" w14:paraId="773D165B" w14:textId="77777777" w:rsidTr="008C28B2">
        <w:trPr>
          <w:trHeight w:val="364"/>
          <w:jc w:val="center"/>
        </w:trPr>
        <w:tc>
          <w:tcPr>
            <w:tcW w:w="15305" w:type="dxa"/>
            <w:gridSpan w:val="4"/>
            <w:tcBorders>
              <w:top w:val="single" w:sz="4" w:space="0" w:color="auto"/>
              <w:bottom w:val="single" w:sz="4" w:space="0" w:color="auto"/>
            </w:tcBorders>
            <w:vAlign w:val="center"/>
          </w:tcPr>
          <w:p w14:paraId="3132719B" w14:textId="07ACEF3A" w:rsidR="00F4560E" w:rsidRPr="005D3BD4" w:rsidRDefault="00F4560E" w:rsidP="00F4560E">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soil to </w:t>
            </w:r>
            <w:r>
              <w:rPr>
                <w:rStyle w:val="tlid-translation"/>
                <w:b/>
                <w:bCs/>
                <w:color w:val="000000" w:themeColor="text1"/>
                <w:sz w:val="20"/>
                <w:szCs w:val="20"/>
                <w:lang w:val="en-US"/>
              </w:rPr>
              <w:t>fruit</w:t>
            </w:r>
            <w:r w:rsidR="00C47678">
              <w:rPr>
                <w:rStyle w:val="tlid-translation"/>
                <w:b/>
                <w:bCs/>
                <w:color w:val="000000" w:themeColor="text1"/>
                <w:sz w:val="20"/>
                <w:szCs w:val="20"/>
                <w:lang w:val="en-US"/>
              </w:rPr>
              <w:t>s</w:t>
            </w:r>
            <w:r>
              <w:rPr>
                <w:rStyle w:val="tlid-translation"/>
                <w:b/>
                <w:bCs/>
                <w:color w:val="000000" w:themeColor="text1"/>
                <w:sz w:val="20"/>
                <w:szCs w:val="20"/>
                <w:lang w:val="en-US"/>
              </w:rPr>
              <w:t>, grains, seeds, tubers and vegetables</w:t>
            </w:r>
          </w:p>
        </w:tc>
      </w:tr>
      <w:tr w:rsidR="00F4560E" w:rsidRPr="00F4560E" w14:paraId="4F546694" w14:textId="77777777" w:rsidTr="002F7195">
        <w:trPr>
          <w:trHeight w:val="1546"/>
          <w:jc w:val="center"/>
        </w:trPr>
        <w:tc>
          <w:tcPr>
            <w:tcW w:w="2694" w:type="dxa"/>
            <w:tcBorders>
              <w:top w:val="single" w:sz="4" w:space="0" w:color="auto"/>
              <w:bottom w:val="single" w:sz="4" w:space="0" w:color="auto"/>
            </w:tcBorders>
            <w:vAlign w:val="center"/>
          </w:tcPr>
          <w:p w14:paraId="198716CB" w14:textId="1AFC82EF" w:rsidR="00F4560E" w:rsidRPr="00F71999" w:rsidRDefault="00F4560E" w:rsidP="00F4560E">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w:t>
            </w:r>
            <w:r w:rsidRPr="00F4560E">
              <w:rPr>
                <w:rStyle w:val="tlid-translation"/>
                <w:sz w:val="20"/>
                <w:szCs w:val="20"/>
                <w:lang w:val="en-US"/>
              </w:rPr>
              <w:t>ruits, grains, seeds, t</w:t>
            </w:r>
            <w:r>
              <w:rPr>
                <w:rStyle w:val="tlid-translation"/>
                <w:sz w:val="20"/>
                <w:szCs w:val="20"/>
                <w:lang w:val="en-US"/>
              </w:rPr>
              <w:t>ubers or vegetables</w:t>
            </w:r>
            <w:r w:rsidRPr="00F71999">
              <w:rPr>
                <w:rStyle w:val="tlid-translation"/>
                <w:sz w:val="20"/>
                <w:szCs w:val="20"/>
                <w:lang w:val="en-US"/>
              </w:rPr>
              <w:t xml:space="preserve"> </w:t>
            </w:r>
          </w:p>
          <w:p w14:paraId="6C1DA4E9" w14:textId="6E822EC1" w:rsidR="00F4560E" w:rsidRPr="00F71999" w:rsidRDefault="00F4560E" w:rsidP="00F4560E">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84C5D34" w14:textId="0B70A4A7" w:rsidR="00F4560E" w:rsidRPr="00F4560E" w:rsidRDefault="00A10B4C" w:rsidP="00F4560E">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v</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s-v</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eastAsiaTheme="minorEastAsia" w:hAnsi="Cambria Math"/>
                    <w:sz w:val="18"/>
                    <w:szCs w:val="18"/>
                    <w:lang w:val="en-US"/>
                  </w:rPr>
                  <m:t xml:space="preserve">      (11)</m:t>
                </m:r>
              </m:oMath>
            </m:oMathPara>
          </w:p>
        </w:tc>
        <w:tc>
          <w:tcPr>
            <w:tcW w:w="5032" w:type="dxa"/>
            <w:tcBorders>
              <w:top w:val="single" w:sz="4" w:space="0" w:color="auto"/>
              <w:bottom w:val="single" w:sz="4" w:space="0" w:color="auto"/>
            </w:tcBorders>
            <w:vAlign w:val="center"/>
          </w:tcPr>
          <w:p w14:paraId="34A076B9" w14:textId="0EB1B2E9" w:rsidR="00F4560E" w:rsidRPr="00606923" w:rsidRDefault="00C47678" w:rsidP="000B3C5C">
            <w:pPr>
              <w:spacing w:line="360" w:lineRule="auto"/>
              <w:ind w:left="79"/>
              <w:jc w:val="center"/>
              <w:rPr>
                <w:i/>
                <w:sz w:val="22"/>
                <w:szCs w:val="22"/>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r>
              <w:rPr>
                <w:rFonts w:eastAsiaTheme="minorEastAsia"/>
                <w:b/>
                <w:bCs/>
                <w:i/>
                <w:sz w:val="18"/>
                <w:szCs w:val="18"/>
                <w:vertAlign w:val="subscript"/>
                <w:lang w:val="en-US"/>
              </w:rPr>
              <w:t>v</w:t>
            </w:r>
            <w:r w:rsidRPr="005D3BD4">
              <w:rPr>
                <w:sz w:val="18"/>
                <w:szCs w:val="18"/>
                <w:lang w:val="en-US"/>
              </w:rPr>
              <w:t xml:space="preserve"> </w:t>
            </w:r>
            <w:r>
              <w:rPr>
                <w:sz w:val="18"/>
                <w:szCs w:val="18"/>
                <w:lang w:val="en-US"/>
              </w:rPr>
              <w:t>=</w:t>
            </w:r>
            <w:r w:rsidRPr="005D3BD4">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fruits, grains, seeds, tubers or vegetables</w:t>
            </w:r>
            <w:r w:rsidRPr="005D3BD4">
              <w:rPr>
                <w:sz w:val="18"/>
                <w:szCs w:val="18"/>
                <w:lang w:val="en-US"/>
              </w:rPr>
              <w:t>;</w:t>
            </w:r>
            <w:r w:rsidR="00335F60" w:rsidRPr="00335F60">
              <w:rPr>
                <w:sz w:val="18"/>
                <w:szCs w:val="18"/>
                <w:lang w:val="en-US"/>
              </w:rPr>
              <w:t xml:space="preserve"> </w:t>
            </w:r>
            <w:r w:rsidR="00335F60" w:rsidRPr="00335F60">
              <w:rPr>
                <w:rFonts w:eastAsiaTheme="minorEastAsia"/>
                <w:b/>
                <w:bCs/>
                <w:i/>
                <w:sz w:val="18"/>
                <w:szCs w:val="18"/>
                <w:lang w:val="en-US"/>
              </w:rPr>
              <w:t>CF</w:t>
            </w:r>
            <w:r w:rsidR="00335F60" w:rsidRPr="00335F60">
              <w:rPr>
                <w:rFonts w:eastAsiaTheme="minorEastAsia"/>
                <w:b/>
                <w:bCs/>
                <w:i/>
                <w:sz w:val="18"/>
                <w:szCs w:val="18"/>
                <w:vertAlign w:val="subscript"/>
                <w:lang w:val="en-US"/>
              </w:rPr>
              <w:t>2</w:t>
            </w:r>
            <w:r w:rsidR="00335F60" w:rsidRPr="00335F60">
              <w:rPr>
                <w:rFonts w:eastAsiaTheme="minorEastAsia"/>
                <w:sz w:val="18"/>
                <w:szCs w:val="18"/>
                <w:lang w:val="en-US"/>
              </w:rPr>
              <w:t xml:space="preserve"> = Dry/wet weight adjustment (85% vegetable moisture);</w:t>
            </w:r>
          </w:p>
        </w:tc>
        <w:tc>
          <w:tcPr>
            <w:tcW w:w="1246" w:type="dxa"/>
            <w:tcBorders>
              <w:top w:val="single" w:sz="4" w:space="0" w:color="auto"/>
              <w:bottom w:val="single" w:sz="4" w:space="0" w:color="auto"/>
            </w:tcBorders>
            <w:vAlign w:val="center"/>
          </w:tcPr>
          <w:p w14:paraId="0AF76117" w14:textId="63D55EB0" w:rsidR="00F4560E" w:rsidRPr="005D3BD4" w:rsidRDefault="002F7195" w:rsidP="00F4560E">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6040A" w:rsidRPr="00E90906" w14:paraId="73530E27" w14:textId="77777777" w:rsidTr="008C28B2">
        <w:trPr>
          <w:trHeight w:val="326"/>
          <w:jc w:val="center"/>
        </w:trPr>
        <w:tc>
          <w:tcPr>
            <w:tcW w:w="15305" w:type="dxa"/>
            <w:gridSpan w:val="4"/>
            <w:tcBorders>
              <w:top w:val="single" w:sz="4" w:space="0" w:color="auto"/>
              <w:bottom w:val="single" w:sz="4" w:space="0" w:color="auto"/>
            </w:tcBorders>
            <w:vAlign w:val="center"/>
          </w:tcPr>
          <w:p w14:paraId="072A0D76" w14:textId="2AED585C" w:rsidR="0026040A" w:rsidRPr="005D3BD4" w:rsidRDefault="0026040A"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water to </w:t>
            </w:r>
            <w:r>
              <w:rPr>
                <w:rStyle w:val="tlid-translation"/>
                <w:b/>
                <w:bCs/>
                <w:color w:val="000000" w:themeColor="text1"/>
                <w:sz w:val="20"/>
                <w:szCs w:val="20"/>
                <w:lang w:val="en-US"/>
              </w:rPr>
              <w:t>fish</w:t>
            </w:r>
          </w:p>
        </w:tc>
      </w:tr>
      <w:tr w:rsidR="0026040A" w:rsidRPr="00F4560E" w14:paraId="2A375285" w14:textId="77777777" w:rsidTr="0026040A">
        <w:trPr>
          <w:trHeight w:val="1380"/>
          <w:jc w:val="center"/>
        </w:trPr>
        <w:tc>
          <w:tcPr>
            <w:tcW w:w="2694" w:type="dxa"/>
            <w:tcBorders>
              <w:top w:val="single" w:sz="4" w:space="0" w:color="auto"/>
              <w:bottom w:val="single" w:sz="4" w:space="0" w:color="auto"/>
            </w:tcBorders>
            <w:vAlign w:val="center"/>
          </w:tcPr>
          <w:p w14:paraId="1C3EAA80" w14:textId="73C9995E" w:rsidR="0026040A" w:rsidRPr="00F71999" w:rsidRDefault="0026040A" w:rsidP="0026040A">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fish</w:t>
            </w:r>
            <w:r w:rsidRPr="00F71999">
              <w:rPr>
                <w:rStyle w:val="tlid-translation"/>
                <w:sz w:val="20"/>
                <w:szCs w:val="20"/>
                <w:lang w:val="en-US"/>
              </w:rPr>
              <w:t xml:space="preserve"> </w:t>
            </w:r>
          </w:p>
          <w:p w14:paraId="3FD78BCF" w14:textId="2B1FC026" w:rsidR="0026040A" w:rsidRPr="00F71999" w:rsidRDefault="0026040A" w:rsidP="0026040A">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B1B526D" w14:textId="41C2AAF5" w:rsidR="0026040A" w:rsidRPr="0026040A" w:rsidRDefault="00A10B4C" w:rsidP="0026040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fish</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w</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w-fish</m:t>
                    </m:r>
                  </m:sub>
                </m:sSub>
                <m:r>
                  <w:rPr>
                    <w:rFonts w:ascii="Cambria Math" w:eastAsiaTheme="minorEastAsia" w:hAnsi="Cambria Math"/>
                    <w:sz w:val="18"/>
                    <w:szCs w:val="18"/>
                    <w:lang w:val="en-US"/>
                  </w:rPr>
                  <m:t xml:space="preserve">      (12)</m:t>
                </m:r>
              </m:oMath>
            </m:oMathPara>
          </w:p>
        </w:tc>
        <w:tc>
          <w:tcPr>
            <w:tcW w:w="5032" w:type="dxa"/>
            <w:tcBorders>
              <w:top w:val="single" w:sz="4" w:space="0" w:color="auto"/>
              <w:bottom w:val="single" w:sz="4" w:space="0" w:color="auto"/>
            </w:tcBorders>
            <w:vAlign w:val="center"/>
          </w:tcPr>
          <w:p w14:paraId="7235EB59" w14:textId="1F62AE57" w:rsidR="0026040A" w:rsidRPr="00071AAC" w:rsidRDefault="00D54E74" w:rsidP="0026040A">
            <w:pPr>
              <w:spacing w:line="360" w:lineRule="auto"/>
              <w:ind w:left="79"/>
              <w:jc w:val="center"/>
              <w:rPr>
                <w:rFonts w:eastAsiaTheme="minorEastAsia"/>
                <w:b/>
                <w:bCs/>
                <w:i/>
                <w:sz w:val="18"/>
                <w:szCs w:val="18"/>
                <w:lang w:val="en-US"/>
              </w:rPr>
            </w:pPr>
            <w:proofErr w:type="spellStart"/>
            <w:r w:rsidRPr="00071AAC">
              <w:rPr>
                <w:rFonts w:eastAsiaTheme="minorEastAsia"/>
                <w:b/>
                <w:bCs/>
                <w:i/>
                <w:sz w:val="18"/>
                <w:szCs w:val="18"/>
                <w:lang w:val="en-US"/>
              </w:rPr>
              <w:t>BTF</w:t>
            </w:r>
            <w:r>
              <w:rPr>
                <w:rFonts w:eastAsiaTheme="minorEastAsia"/>
                <w:b/>
                <w:bCs/>
                <w:i/>
                <w:sz w:val="18"/>
                <w:szCs w:val="18"/>
                <w:vertAlign w:val="subscript"/>
                <w:lang w:val="en-US"/>
              </w:rPr>
              <w:t>w</w:t>
            </w:r>
            <w:proofErr w:type="spellEnd"/>
            <w:r w:rsidRPr="00071AAC">
              <w:rPr>
                <w:rFonts w:eastAsiaTheme="minorEastAsia"/>
                <w:b/>
                <w:bCs/>
                <w:i/>
                <w:sz w:val="18"/>
                <w:szCs w:val="18"/>
                <w:vertAlign w:val="subscript"/>
                <w:lang w:val="en-US"/>
              </w:rPr>
              <w:t>-</w:t>
            </w:r>
            <w:r>
              <w:rPr>
                <w:rFonts w:eastAsiaTheme="minorEastAsia"/>
                <w:b/>
                <w:bCs/>
                <w:i/>
                <w:sz w:val="18"/>
                <w:szCs w:val="18"/>
                <w:vertAlign w:val="subscript"/>
                <w:lang w:val="en-US"/>
              </w:rPr>
              <w:t>fish</w:t>
            </w:r>
            <w:r w:rsidRPr="005D3BD4">
              <w:rPr>
                <w:sz w:val="18"/>
                <w:szCs w:val="18"/>
                <w:lang w:val="en-US"/>
              </w:rPr>
              <w:t xml:space="preserve"> </w:t>
            </w:r>
            <w:r>
              <w:rPr>
                <w:sz w:val="18"/>
                <w:szCs w:val="18"/>
                <w:lang w:val="en-US"/>
              </w:rPr>
              <w:t>=</w:t>
            </w:r>
            <w:r w:rsidRPr="005D3BD4">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w:t>
            </w:r>
            <w:r>
              <w:rPr>
                <w:rStyle w:val="tlid-translation"/>
                <w:sz w:val="18"/>
                <w:szCs w:val="18"/>
                <w:lang w:val="en"/>
              </w:rPr>
              <w:t>water</w:t>
            </w:r>
            <w:r w:rsidRPr="005D3BD4">
              <w:rPr>
                <w:rStyle w:val="tlid-translation"/>
                <w:sz w:val="18"/>
                <w:szCs w:val="18"/>
                <w:lang w:val="en"/>
              </w:rPr>
              <w:t xml:space="preserve"> to </w:t>
            </w:r>
            <w:r>
              <w:rPr>
                <w:rStyle w:val="tlid-translation"/>
                <w:sz w:val="18"/>
                <w:szCs w:val="18"/>
                <w:lang w:val="en"/>
              </w:rPr>
              <w:t>fish</w:t>
            </w:r>
            <w:r w:rsidRPr="005D3BD4">
              <w:rPr>
                <w:sz w:val="18"/>
                <w:szCs w:val="18"/>
                <w:lang w:val="en-US"/>
              </w:rPr>
              <w:t>;</w:t>
            </w:r>
          </w:p>
        </w:tc>
        <w:tc>
          <w:tcPr>
            <w:tcW w:w="1246" w:type="dxa"/>
            <w:tcBorders>
              <w:top w:val="single" w:sz="4" w:space="0" w:color="auto"/>
              <w:bottom w:val="single" w:sz="4" w:space="0" w:color="auto"/>
            </w:tcBorders>
            <w:vAlign w:val="center"/>
          </w:tcPr>
          <w:p w14:paraId="1992A7AD" w14:textId="0C809B5B" w:rsidR="0026040A" w:rsidRPr="005D3BD4" w:rsidRDefault="00D54E74" w:rsidP="0026040A">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275DF" w:rsidRPr="00E90906" w14:paraId="0642D059" w14:textId="77777777" w:rsidTr="008C28B2">
        <w:trPr>
          <w:trHeight w:val="280"/>
          <w:jc w:val="center"/>
        </w:trPr>
        <w:tc>
          <w:tcPr>
            <w:tcW w:w="15305" w:type="dxa"/>
            <w:gridSpan w:val="4"/>
            <w:tcBorders>
              <w:top w:val="single" w:sz="4" w:space="0" w:color="auto"/>
              <w:bottom w:val="single" w:sz="4" w:space="0" w:color="auto"/>
            </w:tcBorders>
            <w:vAlign w:val="center"/>
          </w:tcPr>
          <w:p w14:paraId="46D8CD25" w14:textId="55AD5A1C" w:rsidR="00F275DF" w:rsidRPr="005D3BD4" w:rsidRDefault="00F275DF"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F275DF" w:rsidRPr="00F4560E" w14:paraId="4D5D8B9F" w14:textId="77777777" w:rsidTr="002A7144">
        <w:trPr>
          <w:trHeight w:val="1380"/>
          <w:jc w:val="center"/>
        </w:trPr>
        <w:tc>
          <w:tcPr>
            <w:tcW w:w="2694" w:type="dxa"/>
            <w:tcBorders>
              <w:top w:val="single" w:sz="4" w:space="0" w:color="auto"/>
              <w:bottom w:val="double" w:sz="4" w:space="0" w:color="auto"/>
            </w:tcBorders>
            <w:vAlign w:val="center"/>
          </w:tcPr>
          <w:p w14:paraId="58367EBB" w14:textId="6B6DB8FE" w:rsidR="00F275DF" w:rsidRDefault="00F275DF" w:rsidP="00F275DF">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bird</w:t>
            </w:r>
            <w:r w:rsidRPr="00307854">
              <w:rPr>
                <w:rStyle w:val="tlid-translation"/>
                <w:sz w:val="20"/>
                <w:szCs w:val="20"/>
                <w:lang w:val="en-US"/>
              </w:rPr>
              <w:t xml:space="preserve"> 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07240111" w14:textId="3DA8A71F" w:rsidR="00F275DF" w:rsidRPr="00F71999" w:rsidRDefault="00F275DF" w:rsidP="00F275DF">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double" w:sz="4" w:space="0" w:color="auto"/>
            </w:tcBorders>
            <w:vAlign w:val="center"/>
          </w:tcPr>
          <w:p w14:paraId="0B49A08D" w14:textId="435D3472" w:rsidR="00F275DF" w:rsidRPr="00F275DF" w:rsidRDefault="00A10B4C" w:rsidP="00F275DF">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(13)</m:t>
                </m:r>
              </m:oMath>
            </m:oMathPara>
          </w:p>
        </w:tc>
        <w:tc>
          <w:tcPr>
            <w:tcW w:w="5032" w:type="dxa"/>
            <w:tcBorders>
              <w:top w:val="single" w:sz="4" w:space="0" w:color="auto"/>
              <w:bottom w:val="double" w:sz="4" w:space="0" w:color="auto"/>
            </w:tcBorders>
            <w:vAlign w:val="center"/>
          </w:tcPr>
          <w:p w14:paraId="22A1091E" w14:textId="58E57A53" w:rsidR="00F275DF" w:rsidRPr="00071AAC" w:rsidRDefault="00F275DF" w:rsidP="00F275DF">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sidR="009123FF">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sidR="009123FF">
              <w:rPr>
                <w:rStyle w:val="tlid-translation"/>
                <w:sz w:val="18"/>
                <w:szCs w:val="18"/>
                <w:lang w:val="en"/>
              </w:rPr>
              <w:t xml:space="preserve">bird </w:t>
            </w:r>
            <w:r w:rsidRPr="005D3BD4">
              <w:rPr>
                <w:rStyle w:val="tlid-translation"/>
                <w:sz w:val="18"/>
                <w:szCs w:val="18"/>
                <w:lang w:val="en"/>
              </w:rPr>
              <w:t xml:space="preserve">meat or </w:t>
            </w:r>
            <w:r w:rsidR="009123FF">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sidR="009123FF">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sidR="009123FF">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proofErr w:type="spellStart"/>
            <w:r w:rsidRPr="005919AF">
              <w:rPr>
                <w:b/>
                <w:bCs/>
                <w:i/>
                <w:iCs/>
                <w:sz w:val="18"/>
                <w:szCs w:val="18"/>
                <w:lang w:val="en-US"/>
              </w:rPr>
              <w:t>Fp</w:t>
            </w:r>
            <w:proofErr w:type="spellEnd"/>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sidR="009123FF">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double" w:sz="4" w:space="0" w:color="auto"/>
            </w:tcBorders>
            <w:vAlign w:val="center"/>
          </w:tcPr>
          <w:p w14:paraId="16E79576" w14:textId="718ACC1D" w:rsidR="00F275DF" w:rsidRPr="005D3BD4" w:rsidRDefault="00F275DF" w:rsidP="00F275D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4C115BF4" w14:textId="1EBD7365" w:rsidR="00B4560A" w:rsidRDefault="00B4560A"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B4560A" w:rsidRPr="003C1E54" w14:paraId="4DA492AB" w14:textId="77777777" w:rsidTr="008C28B2">
        <w:trPr>
          <w:trHeight w:val="494"/>
          <w:jc w:val="center"/>
        </w:trPr>
        <w:tc>
          <w:tcPr>
            <w:tcW w:w="2694" w:type="dxa"/>
            <w:tcBorders>
              <w:top w:val="double" w:sz="4" w:space="0" w:color="auto"/>
              <w:bottom w:val="double" w:sz="4" w:space="0" w:color="auto"/>
            </w:tcBorders>
            <w:vAlign w:val="center"/>
          </w:tcPr>
          <w:p w14:paraId="16069595"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15A535DF"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7E105D16"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54D01438" w14:textId="77777777" w:rsidR="00B4560A" w:rsidRPr="003C1E54" w:rsidRDefault="00B4560A"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B4560A" w:rsidRPr="00E90906" w14:paraId="5BD5F7E2" w14:textId="77777777" w:rsidTr="008C28B2">
        <w:trPr>
          <w:trHeight w:val="280"/>
          <w:jc w:val="center"/>
        </w:trPr>
        <w:tc>
          <w:tcPr>
            <w:tcW w:w="15305" w:type="dxa"/>
            <w:gridSpan w:val="4"/>
            <w:tcBorders>
              <w:top w:val="single" w:sz="4" w:space="0" w:color="auto"/>
              <w:bottom w:val="single" w:sz="4" w:space="0" w:color="auto"/>
            </w:tcBorders>
            <w:vAlign w:val="center"/>
          </w:tcPr>
          <w:p w14:paraId="44D288C6" w14:textId="77777777" w:rsidR="00B4560A" w:rsidRPr="005D3BD4" w:rsidRDefault="00B4560A" w:rsidP="008C28B2">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B4560A" w:rsidRPr="00F4560E" w14:paraId="6031A555" w14:textId="77777777" w:rsidTr="00B4560A">
        <w:trPr>
          <w:trHeight w:val="1380"/>
          <w:jc w:val="center"/>
        </w:trPr>
        <w:tc>
          <w:tcPr>
            <w:tcW w:w="2694" w:type="dxa"/>
            <w:tcBorders>
              <w:top w:val="single" w:sz="4" w:space="0" w:color="auto"/>
              <w:bottom w:val="single" w:sz="4" w:space="0" w:color="auto"/>
            </w:tcBorders>
            <w:vAlign w:val="center"/>
          </w:tcPr>
          <w:p w14:paraId="3A937EC8" w14:textId="49E3D9D3" w:rsidR="00B4560A" w:rsidRDefault="00B4560A"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w:t>
            </w:r>
            <w:r w:rsidRPr="00307854">
              <w:rPr>
                <w:rStyle w:val="tlid-translation"/>
                <w:sz w:val="20"/>
                <w:szCs w:val="20"/>
                <w:lang w:val="en-US"/>
              </w:rPr>
              <w:t xml:space="preserve">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477384CA" w14:textId="77777777" w:rsidR="00B4560A" w:rsidRPr="00F71999" w:rsidRDefault="00B4560A"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35BA13D2" w14:textId="467C805F" w:rsidR="00B4560A" w:rsidRPr="00F275DF" w:rsidRDefault="00A10B4C"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(14)</m:t>
                </m:r>
              </m:oMath>
            </m:oMathPara>
          </w:p>
        </w:tc>
        <w:tc>
          <w:tcPr>
            <w:tcW w:w="5032" w:type="dxa"/>
            <w:tcBorders>
              <w:top w:val="single" w:sz="4" w:space="0" w:color="auto"/>
              <w:bottom w:val="single" w:sz="4" w:space="0" w:color="auto"/>
            </w:tcBorders>
            <w:vAlign w:val="center"/>
          </w:tcPr>
          <w:p w14:paraId="3E974258" w14:textId="77777777" w:rsidR="00B4560A" w:rsidRPr="00071AAC" w:rsidRDefault="00B4560A" w:rsidP="008C28B2">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 xml:space="preserve">bird </w:t>
            </w:r>
            <w:r w:rsidRPr="005D3BD4">
              <w:rPr>
                <w:rStyle w:val="tlid-translation"/>
                <w:sz w:val="18"/>
                <w:szCs w:val="18"/>
                <w:lang w:val="en"/>
              </w:rPr>
              <w:t xml:space="preserve">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proofErr w:type="spellStart"/>
            <w:r w:rsidRPr="005919AF">
              <w:rPr>
                <w:b/>
                <w:bCs/>
                <w:i/>
                <w:iCs/>
                <w:sz w:val="18"/>
                <w:szCs w:val="18"/>
                <w:lang w:val="en-US"/>
              </w:rPr>
              <w:t>Fp</w:t>
            </w:r>
            <w:proofErr w:type="spellEnd"/>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single" w:sz="4" w:space="0" w:color="auto"/>
            </w:tcBorders>
            <w:vAlign w:val="center"/>
          </w:tcPr>
          <w:p w14:paraId="4BD908C1" w14:textId="77777777" w:rsidR="00B4560A" w:rsidRPr="005D3BD4" w:rsidRDefault="00B4560A"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F6A7D" w:rsidRPr="00F4560E" w14:paraId="1659E7E5" w14:textId="77777777" w:rsidTr="0019572F">
        <w:trPr>
          <w:trHeight w:val="1380"/>
          <w:jc w:val="center"/>
        </w:trPr>
        <w:tc>
          <w:tcPr>
            <w:tcW w:w="2694" w:type="dxa"/>
            <w:tcBorders>
              <w:top w:val="single" w:sz="4" w:space="0" w:color="auto"/>
              <w:bottom w:val="single" w:sz="4" w:space="0" w:color="auto"/>
            </w:tcBorders>
            <w:vAlign w:val="center"/>
          </w:tcPr>
          <w:p w14:paraId="28AEABDA" w14:textId="59484F05" w:rsidR="002F6A7D" w:rsidRDefault="002F6A7D" w:rsidP="002F6A7D">
            <w:pPr>
              <w:spacing w:line="360" w:lineRule="auto"/>
              <w:jc w:val="center"/>
              <w:rPr>
                <w:rFonts w:eastAsiaTheme="minorEastAsia"/>
                <w:sz w:val="20"/>
                <w:szCs w:val="20"/>
                <w:lang w:val="en-US"/>
              </w:rPr>
            </w:pPr>
            <w:r w:rsidRPr="00307854">
              <w:rPr>
                <w:rStyle w:val="tlid-translation"/>
                <w:sz w:val="20"/>
                <w:szCs w:val="20"/>
                <w:lang w:val="en-US"/>
              </w:rPr>
              <w:t xml:space="preserve">Chemical species concentration in meat or </w:t>
            </w:r>
            <w:r>
              <w:rPr>
                <w:rStyle w:val="tlid-translation"/>
                <w:sz w:val="20"/>
                <w:szCs w:val="20"/>
                <w:lang w:val="en-US"/>
              </w:rPr>
              <w:t xml:space="preserve">eggs </w:t>
            </w:r>
            <w:r w:rsidRPr="00307854">
              <w:rPr>
                <w:rStyle w:val="tlid-translation"/>
                <w:sz w:val="20"/>
                <w:szCs w:val="20"/>
                <w:lang w:val="en-US"/>
              </w:rPr>
              <w:t xml:space="preserve">derived from water ingestion by the </w:t>
            </w:r>
            <w:r>
              <w:rPr>
                <w:rStyle w:val="tlid-translation"/>
                <w:sz w:val="20"/>
                <w:szCs w:val="20"/>
                <w:lang w:val="en-US"/>
              </w:rPr>
              <w:t>bird</w:t>
            </w:r>
          </w:p>
          <w:p w14:paraId="7A0D93B7" w14:textId="5003908D" w:rsidR="002F6A7D" w:rsidRPr="00307854" w:rsidRDefault="002F6A7D" w:rsidP="002F6A7D">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75E8BF00" w14:textId="3BC648BF" w:rsidR="002F6A7D" w:rsidRDefault="00A10B4C" w:rsidP="002F6A7D">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w-X</m:t>
                    </m:r>
                  </m:sub>
                </m:sSub>
                <m:r>
                  <w:rPr>
                    <w:rFonts w:ascii="Cambria Math" w:hAnsi="Cambria Math"/>
                    <w:sz w:val="18"/>
                    <w:szCs w:val="18"/>
                    <w:lang w:val="en-US"/>
                  </w:rPr>
                  <m:t>∙fw</m:t>
                </m:r>
                <m:r>
                  <w:rPr>
                    <w:rFonts w:ascii="Cambria Math" w:eastAsiaTheme="minorEastAsia" w:hAnsi="Cambria Math"/>
                    <w:sz w:val="18"/>
                    <w:szCs w:val="18"/>
                    <w:lang w:val="en-US"/>
                  </w:rPr>
                  <m:t xml:space="preserve">         (15)</m:t>
                </m:r>
              </m:oMath>
            </m:oMathPara>
          </w:p>
        </w:tc>
        <w:tc>
          <w:tcPr>
            <w:tcW w:w="5032" w:type="dxa"/>
            <w:tcBorders>
              <w:top w:val="single" w:sz="4" w:space="0" w:color="auto"/>
              <w:bottom w:val="single" w:sz="4" w:space="0" w:color="auto"/>
            </w:tcBorders>
            <w:vAlign w:val="center"/>
          </w:tcPr>
          <w:p w14:paraId="7CF45603" w14:textId="0ACF97EC" w:rsidR="002F6A7D" w:rsidRPr="005D3BD4" w:rsidRDefault="002F6A7D" w:rsidP="002F6A7D">
            <w:pPr>
              <w:spacing w:line="360" w:lineRule="auto"/>
              <w:ind w:left="79"/>
              <w:jc w:val="center"/>
              <w:rPr>
                <w:rFonts w:eastAsiaTheme="minorEastAsia"/>
                <w:b/>
                <w:bCs/>
                <w:i/>
                <w:sz w:val="18"/>
                <w:szCs w:val="18"/>
                <w:lang w:val="en-US"/>
              </w:rPr>
            </w:pPr>
            <w:proofErr w:type="spellStart"/>
            <w:r w:rsidRPr="00323B9E">
              <w:rPr>
                <w:rFonts w:eastAsiaTheme="minorEastAsia"/>
                <w:b/>
                <w:bCs/>
                <w:i/>
                <w:sz w:val="18"/>
                <w:szCs w:val="18"/>
                <w:lang w:val="en-US"/>
              </w:rPr>
              <w:t>BTF</w:t>
            </w:r>
            <w:r w:rsidRPr="00323B9E">
              <w:rPr>
                <w:rFonts w:eastAsiaTheme="minorEastAsia"/>
                <w:b/>
                <w:bCs/>
                <w:i/>
                <w:sz w:val="18"/>
                <w:szCs w:val="18"/>
                <w:vertAlign w:val="subscript"/>
                <w:lang w:val="en-US"/>
              </w:rPr>
              <w:t>w</w:t>
            </w:r>
            <w:proofErr w:type="spellEnd"/>
            <w:r w:rsidRPr="00323B9E">
              <w:rPr>
                <w:rFonts w:eastAsiaTheme="minorEastAsia"/>
                <w:b/>
                <w:bCs/>
                <w:i/>
                <w:sz w:val="18"/>
                <w:szCs w:val="18"/>
                <w:vertAlign w:val="subscript"/>
                <w:lang w:val="en-US"/>
              </w:rPr>
              <w:t>-</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water to</w:t>
            </w:r>
            <w:r>
              <w:rPr>
                <w:rStyle w:val="tlid-translation"/>
                <w:sz w:val="18"/>
                <w:szCs w:val="18"/>
                <w:lang w:val="en"/>
              </w:rPr>
              <w:t xml:space="preserve"> bird</w:t>
            </w:r>
            <w:r w:rsidRPr="005D3BD4">
              <w:rPr>
                <w:rStyle w:val="tlid-translation"/>
                <w:sz w:val="18"/>
                <w:szCs w:val="18"/>
                <w:lang w:val="en"/>
              </w:rPr>
              <w:t xml:space="preserve"> 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proofErr w:type="spellStart"/>
            <w:r w:rsidRPr="00323B9E">
              <w:rPr>
                <w:b/>
                <w:bCs/>
                <w:i/>
                <w:sz w:val="18"/>
                <w:szCs w:val="18"/>
                <w:lang w:val="en-US"/>
              </w:rPr>
              <w:t>IR</w:t>
            </w:r>
            <w:r w:rsidRPr="00323B9E">
              <w:rPr>
                <w:b/>
                <w:bCs/>
                <w:i/>
                <w:sz w:val="18"/>
                <w:szCs w:val="18"/>
                <w:vertAlign w:val="subscript"/>
                <w:lang w:val="en-US"/>
              </w:rPr>
              <w:t>w</w:t>
            </w:r>
            <w:proofErr w:type="spellEnd"/>
            <w:r w:rsidRPr="00323B9E">
              <w:rPr>
                <w:b/>
                <w:bCs/>
                <w:i/>
                <w:sz w:val="18"/>
                <w:szCs w:val="18"/>
                <w:vertAlign w:val="subscript"/>
                <w:lang w:val="en-US"/>
              </w:rPr>
              <w:t>-</w:t>
            </w:r>
            <w:r>
              <w:rPr>
                <w:b/>
                <w:bCs/>
                <w:i/>
                <w:sz w:val="18"/>
                <w:szCs w:val="18"/>
                <w:vertAlign w:val="subscript"/>
                <w:lang w:val="en-US"/>
              </w:rPr>
              <w:t>X</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Pr>
                <w:rStyle w:val="tlid-translation"/>
                <w:sz w:val="18"/>
                <w:szCs w:val="18"/>
                <w:lang w:val="en-US"/>
              </w:rPr>
              <w:t xml:space="preserve"> bird</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proofErr w:type="spellStart"/>
            <w:r w:rsidRPr="00323B9E">
              <w:rPr>
                <w:b/>
                <w:bCs/>
                <w:i/>
                <w:iCs/>
                <w:sz w:val="18"/>
                <w:szCs w:val="18"/>
                <w:lang w:val="en-US"/>
              </w:rPr>
              <w:t>fw</w:t>
            </w:r>
            <w:proofErr w:type="spellEnd"/>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246" w:type="dxa"/>
            <w:tcBorders>
              <w:top w:val="single" w:sz="4" w:space="0" w:color="auto"/>
              <w:bottom w:val="single" w:sz="4" w:space="0" w:color="auto"/>
            </w:tcBorders>
            <w:vAlign w:val="center"/>
          </w:tcPr>
          <w:p w14:paraId="4494AA66" w14:textId="04500310" w:rsidR="002F6A7D" w:rsidRPr="005D3BD4" w:rsidRDefault="002F6A7D" w:rsidP="002F6A7D">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19572F" w:rsidRPr="00F4560E" w14:paraId="032A759D" w14:textId="77777777" w:rsidTr="008C28B2">
        <w:trPr>
          <w:trHeight w:val="1380"/>
          <w:jc w:val="center"/>
        </w:trPr>
        <w:tc>
          <w:tcPr>
            <w:tcW w:w="2694" w:type="dxa"/>
            <w:tcBorders>
              <w:top w:val="single" w:sz="4" w:space="0" w:color="auto"/>
              <w:bottom w:val="double" w:sz="4" w:space="0" w:color="auto"/>
            </w:tcBorders>
            <w:vAlign w:val="center"/>
          </w:tcPr>
          <w:p w14:paraId="1F391C03" w14:textId="713E60C5" w:rsidR="0019572F" w:rsidRPr="00F71999" w:rsidRDefault="0019572F" w:rsidP="0019572F">
            <w:pPr>
              <w:spacing w:line="360" w:lineRule="auto"/>
              <w:jc w:val="center"/>
              <w:rPr>
                <w:rStyle w:val="tlid-translation"/>
                <w:sz w:val="20"/>
                <w:szCs w:val="20"/>
                <w:lang w:val="en-US"/>
              </w:rPr>
            </w:pPr>
            <w:r w:rsidRPr="00F71999">
              <w:rPr>
                <w:rStyle w:val="tlid-translation"/>
                <w:sz w:val="20"/>
                <w:szCs w:val="20"/>
                <w:lang w:val="en-US"/>
              </w:rPr>
              <w:t>Total chemical species concentration in</w:t>
            </w:r>
            <w:r>
              <w:rPr>
                <w:rStyle w:val="tlid-translation"/>
                <w:sz w:val="20"/>
                <w:szCs w:val="20"/>
                <w:lang w:val="en-US"/>
              </w:rPr>
              <w:t xml:space="preserve"> bird</w:t>
            </w:r>
            <w:r w:rsidRPr="00F71999">
              <w:rPr>
                <w:rStyle w:val="tlid-translation"/>
                <w:sz w:val="20"/>
                <w:szCs w:val="20"/>
                <w:lang w:val="en-US"/>
              </w:rPr>
              <w:t xml:space="preserve"> meat or</w:t>
            </w:r>
            <w:r>
              <w:rPr>
                <w:rStyle w:val="tlid-translation"/>
                <w:sz w:val="20"/>
                <w:szCs w:val="20"/>
                <w:lang w:val="en-US"/>
              </w:rPr>
              <w:t xml:space="preserve"> eggs</w:t>
            </w:r>
          </w:p>
          <w:p w14:paraId="1CB64288" w14:textId="6CF451AA" w:rsidR="0019572F" w:rsidRPr="00307854" w:rsidRDefault="0019572F" w:rsidP="0019572F">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double" w:sz="4" w:space="0" w:color="auto"/>
            </w:tcBorders>
            <w:vAlign w:val="center"/>
          </w:tcPr>
          <w:p w14:paraId="17230EBC" w14:textId="398CDD70" w:rsidR="0019572F" w:rsidRDefault="00A10B4C" w:rsidP="0019572F">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2</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(16)</m:t>
                </m:r>
              </m:oMath>
            </m:oMathPara>
          </w:p>
        </w:tc>
        <w:tc>
          <w:tcPr>
            <w:tcW w:w="5032" w:type="dxa"/>
            <w:tcBorders>
              <w:top w:val="single" w:sz="4" w:space="0" w:color="auto"/>
              <w:bottom w:val="double" w:sz="4" w:space="0" w:color="auto"/>
            </w:tcBorders>
            <w:vAlign w:val="center"/>
          </w:tcPr>
          <w:p w14:paraId="36F90608" w14:textId="48530AB4" w:rsidR="0019572F" w:rsidRPr="00323B9E" w:rsidRDefault="0019572F" w:rsidP="0019572F">
            <w:pPr>
              <w:spacing w:line="360" w:lineRule="auto"/>
              <w:ind w:left="79"/>
              <w:jc w:val="center"/>
              <w:rPr>
                <w:rFonts w:eastAsiaTheme="minorEastAsia"/>
                <w:b/>
                <w:bCs/>
                <w:i/>
                <w:sz w:val="18"/>
                <w:szCs w:val="18"/>
                <w:lang w:val="en-US"/>
              </w:rPr>
            </w:pPr>
            <w:r>
              <w:rPr>
                <w:rFonts w:eastAsiaTheme="minorEastAsia"/>
                <w:b/>
                <w:bCs/>
                <w:i/>
                <w:sz w:val="18"/>
                <w:szCs w:val="18"/>
                <w:lang w:val="en-US"/>
              </w:rPr>
              <w:t>C</w:t>
            </w:r>
            <w:r>
              <w:rPr>
                <w:rFonts w:eastAsiaTheme="minorEastAsia"/>
                <w:b/>
                <w:bCs/>
                <w:i/>
                <w:sz w:val="18"/>
                <w:szCs w:val="18"/>
                <w:vertAlign w:val="subscript"/>
                <w:lang w:val="en-US"/>
              </w:rPr>
              <w:t>X-γ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w:t>
            </w:r>
            <w:r>
              <w:rPr>
                <w:rStyle w:val="tlid-translation"/>
                <w:sz w:val="18"/>
                <w:szCs w:val="18"/>
                <w:lang w:val="en-US"/>
              </w:rPr>
              <w:t xml:space="preserve"> bird</w:t>
            </w:r>
            <w:r w:rsidRPr="009C592E">
              <w:rPr>
                <w:rStyle w:val="tlid-translation"/>
                <w:sz w:val="18"/>
                <w:szCs w:val="18"/>
                <w:lang w:val="en-US"/>
              </w:rPr>
              <w:t xml:space="preserve"> meat or </w:t>
            </w:r>
            <w:r>
              <w:rPr>
                <w:rStyle w:val="tlid-translation"/>
                <w:sz w:val="18"/>
                <w:szCs w:val="18"/>
                <w:lang w:val="en-US"/>
              </w:rPr>
              <w:t>eggs</w:t>
            </w:r>
            <w:r w:rsidRPr="009C592E">
              <w:rPr>
                <w:rStyle w:val="tlid-translation"/>
                <w:sz w:val="18"/>
                <w:szCs w:val="18"/>
                <w:lang w:val="en-US"/>
              </w:rPr>
              <w:t xml:space="preserve"> derived from contaminated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double" w:sz="4" w:space="0" w:color="auto"/>
            </w:tcBorders>
            <w:vAlign w:val="center"/>
          </w:tcPr>
          <w:p w14:paraId="0A69428B" w14:textId="09691DD2" w:rsidR="0019572F" w:rsidRPr="005D3BD4" w:rsidRDefault="0019572F" w:rsidP="0019572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39C56A62" w14:textId="3D16E66E" w:rsidR="00C63C0B" w:rsidRDefault="00C63C0B" w:rsidP="00CC68E6">
      <w:pPr>
        <w:jc w:val="both"/>
        <w:rPr>
          <w:sz w:val="28"/>
          <w:lang w:val="en-US"/>
        </w:rPr>
      </w:pPr>
      <w:r>
        <w:rPr>
          <w:sz w:val="28"/>
          <w:lang w:val="en-US"/>
        </w:rPr>
        <w:br w:type="page"/>
      </w:r>
    </w:p>
    <w:p w14:paraId="38B706E8" w14:textId="6D36A050" w:rsidR="00D17512" w:rsidRDefault="00D17512" w:rsidP="0006499C">
      <w:pPr>
        <w:spacing w:after="0" w:line="276" w:lineRule="auto"/>
        <w:ind w:firstLine="567"/>
        <w:jc w:val="both"/>
        <w:rPr>
          <w:sz w:val="28"/>
          <w:lang w:val="en-US"/>
        </w:rPr>
      </w:pPr>
      <w:r w:rsidRPr="0017539F">
        <w:rPr>
          <w:sz w:val="28"/>
          <w:lang w:val="en-US"/>
        </w:rPr>
        <w:lastRenderedPageBreak/>
        <w:t>Exposure to chemicals may cause carcinogenic and non-carcinogenic effects, which are treated differently in the risk assessment calculations. The carcinogenic effects are stochastic in nature and do not have a safe dose threshold</w:t>
      </w:r>
      <w:r>
        <w:rPr>
          <w:sz w:val="28"/>
          <w:lang w:val="en-US"/>
        </w:rPr>
        <w:t>, while th</w:t>
      </w:r>
      <w:r w:rsidRPr="0017539F">
        <w:rPr>
          <w:sz w:val="28"/>
          <w:lang w:val="en-US"/>
        </w:rPr>
        <w:t>e non-carcinogenic effects already appear after exceeding a certain dose threshold. The non-carcinogenic hazard quotient (</w:t>
      </w:r>
      <w:r w:rsidRPr="0017539F">
        <w:rPr>
          <w:i/>
          <w:sz w:val="28"/>
          <w:lang w:val="en-US"/>
        </w:rPr>
        <w:t>HQ</w:t>
      </w:r>
      <w:r w:rsidRPr="0017539F">
        <w:rPr>
          <w:sz w:val="28"/>
          <w:lang w:val="en-US"/>
        </w:rPr>
        <w:t>) and the potential carcinogenic risk (</w:t>
      </w:r>
      <w:r w:rsidRPr="0017539F">
        <w:rPr>
          <w:i/>
          <w:sz w:val="28"/>
          <w:lang w:val="en-US"/>
        </w:rPr>
        <w:t>CR</w:t>
      </w:r>
      <w:r w:rsidRPr="0017539F">
        <w:rPr>
          <w:sz w:val="28"/>
          <w:lang w:val="en-US"/>
        </w:rPr>
        <w:t xml:space="preserve">) are </w:t>
      </w:r>
      <w:r w:rsidRPr="001857F2">
        <w:rPr>
          <w:sz w:val="28"/>
          <w:lang w:val="en-US"/>
        </w:rPr>
        <w:t xml:space="preserve">calculated using equations </w:t>
      </w:r>
      <w:r>
        <w:rPr>
          <w:sz w:val="28"/>
          <w:lang w:val="en-US"/>
        </w:rPr>
        <w:t xml:space="preserve">provided by U.S. EPA </w:t>
      </w:r>
      <w:r>
        <w:rPr>
          <w:sz w:val="28"/>
          <w:lang w:val="en-US"/>
        </w:rPr>
        <w:fldChar w:fldCharType="begin" w:fldLock="1"/>
      </w:r>
      <w:r w:rsidR="00616646">
        <w:rPr>
          <w:sz w:val="28"/>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Pr>
          <w:sz w:val="28"/>
          <w:lang w:val="en-US"/>
        </w:rPr>
        <w:fldChar w:fldCharType="separate"/>
      </w:r>
      <w:r w:rsidRPr="00D17512">
        <w:rPr>
          <w:noProof/>
          <w:sz w:val="28"/>
          <w:lang w:val="en-US"/>
        </w:rPr>
        <w:t>(2007, 2005a)</w:t>
      </w:r>
      <w:r>
        <w:rPr>
          <w:sz w:val="28"/>
          <w:lang w:val="en-US"/>
        </w:rPr>
        <w:fldChar w:fldCharType="end"/>
      </w:r>
      <w:r>
        <w:rPr>
          <w:sz w:val="28"/>
          <w:lang w:val="en-US"/>
        </w:rPr>
        <w:t>.</w:t>
      </w:r>
      <w:r w:rsidR="0006499C">
        <w:rPr>
          <w:sz w:val="28"/>
          <w:lang w:val="en-US"/>
        </w:rPr>
        <w:t xml:space="preserve"> Some</w:t>
      </w:r>
      <w:r w:rsidR="0006499C" w:rsidRPr="0017539F">
        <w:rPr>
          <w:sz w:val="28"/>
          <w:lang w:val="en-US"/>
        </w:rPr>
        <w:t xml:space="preserve"> parameters used in these calculations are summarized in </w:t>
      </w:r>
      <w:r w:rsidR="0006499C" w:rsidRPr="00A25D23">
        <w:rPr>
          <w:b/>
          <w:bCs/>
          <w:sz w:val="28"/>
          <w:lang w:val="en-US"/>
        </w:rPr>
        <w:t>Table</w:t>
      </w:r>
      <w:r w:rsidR="0006499C">
        <w:rPr>
          <w:b/>
          <w:bCs/>
          <w:sz w:val="28"/>
          <w:lang w:val="en-US"/>
        </w:rPr>
        <w:t>s</w:t>
      </w:r>
      <w:r w:rsidR="0006499C" w:rsidRPr="00A25D23">
        <w:rPr>
          <w:b/>
          <w:bCs/>
          <w:sz w:val="28"/>
          <w:lang w:val="en-US"/>
        </w:rPr>
        <w:t xml:space="preserve"> </w:t>
      </w:r>
      <w:r w:rsidR="0006499C">
        <w:rPr>
          <w:b/>
          <w:bCs/>
          <w:sz w:val="28"/>
          <w:lang w:val="en-US"/>
        </w:rPr>
        <w:t>11–14</w:t>
      </w:r>
      <w:r w:rsidR="0006499C" w:rsidRPr="0017539F">
        <w:rPr>
          <w:sz w:val="28"/>
          <w:lang w:val="en-US"/>
        </w:rPr>
        <w:t>.</w:t>
      </w:r>
    </w:p>
    <w:p w14:paraId="706A9408" w14:textId="7BC8CA5A" w:rsidR="00D17512" w:rsidRPr="002E2B65" w:rsidRDefault="00D17512" w:rsidP="00D17512">
      <w:pPr>
        <w:spacing w:before="240" w:after="0" w:line="360" w:lineRule="auto"/>
        <w:jc w:val="center"/>
        <w:rPr>
          <w:sz w:val="28"/>
          <w:lang w:val="en"/>
        </w:rPr>
      </w:pPr>
      <w:r w:rsidRPr="00BD6F4A">
        <w:rPr>
          <w:b/>
          <w:sz w:val="28"/>
          <w:lang w:val="en-US"/>
        </w:rPr>
        <w:t xml:space="preserve">Table </w:t>
      </w:r>
      <w:r>
        <w:rPr>
          <w:b/>
          <w:sz w:val="28"/>
          <w:lang w:val="en-US"/>
        </w:rPr>
        <w:t>3</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proofErr w:type="spellStart"/>
      <w:r w:rsidR="003F31FE">
        <w:rPr>
          <w:rStyle w:val="tlid-translation"/>
          <w:sz w:val="28"/>
          <w:lang w:val="en"/>
        </w:rPr>
        <w:t>HERisk</w:t>
      </w:r>
      <w:proofErr w:type="spellEnd"/>
      <w:r w:rsidRPr="00BD6F4A">
        <w:rPr>
          <w:rStyle w:val="tlid-translation"/>
          <w:sz w:val="28"/>
          <w:lang w:val="en"/>
        </w:rPr>
        <w:t xml:space="preserve"> </w:t>
      </w:r>
      <w:r>
        <w:rPr>
          <w:rStyle w:val="tlid-translation"/>
          <w:sz w:val="28"/>
          <w:lang w:val="en"/>
        </w:rPr>
        <w:t xml:space="preserve">for the calculation of </w:t>
      </w:r>
      <w:r w:rsidRPr="0017539F">
        <w:rPr>
          <w:sz w:val="28"/>
          <w:lang w:val="en-US"/>
        </w:rPr>
        <w:t>non-carcinogenic hazard quotient</w:t>
      </w:r>
      <w:r>
        <w:rPr>
          <w:sz w:val="28"/>
          <w:lang w:val="en-US"/>
        </w:rPr>
        <w:t xml:space="preserve"> and </w:t>
      </w:r>
      <w:r w:rsidRPr="0017539F">
        <w:rPr>
          <w:sz w:val="28"/>
          <w:lang w:val="en-US"/>
        </w:rPr>
        <w:t>potential carcinogenic risk</w:t>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D17512" w:rsidRPr="003C1E54" w14:paraId="074E1946" w14:textId="77777777" w:rsidTr="008C28B2">
        <w:trPr>
          <w:trHeight w:val="494"/>
          <w:jc w:val="center"/>
        </w:trPr>
        <w:tc>
          <w:tcPr>
            <w:tcW w:w="2694" w:type="dxa"/>
            <w:tcBorders>
              <w:top w:val="double" w:sz="4" w:space="0" w:color="auto"/>
              <w:bottom w:val="double" w:sz="4" w:space="0" w:color="auto"/>
            </w:tcBorders>
            <w:vAlign w:val="center"/>
          </w:tcPr>
          <w:p w14:paraId="3BEF24F0"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33" w:type="dxa"/>
            <w:tcBorders>
              <w:top w:val="double" w:sz="4" w:space="0" w:color="auto"/>
              <w:bottom w:val="double" w:sz="4" w:space="0" w:color="auto"/>
            </w:tcBorders>
            <w:vAlign w:val="center"/>
          </w:tcPr>
          <w:p w14:paraId="6068DDD5"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32131BA2"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2217D4DE" w14:textId="77777777" w:rsidR="00D17512" w:rsidRPr="003C1E54" w:rsidRDefault="00D17512"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D17512" w:rsidRPr="00E90906" w14:paraId="72120977" w14:textId="77777777" w:rsidTr="008C28B2">
        <w:trPr>
          <w:trHeight w:val="280"/>
          <w:jc w:val="center"/>
        </w:trPr>
        <w:tc>
          <w:tcPr>
            <w:tcW w:w="15305" w:type="dxa"/>
            <w:gridSpan w:val="4"/>
            <w:tcBorders>
              <w:top w:val="single" w:sz="4" w:space="0" w:color="auto"/>
              <w:bottom w:val="single" w:sz="4" w:space="0" w:color="auto"/>
            </w:tcBorders>
            <w:vAlign w:val="center"/>
          </w:tcPr>
          <w:p w14:paraId="5A2C56FD" w14:textId="3C42D2EC" w:rsidR="00D17512" w:rsidRPr="00D17512" w:rsidRDefault="00D17512" w:rsidP="008C28B2">
            <w:pPr>
              <w:spacing w:line="360" w:lineRule="auto"/>
              <w:jc w:val="center"/>
              <w:rPr>
                <w:rStyle w:val="tlid-translation"/>
                <w:b/>
                <w:bCs/>
                <w:sz w:val="20"/>
                <w:szCs w:val="20"/>
                <w:lang w:val="en"/>
              </w:rPr>
            </w:pPr>
            <w:r w:rsidRPr="00D17512">
              <w:rPr>
                <w:b/>
                <w:bCs/>
                <w:sz w:val="20"/>
                <w:szCs w:val="20"/>
                <w:lang w:val="en-US"/>
              </w:rPr>
              <w:t>Non-carcinogenic hazard quotient</w:t>
            </w:r>
            <w:r>
              <w:rPr>
                <w:b/>
                <w:bCs/>
                <w:sz w:val="20"/>
                <w:szCs w:val="20"/>
                <w:lang w:val="en-US"/>
              </w:rPr>
              <w:t xml:space="preserve"> (</w:t>
            </w:r>
            <w:r w:rsidRPr="00D17512">
              <w:rPr>
                <w:b/>
                <w:bCs/>
                <w:i/>
                <w:iCs/>
                <w:sz w:val="20"/>
                <w:szCs w:val="20"/>
                <w:lang w:val="en-US"/>
              </w:rPr>
              <w:t>HQ</w:t>
            </w:r>
            <w:r>
              <w:rPr>
                <w:b/>
                <w:bCs/>
                <w:sz w:val="20"/>
                <w:szCs w:val="20"/>
                <w:lang w:val="en-US"/>
              </w:rPr>
              <w:t>)</w:t>
            </w:r>
          </w:p>
        </w:tc>
      </w:tr>
      <w:tr w:rsidR="00D17512" w:rsidRPr="00F4560E" w14:paraId="65BB5B46" w14:textId="77777777" w:rsidTr="008C28B2">
        <w:trPr>
          <w:trHeight w:val="1594"/>
          <w:jc w:val="center"/>
        </w:trPr>
        <w:tc>
          <w:tcPr>
            <w:tcW w:w="2694" w:type="dxa"/>
            <w:tcBorders>
              <w:top w:val="single" w:sz="4" w:space="0" w:color="auto"/>
              <w:bottom w:val="single" w:sz="4" w:space="0" w:color="auto"/>
            </w:tcBorders>
            <w:vAlign w:val="center"/>
          </w:tcPr>
          <w:p w14:paraId="1DD74771" w14:textId="58E86448" w:rsidR="00D17512" w:rsidRPr="00D17512" w:rsidRDefault="00D17512" w:rsidP="00D17512">
            <w:pPr>
              <w:spacing w:line="276" w:lineRule="auto"/>
              <w:jc w:val="center"/>
              <w:rPr>
                <w:rStyle w:val="tlid-translation"/>
                <w:rFonts w:eastAsiaTheme="minorEastAsia"/>
                <w:iCs/>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o</w:t>
            </w:r>
            <w:r w:rsidRPr="00D17512">
              <w:rPr>
                <w:rStyle w:val="tlid-translation"/>
                <w:sz w:val="20"/>
                <w:szCs w:val="20"/>
                <w:lang w:val="en-US"/>
              </w:rPr>
              <w:t>ral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6DC691B" w14:textId="6C998CE0" w:rsidR="00D17512" w:rsidRPr="00F275DF" w:rsidRDefault="00A10B4C"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oral</m:t>
                        </m:r>
                      </m:sub>
                    </m:sSub>
                  </m:den>
                </m:f>
                <m:r>
                  <w:rPr>
                    <w:rFonts w:ascii="Cambria Math" w:eastAsiaTheme="minorEastAsia" w:hAnsi="Cambria Math"/>
                    <w:sz w:val="18"/>
                    <w:szCs w:val="18"/>
                    <w:lang w:val="en-US"/>
                  </w:rPr>
                  <m:t xml:space="preserve">         (17)</m:t>
                </m:r>
              </m:oMath>
            </m:oMathPara>
          </w:p>
        </w:tc>
        <w:tc>
          <w:tcPr>
            <w:tcW w:w="5032" w:type="dxa"/>
            <w:tcBorders>
              <w:top w:val="single" w:sz="4" w:space="0" w:color="auto"/>
              <w:bottom w:val="single" w:sz="4" w:space="0" w:color="auto"/>
            </w:tcBorders>
            <w:vAlign w:val="center"/>
          </w:tcPr>
          <w:p w14:paraId="30B90D59" w14:textId="65F33490" w:rsidR="00D17512" w:rsidRPr="00994422" w:rsidRDefault="00994422"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00D17512"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D17512" w:rsidRPr="00994422">
              <w:rPr>
                <w:sz w:val="18"/>
                <w:szCs w:val="18"/>
                <w:lang w:val="en-US"/>
              </w:rPr>
              <w:t xml:space="preserve">; </w:t>
            </w:r>
            <w:r w:rsidRPr="00994422">
              <w:rPr>
                <w:b/>
                <w:bCs/>
                <w:i/>
                <w:sz w:val="18"/>
                <w:szCs w:val="18"/>
                <w:lang w:val="en-US"/>
              </w:rPr>
              <w:t>BAF</w:t>
            </w:r>
            <w:r w:rsidR="00D17512" w:rsidRPr="00994422">
              <w:rPr>
                <w:i/>
                <w:sz w:val="18"/>
                <w:szCs w:val="18"/>
                <w:lang w:val="en-US"/>
              </w:rPr>
              <w:t xml:space="preserve"> = </w:t>
            </w:r>
            <w:r w:rsidRPr="00994422">
              <w:rPr>
                <w:sz w:val="18"/>
                <w:szCs w:val="18"/>
                <w:lang w:val="en-US"/>
              </w:rPr>
              <w:t>Chemical species dose fraction that are absorbed by the organism (bioavailability factor)</w:t>
            </w:r>
            <w:r w:rsidR="00D17512" w:rsidRPr="00994422">
              <w:rPr>
                <w:sz w:val="18"/>
                <w:szCs w:val="18"/>
                <w:lang w:val="en-US"/>
              </w:rPr>
              <w:t xml:space="preserve">; </w:t>
            </w:r>
            <w:proofErr w:type="spellStart"/>
            <w:r w:rsidRPr="00994422">
              <w:rPr>
                <w:b/>
                <w:bCs/>
                <w:i/>
                <w:iCs/>
                <w:sz w:val="18"/>
                <w:szCs w:val="18"/>
                <w:lang w:val="en-US"/>
              </w:rPr>
              <w:t>RfD</w:t>
            </w:r>
            <w:r w:rsidRPr="00994422">
              <w:rPr>
                <w:b/>
                <w:bCs/>
                <w:i/>
                <w:iCs/>
                <w:sz w:val="18"/>
                <w:szCs w:val="18"/>
                <w:vertAlign w:val="subscript"/>
                <w:lang w:val="en-US"/>
              </w:rPr>
              <w:t>oral</w:t>
            </w:r>
            <w:proofErr w:type="spellEnd"/>
            <w:r w:rsidR="00D17512" w:rsidRPr="00994422">
              <w:rPr>
                <w:sz w:val="18"/>
                <w:szCs w:val="18"/>
                <w:lang w:val="en-US"/>
              </w:rPr>
              <w:t xml:space="preserve"> = </w:t>
            </w:r>
            <w:r w:rsidRPr="00994422">
              <w:rPr>
                <w:sz w:val="18"/>
                <w:szCs w:val="18"/>
                <w:lang w:val="en-US"/>
              </w:rPr>
              <w:t>Reference</w:t>
            </w:r>
            <w:r>
              <w:rPr>
                <w:sz w:val="18"/>
                <w:szCs w:val="18"/>
                <w:lang w:val="en-US"/>
              </w:rPr>
              <w:t xml:space="preserve"> oral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4641CF52" w14:textId="1BB0205F" w:rsidR="00D17512" w:rsidRPr="005D3BD4" w:rsidRDefault="00616646"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00D17512"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00D17512" w:rsidRPr="005D3BD4">
              <w:rPr>
                <w:rStyle w:val="tlid-translation"/>
                <w:sz w:val="20"/>
                <w:szCs w:val="20"/>
                <w:lang w:val="en-US"/>
              </w:rPr>
              <w:fldChar w:fldCharType="separate"/>
            </w:r>
            <w:r w:rsidRPr="00616646">
              <w:rPr>
                <w:rStyle w:val="tlid-translation"/>
                <w:noProof/>
                <w:sz w:val="20"/>
                <w:szCs w:val="20"/>
                <w:lang w:val="en-US"/>
              </w:rPr>
              <w:t>(2007)</w:t>
            </w:r>
            <w:r w:rsidR="00D17512" w:rsidRPr="005D3BD4">
              <w:rPr>
                <w:rStyle w:val="tlid-translation"/>
                <w:sz w:val="20"/>
                <w:szCs w:val="20"/>
                <w:lang w:val="en-US"/>
              </w:rPr>
              <w:fldChar w:fldCharType="end"/>
            </w:r>
          </w:p>
        </w:tc>
      </w:tr>
      <w:tr w:rsidR="00616646" w:rsidRPr="00F4560E" w14:paraId="6FEA637F" w14:textId="77777777" w:rsidTr="008C28B2">
        <w:trPr>
          <w:trHeight w:val="1545"/>
          <w:jc w:val="center"/>
        </w:trPr>
        <w:tc>
          <w:tcPr>
            <w:tcW w:w="2694" w:type="dxa"/>
            <w:tcBorders>
              <w:top w:val="single" w:sz="4" w:space="0" w:color="auto"/>
              <w:bottom w:val="single" w:sz="4" w:space="0" w:color="auto"/>
            </w:tcBorders>
            <w:vAlign w:val="center"/>
          </w:tcPr>
          <w:p w14:paraId="010D1382" w14:textId="7FFC4E67"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DB22150" w14:textId="793F5B5B" w:rsidR="00616646" w:rsidRDefault="00A10B4C"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dermal</m:t>
                        </m:r>
                      </m:sub>
                    </m:sSub>
                  </m:den>
                </m:f>
                <m:r>
                  <w:rPr>
                    <w:rFonts w:ascii="Cambria Math" w:eastAsiaTheme="minorEastAsia" w:hAnsi="Cambria Math"/>
                    <w:sz w:val="18"/>
                    <w:szCs w:val="18"/>
                    <w:lang w:val="en-US"/>
                  </w:rPr>
                  <m:t xml:space="preserve">         (18)</m:t>
                </m:r>
              </m:oMath>
            </m:oMathPara>
          </w:p>
        </w:tc>
        <w:tc>
          <w:tcPr>
            <w:tcW w:w="5032" w:type="dxa"/>
            <w:tcBorders>
              <w:top w:val="single" w:sz="4" w:space="0" w:color="auto"/>
              <w:bottom w:val="single" w:sz="4" w:space="0" w:color="auto"/>
            </w:tcBorders>
            <w:vAlign w:val="center"/>
          </w:tcPr>
          <w:p w14:paraId="65B4F804" w14:textId="482E4AB3" w:rsidR="00616646" w:rsidRPr="00616646" w:rsidRDefault="00616646" w:rsidP="00616646">
            <w:pPr>
              <w:spacing w:line="360" w:lineRule="auto"/>
              <w:ind w:left="79"/>
              <w:jc w:val="center"/>
              <w:rPr>
                <w:rFonts w:eastAsiaTheme="minorEastAsia"/>
                <w:sz w:val="18"/>
                <w:szCs w:val="18"/>
                <w:lang w:val="en-US"/>
              </w:rPr>
            </w:pPr>
            <w:proofErr w:type="spellStart"/>
            <w:r w:rsidRPr="00994422">
              <w:rPr>
                <w:rFonts w:eastAsiaTheme="minorEastAsia"/>
                <w:b/>
                <w:bCs/>
                <w:i/>
                <w:sz w:val="18"/>
                <w:szCs w:val="18"/>
                <w:lang w:val="en-US"/>
              </w:rPr>
              <w:t>D</w:t>
            </w:r>
            <w:r>
              <w:rPr>
                <w:rFonts w:eastAsiaTheme="minorEastAsia"/>
                <w:b/>
                <w:bCs/>
                <w:i/>
                <w:sz w:val="18"/>
                <w:szCs w:val="18"/>
                <w:vertAlign w:val="subscript"/>
                <w:lang w:val="en-US"/>
              </w:rPr>
              <w:t>dermal</w:t>
            </w:r>
            <w:proofErr w:type="spellEnd"/>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proofErr w:type="spellStart"/>
            <w:r w:rsidRPr="00994422">
              <w:rPr>
                <w:b/>
                <w:bCs/>
                <w:i/>
                <w:iCs/>
                <w:sz w:val="18"/>
                <w:szCs w:val="18"/>
                <w:lang w:val="en-US"/>
              </w:rPr>
              <w:t>RfD</w:t>
            </w:r>
            <w:r>
              <w:rPr>
                <w:b/>
                <w:bCs/>
                <w:i/>
                <w:iCs/>
                <w:sz w:val="18"/>
                <w:szCs w:val="18"/>
                <w:vertAlign w:val="subscript"/>
                <w:lang w:val="en-US"/>
              </w:rPr>
              <w:t>dermal</w:t>
            </w:r>
            <w:proofErr w:type="spellEnd"/>
            <w:r w:rsidRPr="00994422">
              <w:rPr>
                <w:sz w:val="18"/>
                <w:szCs w:val="18"/>
                <w:lang w:val="en-US"/>
              </w:rPr>
              <w:t xml:space="preserve"> = Reference</w:t>
            </w:r>
            <w:r>
              <w:rPr>
                <w:sz w:val="18"/>
                <w:szCs w:val="18"/>
                <w:lang w:val="en-US"/>
              </w:rPr>
              <w:t xml:space="preserve"> dermal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 xml:space="preserve">;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246" w:type="dxa"/>
            <w:tcBorders>
              <w:top w:val="single" w:sz="4" w:space="0" w:color="auto"/>
              <w:bottom w:val="single" w:sz="4" w:space="0" w:color="auto"/>
            </w:tcBorders>
            <w:vAlign w:val="center"/>
          </w:tcPr>
          <w:p w14:paraId="6A9BA3DE" w14:textId="64EBCAA5"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r w:rsidR="00616646" w:rsidRPr="00F4560E" w14:paraId="73E525B4" w14:textId="77777777" w:rsidTr="008C28B2">
        <w:trPr>
          <w:trHeight w:val="1540"/>
          <w:jc w:val="center"/>
        </w:trPr>
        <w:tc>
          <w:tcPr>
            <w:tcW w:w="2694" w:type="dxa"/>
            <w:tcBorders>
              <w:top w:val="single" w:sz="4" w:space="0" w:color="auto"/>
              <w:bottom w:val="double" w:sz="4" w:space="0" w:color="auto"/>
            </w:tcBorders>
            <w:vAlign w:val="center"/>
          </w:tcPr>
          <w:p w14:paraId="7CA14EA5" w14:textId="126868B2"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w:t>
            </w:r>
            <w:r w:rsidR="00E54673">
              <w:rPr>
                <w:sz w:val="20"/>
                <w:szCs w:val="20"/>
                <w:lang w:val="en-US"/>
              </w:rPr>
              <w:t>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double" w:sz="4" w:space="0" w:color="auto"/>
            </w:tcBorders>
            <w:vAlign w:val="center"/>
          </w:tcPr>
          <w:p w14:paraId="535304D4" w14:textId="433484EC" w:rsidR="00616646" w:rsidRDefault="00A10B4C"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inha.</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r>
                      <w:rPr>
                        <w:rFonts w:ascii="Cambria Math" w:hAnsi="Cambria Math"/>
                        <w:sz w:val="18"/>
                        <w:szCs w:val="18"/>
                      </w:rPr>
                      <m:t>RfC</m:t>
                    </m:r>
                  </m:den>
                </m:f>
                <m:r>
                  <w:rPr>
                    <w:rFonts w:ascii="Cambria Math" w:eastAsiaTheme="minorEastAsia" w:hAnsi="Cambria Math"/>
                    <w:sz w:val="18"/>
                    <w:szCs w:val="18"/>
                    <w:lang w:val="en-US"/>
                  </w:rPr>
                  <m:t xml:space="preserve">         (19)</m:t>
                </m:r>
              </m:oMath>
            </m:oMathPara>
          </w:p>
        </w:tc>
        <w:tc>
          <w:tcPr>
            <w:tcW w:w="5032" w:type="dxa"/>
            <w:tcBorders>
              <w:top w:val="single" w:sz="4" w:space="0" w:color="auto"/>
              <w:bottom w:val="double" w:sz="4" w:space="0" w:color="auto"/>
            </w:tcBorders>
            <w:vAlign w:val="center"/>
          </w:tcPr>
          <w:p w14:paraId="32ED20A4" w14:textId="446AA960" w:rsidR="00616646" w:rsidRPr="00323B9E" w:rsidRDefault="00E54673" w:rsidP="00616646">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00616646" w:rsidRPr="00994422">
              <w:rPr>
                <w:rFonts w:eastAsiaTheme="minorEastAsia"/>
                <w:b/>
                <w:bCs/>
                <w:i/>
                <w:sz w:val="18"/>
                <w:szCs w:val="18"/>
                <w:vertAlign w:val="subscript"/>
                <w:lang w:val="en-US"/>
              </w:rPr>
              <w:t xml:space="preserve"> </w:t>
            </w:r>
            <w:r w:rsidR="00616646" w:rsidRPr="00994422">
              <w:rPr>
                <w:b/>
                <w:bCs/>
                <w:i/>
                <w:sz w:val="18"/>
                <w:szCs w:val="18"/>
                <w:vertAlign w:val="superscript"/>
                <w:lang w:val="en-US"/>
              </w:rPr>
              <w:t>IA</w:t>
            </w:r>
            <w:r w:rsidR="00616646" w:rsidRPr="00994422">
              <w:rPr>
                <w:sz w:val="18"/>
                <w:szCs w:val="18"/>
                <w:lang w:val="en-US"/>
              </w:rPr>
              <w:t xml:space="preserve"> = </w:t>
            </w:r>
            <w:r>
              <w:rPr>
                <w:sz w:val="18"/>
                <w:szCs w:val="18"/>
                <w:lang w:val="en-US"/>
              </w:rPr>
              <w:t>E</w:t>
            </w:r>
            <w:r w:rsidRPr="00E54673">
              <w:rPr>
                <w:sz w:val="18"/>
                <w:szCs w:val="18"/>
                <w:lang w:val="en-US"/>
              </w:rPr>
              <w:t>xposure concentration</w:t>
            </w:r>
            <w:r w:rsidR="00616646" w:rsidRPr="00994422">
              <w:rPr>
                <w:rStyle w:val="tlid-translation"/>
                <w:sz w:val="18"/>
                <w:szCs w:val="18"/>
                <w:lang w:val="en-US"/>
              </w:rPr>
              <w:t xml:space="preserve"> of chemical species </w:t>
            </w:r>
            <w:r w:rsidR="00616646" w:rsidRPr="00994422">
              <w:rPr>
                <w:sz w:val="18"/>
                <w:szCs w:val="18"/>
                <w:lang w:val="en-US"/>
              </w:rPr>
              <w:t xml:space="preserve">for initial age </w:t>
            </w:r>
            <w:r w:rsidR="00616646"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sidRPr="00E54673">
              <w:rPr>
                <w:sz w:val="18"/>
                <w:szCs w:val="18"/>
                <w:lang w:val="en-US"/>
              </w:rPr>
              <w:t>;</w:t>
            </w:r>
            <w:r w:rsidR="00616646" w:rsidRPr="00994422">
              <w:rPr>
                <w:sz w:val="18"/>
                <w:szCs w:val="18"/>
                <w:lang w:val="en-US"/>
              </w:rPr>
              <w:t xml:space="preserve"> </w:t>
            </w:r>
            <w:r w:rsidR="00616646" w:rsidRPr="00994422">
              <w:rPr>
                <w:b/>
                <w:bCs/>
                <w:i/>
                <w:sz w:val="18"/>
                <w:szCs w:val="18"/>
                <w:lang w:val="en-US"/>
              </w:rPr>
              <w:t>BAF</w:t>
            </w:r>
            <w:r w:rsidR="00616646" w:rsidRPr="00994422">
              <w:rPr>
                <w:i/>
                <w:sz w:val="18"/>
                <w:szCs w:val="18"/>
                <w:lang w:val="en-US"/>
              </w:rPr>
              <w:t xml:space="preserve"> = </w:t>
            </w:r>
            <w:r w:rsidR="00616646" w:rsidRPr="00994422">
              <w:rPr>
                <w:sz w:val="18"/>
                <w:szCs w:val="18"/>
                <w:lang w:val="en-US"/>
              </w:rPr>
              <w:t xml:space="preserve">Chemical species dose fraction that are absorbed by the organism (bioavailability factor); </w:t>
            </w:r>
            <w:proofErr w:type="spellStart"/>
            <w:r w:rsidR="00616646" w:rsidRPr="00994422">
              <w:rPr>
                <w:b/>
                <w:bCs/>
                <w:i/>
                <w:iCs/>
                <w:sz w:val="18"/>
                <w:szCs w:val="18"/>
                <w:lang w:val="en-US"/>
              </w:rPr>
              <w:t>Rf</w:t>
            </w:r>
            <w:r>
              <w:rPr>
                <w:b/>
                <w:bCs/>
                <w:i/>
                <w:iCs/>
                <w:sz w:val="18"/>
                <w:szCs w:val="18"/>
                <w:lang w:val="en-US"/>
              </w:rPr>
              <w:t>C</w:t>
            </w:r>
            <w:proofErr w:type="spellEnd"/>
            <w:r w:rsidR="00616646" w:rsidRPr="00994422">
              <w:rPr>
                <w:sz w:val="18"/>
                <w:szCs w:val="18"/>
                <w:lang w:val="en-US"/>
              </w:rPr>
              <w:t xml:space="preserve"> = Reference</w:t>
            </w:r>
            <w:r w:rsidR="00616646">
              <w:rPr>
                <w:sz w:val="18"/>
                <w:szCs w:val="18"/>
                <w:lang w:val="en-US"/>
              </w:rPr>
              <w:t xml:space="preserve"> </w:t>
            </w:r>
            <w:r>
              <w:rPr>
                <w:sz w:val="18"/>
                <w:szCs w:val="18"/>
                <w:lang w:val="en-US"/>
              </w:rPr>
              <w:t>concentration</w:t>
            </w:r>
            <w:r w:rsidR="00616646" w:rsidRPr="00994422">
              <w:rPr>
                <w:sz w:val="18"/>
                <w:szCs w:val="18"/>
                <w:lang w:val="en-US"/>
              </w:rPr>
              <w:t xml:space="preserve"> of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Pr>
                <w:rFonts w:eastAsiaTheme="minorEastAsia"/>
                <w:sz w:val="18"/>
                <w:szCs w:val="18"/>
                <w:lang w:val="en-US"/>
              </w:rPr>
              <w:t>.</w:t>
            </w:r>
          </w:p>
        </w:tc>
        <w:tc>
          <w:tcPr>
            <w:tcW w:w="1246" w:type="dxa"/>
            <w:tcBorders>
              <w:top w:val="single" w:sz="4" w:space="0" w:color="auto"/>
              <w:bottom w:val="double" w:sz="4" w:space="0" w:color="auto"/>
            </w:tcBorders>
            <w:vAlign w:val="center"/>
          </w:tcPr>
          <w:p w14:paraId="4E0A156F" w14:textId="58BE97B7"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bl>
    <w:p w14:paraId="12A602A4" w14:textId="35312283" w:rsidR="00E54673" w:rsidRDefault="00E54673"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953"/>
        <w:gridCol w:w="5245"/>
        <w:gridCol w:w="1413"/>
      </w:tblGrid>
      <w:tr w:rsidR="00E54673" w:rsidRPr="003C1E54" w14:paraId="49A62DCB" w14:textId="77777777" w:rsidTr="00BA3624">
        <w:trPr>
          <w:trHeight w:val="494"/>
          <w:jc w:val="center"/>
        </w:trPr>
        <w:tc>
          <w:tcPr>
            <w:tcW w:w="2694" w:type="dxa"/>
            <w:tcBorders>
              <w:top w:val="double" w:sz="4" w:space="0" w:color="auto"/>
              <w:bottom w:val="double" w:sz="4" w:space="0" w:color="auto"/>
            </w:tcBorders>
            <w:vAlign w:val="center"/>
          </w:tcPr>
          <w:p w14:paraId="30246B46"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5953" w:type="dxa"/>
            <w:tcBorders>
              <w:top w:val="double" w:sz="4" w:space="0" w:color="auto"/>
              <w:bottom w:val="double" w:sz="4" w:space="0" w:color="auto"/>
            </w:tcBorders>
            <w:vAlign w:val="center"/>
          </w:tcPr>
          <w:p w14:paraId="00341767"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245" w:type="dxa"/>
            <w:tcBorders>
              <w:top w:val="double" w:sz="4" w:space="0" w:color="auto"/>
              <w:bottom w:val="double" w:sz="4" w:space="0" w:color="auto"/>
            </w:tcBorders>
            <w:vAlign w:val="center"/>
          </w:tcPr>
          <w:p w14:paraId="69727C05"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413" w:type="dxa"/>
            <w:tcBorders>
              <w:top w:val="double" w:sz="4" w:space="0" w:color="auto"/>
              <w:bottom w:val="double" w:sz="4" w:space="0" w:color="auto"/>
            </w:tcBorders>
            <w:vAlign w:val="center"/>
          </w:tcPr>
          <w:p w14:paraId="680CAF19" w14:textId="77777777" w:rsidR="00E54673" w:rsidRPr="003C1E54" w:rsidRDefault="00E54673"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54673" w:rsidRPr="00F4560E" w14:paraId="7DAE9C6F" w14:textId="77777777" w:rsidTr="008C28B2">
        <w:trPr>
          <w:trHeight w:val="280"/>
          <w:jc w:val="center"/>
        </w:trPr>
        <w:tc>
          <w:tcPr>
            <w:tcW w:w="15305" w:type="dxa"/>
            <w:gridSpan w:val="4"/>
            <w:tcBorders>
              <w:top w:val="single" w:sz="4" w:space="0" w:color="auto"/>
              <w:bottom w:val="single" w:sz="4" w:space="0" w:color="auto"/>
            </w:tcBorders>
            <w:vAlign w:val="center"/>
          </w:tcPr>
          <w:p w14:paraId="0737AB2D" w14:textId="354EF7FA" w:rsidR="00E54673" w:rsidRPr="00D17512" w:rsidRDefault="00E54673" w:rsidP="008C28B2">
            <w:pPr>
              <w:spacing w:line="360" w:lineRule="auto"/>
              <w:jc w:val="center"/>
              <w:rPr>
                <w:rStyle w:val="tlid-translation"/>
                <w:b/>
                <w:bCs/>
                <w:sz w:val="20"/>
                <w:szCs w:val="20"/>
                <w:lang w:val="en"/>
              </w:rPr>
            </w:pPr>
            <w:r w:rsidRPr="00E54673">
              <w:rPr>
                <w:b/>
                <w:bCs/>
                <w:sz w:val="20"/>
                <w:szCs w:val="20"/>
                <w:lang w:val="en-US"/>
              </w:rPr>
              <w:t>Potential carcinogenic risk</w:t>
            </w:r>
            <w:r w:rsidRPr="00E54673">
              <w:rPr>
                <w:b/>
                <w:bCs/>
                <w:sz w:val="14"/>
                <w:szCs w:val="14"/>
                <w:lang w:val="en-US"/>
              </w:rPr>
              <w:t xml:space="preserve"> </w:t>
            </w:r>
            <w:r>
              <w:rPr>
                <w:b/>
                <w:bCs/>
                <w:sz w:val="20"/>
                <w:szCs w:val="20"/>
                <w:lang w:val="en-US"/>
              </w:rPr>
              <w:t>(</w:t>
            </w:r>
            <w:r w:rsidRPr="00E54673">
              <w:rPr>
                <w:b/>
                <w:bCs/>
                <w:i/>
                <w:iCs/>
                <w:sz w:val="20"/>
                <w:szCs w:val="20"/>
                <w:lang w:val="en-US"/>
              </w:rPr>
              <w:t>CR</w:t>
            </w:r>
            <w:r>
              <w:rPr>
                <w:b/>
                <w:bCs/>
                <w:sz w:val="20"/>
                <w:szCs w:val="20"/>
                <w:lang w:val="en-US"/>
              </w:rPr>
              <w:t>)</w:t>
            </w:r>
          </w:p>
        </w:tc>
      </w:tr>
      <w:tr w:rsidR="00E54673" w:rsidRPr="00F4560E" w14:paraId="45F3CF1F" w14:textId="77777777" w:rsidTr="008C28B2">
        <w:trPr>
          <w:trHeight w:val="2087"/>
          <w:jc w:val="center"/>
        </w:trPr>
        <w:tc>
          <w:tcPr>
            <w:tcW w:w="2694" w:type="dxa"/>
            <w:tcBorders>
              <w:top w:val="single" w:sz="4" w:space="0" w:color="auto"/>
              <w:bottom w:val="single" w:sz="4" w:space="0" w:color="auto"/>
            </w:tcBorders>
            <w:vAlign w:val="center"/>
          </w:tcPr>
          <w:p w14:paraId="2EB44C48" w14:textId="78E9B736" w:rsidR="00E54673" w:rsidRPr="00D17512" w:rsidRDefault="00BA3624" w:rsidP="008C28B2">
            <w:pPr>
              <w:spacing w:line="276" w:lineRule="auto"/>
              <w:jc w:val="center"/>
              <w:rPr>
                <w:rStyle w:val="tlid-translation"/>
                <w:rFonts w:eastAsiaTheme="minorEastAsia"/>
                <w:iCs/>
                <w:sz w:val="20"/>
                <w:szCs w:val="20"/>
                <w:lang w:val="en-US"/>
              </w:rPr>
            </w:pPr>
            <w:r w:rsidRPr="00BA3624">
              <w:rPr>
                <w:sz w:val="20"/>
                <w:szCs w:val="20"/>
                <w:lang w:val="en-US"/>
              </w:rPr>
              <w:t>Potential carcinogenic risk</w:t>
            </w:r>
            <w:r w:rsidRPr="00E54673">
              <w:rPr>
                <w:b/>
                <w:bCs/>
                <w:sz w:val="14"/>
                <w:szCs w:val="14"/>
                <w:lang w:val="en-US"/>
              </w:rPr>
              <w:t xml:space="preserve"> </w:t>
            </w:r>
            <w:r w:rsidR="00E54673" w:rsidRPr="00307854">
              <w:rPr>
                <w:sz w:val="20"/>
                <w:szCs w:val="20"/>
                <w:lang w:val="en-US"/>
              </w:rPr>
              <w:t>for</w:t>
            </w:r>
            <w:r w:rsidR="00E54673">
              <w:rPr>
                <w:sz w:val="20"/>
                <w:szCs w:val="20"/>
                <w:lang w:val="en-US"/>
              </w:rPr>
              <w:t xml:space="preserve"> o</w:t>
            </w:r>
            <w:r w:rsidR="00E54673" w:rsidRPr="00D17512">
              <w:rPr>
                <w:rStyle w:val="tlid-translation"/>
                <w:sz w:val="20"/>
                <w:szCs w:val="20"/>
                <w:lang w:val="en-US"/>
              </w:rPr>
              <w:t>ral pathway</w:t>
            </w:r>
            <w:r w:rsidR="00E54673">
              <w:rPr>
                <w:rStyle w:val="tlid-translation"/>
                <w:sz w:val="20"/>
                <w:szCs w:val="20"/>
                <w:lang w:val="en-US"/>
              </w:rPr>
              <w:t xml:space="preserve"> and for</w:t>
            </w:r>
            <w:r w:rsidR="00E54673" w:rsidRPr="00307854">
              <w:rPr>
                <w:sz w:val="20"/>
                <w:szCs w:val="20"/>
                <w:lang w:val="en-US"/>
              </w:rPr>
              <w:t xml:space="preserve"> initial age </w:t>
            </w:r>
            <w:r w:rsidR="00E54673" w:rsidRPr="00307854">
              <w:rPr>
                <w:i/>
                <w:iCs/>
                <w:sz w:val="20"/>
                <w:szCs w:val="20"/>
                <w:lang w:val="en-US"/>
              </w:rPr>
              <w:t>IA</w:t>
            </w:r>
          </w:p>
        </w:tc>
        <w:tc>
          <w:tcPr>
            <w:tcW w:w="5953" w:type="dxa"/>
            <w:tcBorders>
              <w:top w:val="single" w:sz="4" w:space="0" w:color="auto"/>
              <w:bottom w:val="single" w:sz="4" w:space="0" w:color="auto"/>
            </w:tcBorders>
            <w:vAlign w:val="center"/>
          </w:tcPr>
          <w:p w14:paraId="55DF26AB" w14:textId="001BBA66" w:rsidR="00E54673" w:rsidRPr="00F275DF" w:rsidRDefault="00A10B4C"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oral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oral</m:t>
                    </m:r>
                  </m:sub>
                </m:sSub>
                <m:r>
                  <w:rPr>
                    <w:rFonts w:ascii="Cambria Math" w:eastAsiaTheme="minorEastAsia" w:hAnsi="Cambria Math"/>
                    <w:sz w:val="18"/>
                    <w:szCs w:val="18"/>
                    <w:lang w:val="en-US"/>
                  </w:rPr>
                  <m:t xml:space="preserve">         (20)</m:t>
                </m:r>
              </m:oMath>
            </m:oMathPara>
          </w:p>
        </w:tc>
        <w:tc>
          <w:tcPr>
            <w:tcW w:w="5245" w:type="dxa"/>
            <w:tcBorders>
              <w:top w:val="single" w:sz="4" w:space="0" w:color="auto"/>
              <w:bottom w:val="single" w:sz="4" w:space="0" w:color="auto"/>
            </w:tcBorders>
            <w:vAlign w:val="center"/>
          </w:tcPr>
          <w:p w14:paraId="6CDB5705" w14:textId="6FA91891" w:rsidR="00E54673" w:rsidRPr="00BA3624" w:rsidRDefault="00E54673"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proofErr w:type="spellStart"/>
            <w:r w:rsidR="00BA3624">
              <w:rPr>
                <w:b/>
                <w:bCs/>
                <w:i/>
                <w:iCs/>
                <w:sz w:val="18"/>
                <w:szCs w:val="18"/>
                <w:lang w:val="en-US"/>
              </w:rPr>
              <w:t>SF</w:t>
            </w:r>
            <w:r w:rsidRPr="00994422">
              <w:rPr>
                <w:b/>
                <w:bCs/>
                <w:i/>
                <w:iCs/>
                <w:sz w:val="18"/>
                <w:szCs w:val="18"/>
                <w:vertAlign w:val="subscript"/>
                <w:lang w:val="en-US"/>
              </w:rPr>
              <w:t>oral</w:t>
            </w:r>
            <w:proofErr w:type="spellEnd"/>
            <w:r w:rsidRPr="00994422">
              <w:rPr>
                <w:sz w:val="18"/>
                <w:szCs w:val="18"/>
                <w:lang w:val="en-US"/>
              </w:rPr>
              <w:t xml:space="preserve"> </w:t>
            </w:r>
            <w:r w:rsidRPr="00BA3624">
              <w:rPr>
                <w:sz w:val="18"/>
                <w:szCs w:val="18"/>
                <w:lang w:val="en-US"/>
              </w:rPr>
              <w:t xml:space="preserve">= </w:t>
            </w:r>
            <w:r w:rsidR="008C28B2">
              <w:rPr>
                <w:sz w:val="18"/>
                <w:szCs w:val="18"/>
                <w:lang w:val="en-US"/>
              </w:rPr>
              <w:t>Oral s</w:t>
            </w:r>
            <w:r w:rsidR="00BA3624" w:rsidRPr="00BA3624">
              <w:rPr>
                <w:sz w:val="18"/>
                <w:szCs w:val="18"/>
                <w:lang w:val="en-US"/>
              </w:rPr>
              <w:t xml:space="preserve">lope factor </w:t>
            </w:r>
            <w:r w:rsidRPr="00BA3624">
              <w:rPr>
                <w:sz w:val="18"/>
                <w:szCs w:val="18"/>
                <w:lang w:val="en-US"/>
              </w:rPr>
              <w:t>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BA3624">
              <w:rPr>
                <w:rFonts w:eastAsiaTheme="minorEastAsia"/>
                <w:sz w:val="18"/>
                <w:szCs w:val="18"/>
                <w:vertAlign w:val="superscript"/>
                <w:lang w:val="en-US"/>
              </w:rPr>
              <w:t>-1</w:t>
            </w:r>
            <w:r w:rsidR="00BA3624">
              <w:rPr>
                <w:rFonts w:eastAsiaTheme="minorEastAsia"/>
                <w:sz w:val="18"/>
                <w:szCs w:val="18"/>
                <w:lang w:val="en-US"/>
              </w:rPr>
              <w:t xml:space="preserve">; </w:t>
            </w:r>
            <w:proofErr w:type="spellStart"/>
            <w:r w:rsidR="00BA3624" w:rsidRPr="00BA3624">
              <w:rPr>
                <w:rFonts w:eastAsiaTheme="minorEastAsia"/>
                <w:b/>
                <w:bCs/>
                <w:i/>
                <w:iCs/>
                <w:sz w:val="18"/>
                <w:szCs w:val="18"/>
                <w:lang w:val="en-US"/>
              </w:rPr>
              <w:t>ADAF</w:t>
            </w:r>
            <w:r w:rsidR="00BA3624">
              <w:rPr>
                <w:rFonts w:eastAsiaTheme="minorEastAsia"/>
                <w:b/>
                <w:bCs/>
                <w:i/>
                <w:iCs/>
                <w:sz w:val="18"/>
                <w:szCs w:val="18"/>
                <w:vertAlign w:val="subscript"/>
                <w:lang w:val="en-US"/>
              </w:rPr>
              <w:t>oral</w:t>
            </w:r>
            <w:proofErr w:type="spellEnd"/>
            <w:r w:rsidR="00BA3624">
              <w:rPr>
                <w:rFonts w:eastAsiaTheme="minorEastAsia"/>
                <w:sz w:val="18"/>
                <w:szCs w:val="18"/>
                <w:lang w:val="en-US"/>
              </w:rPr>
              <w:t xml:space="preserve"> = </w:t>
            </w:r>
            <w:r w:rsidR="00BA3624" w:rsidRPr="00BA3624">
              <w:rPr>
                <w:sz w:val="18"/>
                <w:szCs w:val="18"/>
                <w:lang w:val="en-US"/>
              </w:rPr>
              <w:t>Age dependent adjustments factors</w:t>
            </w:r>
            <w:r w:rsidR="00BA3624">
              <w:rPr>
                <w:sz w:val="18"/>
                <w:szCs w:val="18"/>
                <w:lang w:val="en-US"/>
              </w:rPr>
              <w:t xml:space="preserve"> in </w:t>
            </w:r>
            <w:r w:rsidR="00BA3624" w:rsidRPr="00BA3624">
              <w:rPr>
                <w:sz w:val="18"/>
                <w:szCs w:val="18"/>
                <w:lang w:val="en-US"/>
              </w:rPr>
              <w:t>case of</w:t>
            </w:r>
            <w:r w:rsidR="00BA3624" w:rsidRPr="00BA3624">
              <w:rPr>
                <w:rStyle w:val="tlid-translation"/>
                <w:sz w:val="18"/>
                <w:szCs w:val="18"/>
                <w:lang w:val="en"/>
              </w:rPr>
              <w:t xml:space="preserve"> chemical species has a mutagenic mode of action by </w:t>
            </w:r>
            <w:r w:rsidR="00BA3624">
              <w:rPr>
                <w:rStyle w:val="tlid-translation"/>
                <w:sz w:val="18"/>
                <w:szCs w:val="18"/>
                <w:lang w:val="en"/>
              </w:rPr>
              <w:t>oral intake.</w:t>
            </w:r>
          </w:p>
        </w:tc>
        <w:tc>
          <w:tcPr>
            <w:tcW w:w="1413" w:type="dxa"/>
            <w:tcBorders>
              <w:top w:val="single" w:sz="4" w:space="0" w:color="auto"/>
              <w:bottom w:val="single" w:sz="4" w:space="0" w:color="auto"/>
            </w:tcBorders>
            <w:vAlign w:val="center"/>
          </w:tcPr>
          <w:p w14:paraId="35A6400C" w14:textId="0719F86F" w:rsidR="00E54673" w:rsidRPr="005D3BD4" w:rsidRDefault="00E54673"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00BA3624" w:rsidRPr="00BA3624">
              <w:rPr>
                <w:rStyle w:val="tlid-translation"/>
                <w:noProof/>
                <w:sz w:val="20"/>
                <w:szCs w:val="20"/>
                <w:lang w:val="en-US"/>
              </w:rPr>
              <w:t>(2007, 2005a)</w:t>
            </w:r>
            <w:r w:rsidRPr="005D3BD4">
              <w:rPr>
                <w:rStyle w:val="tlid-translation"/>
                <w:sz w:val="20"/>
                <w:szCs w:val="20"/>
                <w:lang w:val="en-US"/>
              </w:rPr>
              <w:fldChar w:fldCharType="end"/>
            </w:r>
          </w:p>
        </w:tc>
      </w:tr>
      <w:tr w:rsidR="008C28B2" w:rsidRPr="00C47575" w14:paraId="0BD7070A" w14:textId="77777777" w:rsidTr="008C28B2">
        <w:trPr>
          <w:trHeight w:val="2206"/>
          <w:jc w:val="center"/>
        </w:trPr>
        <w:tc>
          <w:tcPr>
            <w:tcW w:w="2694" w:type="dxa"/>
            <w:tcBorders>
              <w:top w:val="single" w:sz="4" w:space="0" w:color="auto"/>
              <w:bottom w:val="single" w:sz="4" w:space="0" w:color="auto"/>
            </w:tcBorders>
            <w:vAlign w:val="center"/>
          </w:tcPr>
          <w:p w14:paraId="355DAC08" w14:textId="4F697C56" w:rsidR="008C28B2" w:rsidRPr="00307854" w:rsidRDefault="008C28B2" w:rsidP="008C28B2">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single" w:sz="4" w:space="0" w:color="auto"/>
            </w:tcBorders>
            <w:vAlign w:val="center"/>
          </w:tcPr>
          <w:p w14:paraId="659D8B97" w14:textId="6CFF0947" w:rsidR="008C28B2" w:rsidRDefault="00A10B4C" w:rsidP="008C28B2">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dermal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dermal</m:t>
                    </m:r>
                  </m:sub>
                </m:sSub>
                <m:r>
                  <w:rPr>
                    <w:rFonts w:ascii="Cambria Math" w:eastAsiaTheme="minorEastAsia" w:hAnsi="Cambria Math"/>
                    <w:sz w:val="18"/>
                    <w:szCs w:val="18"/>
                    <w:lang w:val="en-US"/>
                  </w:rPr>
                  <m:t xml:space="preserve">         (21)</m:t>
                </m:r>
              </m:oMath>
            </m:oMathPara>
          </w:p>
        </w:tc>
        <w:tc>
          <w:tcPr>
            <w:tcW w:w="5245" w:type="dxa"/>
            <w:tcBorders>
              <w:top w:val="single" w:sz="4" w:space="0" w:color="auto"/>
              <w:bottom w:val="single" w:sz="4" w:space="0" w:color="auto"/>
            </w:tcBorders>
            <w:vAlign w:val="center"/>
          </w:tcPr>
          <w:p w14:paraId="68011424" w14:textId="7627BE8F" w:rsidR="008C28B2" w:rsidRPr="00616646" w:rsidRDefault="008C28B2" w:rsidP="008C28B2">
            <w:pPr>
              <w:spacing w:line="360" w:lineRule="auto"/>
              <w:ind w:left="79"/>
              <w:jc w:val="center"/>
              <w:rPr>
                <w:rFonts w:eastAsiaTheme="minorEastAsia"/>
                <w:sz w:val="18"/>
                <w:szCs w:val="18"/>
                <w:lang w:val="en-US"/>
              </w:rPr>
            </w:pPr>
            <w:proofErr w:type="spellStart"/>
            <w:r w:rsidRPr="00994422">
              <w:rPr>
                <w:rFonts w:eastAsiaTheme="minorEastAsia"/>
                <w:b/>
                <w:bCs/>
                <w:i/>
                <w:sz w:val="18"/>
                <w:szCs w:val="18"/>
                <w:lang w:val="en-US"/>
              </w:rPr>
              <w:t>D</w:t>
            </w:r>
            <w:r>
              <w:rPr>
                <w:rFonts w:eastAsiaTheme="minorEastAsia"/>
                <w:b/>
                <w:bCs/>
                <w:i/>
                <w:sz w:val="18"/>
                <w:szCs w:val="18"/>
                <w:vertAlign w:val="subscript"/>
                <w:lang w:val="en-US"/>
              </w:rPr>
              <w:t>dermal</w:t>
            </w:r>
            <w:proofErr w:type="spellEnd"/>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proofErr w:type="spellStart"/>
            <w:r>
              <w:rPr>
                <w:b/>
                <w:bCs/>
                <w:i/>
                <w:iCs/>
                <w:sz w:val="18"/>
                <w:szCs w:val="18"/>
                <w:lang w:val="en-US"/>
              </w:rPr>
              <w:t>SF</w:t>
            </w:r>
            <w:r>
              <w:rPr>
                <w:b/>
                <w:bCs/>
                <w:i/>
                <w:iCs/>
                <w:sz w:val="18"/>
                <w:szCs w:val="18"/>
                <w:vertAlign w:val="subscript"/>
                <w:lang w:val="en-US"/>
              </w:rPr>
              <w:t>dermal</w:t>
            </w:r>
            <w:proofErr w:type="spellEnd"/>
            <w:r w:rsidRPr="00994422">
              <w:rPr>
                <w:sz w:val="18"/>
                <w:szCs w:val="18"/>
                <w:lang w:val="en-US"/>
              </w:rPr>
              <w:t xml:space="preserve"> = </w:t>
            </w:r>
            <w:r>
              <w:rPr>
                <w:sz w:val="18"/>
                <w:szCs w:val="18"/>
                <w:lang w:val="en-US"/>
              </w:rPr>
              <w:t>Dermal s</w:t>
            </w:r>
            <w:r w:rsidRPr="00BA3624">
              <w:rPr>
                <w:sz w:val="18"/>
                <w:szCs w:val="18"/>
                <w:lang w:val="en-US"/>
              </w:rPr>
              <w:t>lope factor 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vertAlign w:val="superscript"/>
                <w:lang w:val="en-US"/>
              </w:rPr>
              <w:t>-1</w:t>
            </w:r>
            <w:r>
              <w:rPr>
                <w:rFonts w:eastAsiaTheme="minorEastAsia"/>
                <w:sz w:val="18"/>
                <w:szCs w:val="18"/>
                <w:lang w:val="en-US"/>
              </w:rPr>
              <w:t>;</w:t>
            </w:r>
            <w:r>
              <w:rPr>
                <w:rFonts w:eastAsiaTheme="minorEastAsia"/>
                <w:sz w:val="18"/>
                <w:szCs w:val="18"/>
                <w:vertAlign w:val="superscript"/>
                <w:lang w:val="en-US"/>
              </w:rPr>
              <w:t xml:space="preserve"> </w:t>
            </w:r>
            <w:proofErr w:type="spellStart"/>
            <w:r w:rsidRPr="00BA3624">
              <w:rPr>
                <w:rFonts w:eastAsiaTheme="minorEastAsia"/>
                <w:b/>
                <w:bCs/>
                <w:i/>
                <w:iCs/>
                <w:sz w:val="18"/>
                <w:szCs w:val="18"/>
                <w:lang w:val="en-US"/>
              </w:rPr>
              <w:t>ADAF</w:t>
            </w:r>
            <w:r>
              <w:rPr>
                <w:rFonts w:eastAsiaTheme="minorEastAsia"/>
                <w:b/>
                <w:bCs/>
                <w:i/>
                <w:iCs/>
                <w:sz w:val="18"/>
                <w:szCs w:val="18"/>
                <w:vertAlign w:val="subscript"/>
                <w:lang w:val="en-US"/>
              </w:rPr>
              <w:t>dermal</w:t>
            </w:r>
            <w:proofErr w:type="spellEnd"/>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 xml:space="preserve">dermal absorption;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413" w:type="dxa"/>
            <w:tcBorders>
              <w:top w:val="single" w:sz="4" w:space="0" w:color="auto"/>
              <w:bottom w:val="single" w:sz="4" w:space="0" w:color="auto"/>
            </w:tcBorders>
            <w:vAlign w:val="center"/>
          </w:tcPr>
          <w:p w14:paraId="0C6EA5B0" w14:textId="66FCB944" w:rsidR="008C28B2" w:rsidRPr="005D3BD4" w:rsidRDefault="00244B0E"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r w:rsidR="00244B0E" w:rsidRPr="00C47575" w14:paraId="0AB008DE" w14:textId="77777777" w:rsidTr="00BA3624">
        <w:trPr>
          <w:trHeight w:val="1380"/>
          <w:jc w:val="center"/>
        </w:trPr>
        <w:tc>
          <w:tcPr>
            <w:tcW w:w="2694" w:type="dxa"/>
            <w:tcBorders>
              <w:top w:val="single" w:sz="4" w:space="0" w:color="auto"/>
              <w:bottom w:val="double" w:sz="4" w:space="0" w:color="auto"/>
            </w:tcBorders>
            <w:vAlign w:val="center"/>
          </w:tcPr>
          <w:p w14:paraId="5335C3A7" w14:textId="13735BA7" w:rsidR="00244B0E" w:rsidRPr="00307854" w:rsidRDefault="00244B0E" w:rsidP="00244B0E">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double" w:sz="4" w:space="0" w:color="auto"/>
            </w:tcBorders>
            <w:vAlign w:val="center"/>
          </w:tcPr>
          <w:p w14:paraId="509FC046" w14:textId="0A8228F1" w:rsidR="00244B0E" w:rsidRPr="008C5668" w:rsidRDefault="00A10B4C" w:rsidP="00244B0E">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In</m:t>
                    </m:r>
                    <m:r>
                      <w:rPr>
                        <w:rFonts w:ascii="Cambria Math" w:hAnsi="Cambria Math"/>
                        <w:sz w:val="18"/>
                        <w:szCs w:val="18"/>
                        <w:lang w:val="en-US"/>
                      </w:rPr>
                      <m:t>h</m:t>
                    </m:r>
                    <m:r>
                      <w:rPr>
                        <w:rFonts w:ascii="Cambria Math" w:hAnsi="Cambria Math"/>
                        <w:sz w:val="18"/>
                        <w:szCs w:val="18"/>
                      </w:rPr>
                      <m:t>a</m:t>
                    </m:r>
                    <m:r>
                      <w:rPr>
                        <w:rFonts w:ascii="Cambria Math" w:hAnsi="Cambria Math"/>
                        <w:sz w:val="18"/>
                        <w:szCs w:val="18"/>
                        <w:lang w:val="en-US"/>
                      </w:rPr>
                      <m:t>.</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r>
                  <w:rPr>
                    <w:rFonts w:ascii="Cambria Math" w:hAnsi="Cambria Math"/>
                    <w:sz w:val="18"/>
                    <w:szCs w:val="18"/>
                  </w:rPr>
                  <m:t>IUR</m:t>
                </m:r>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inha.</m:t>
                    </m:r>
                  </m:sub>
                </m:sSub>
                <m:r>
                  <w:rPr>
                    <w:rFonts w:ascii="Cambria Math" w:eastAsiaTheme="minorEastAsia" w:hAnsi="Cambria Math"/>
                    <w:sz w:val="18"/>
                    <w:szCs w:val="18"/>
                    <w:lang w:val="en-US"/>
                  </w:rPr>
                  <m:t xml:space="preserve">         (22)</m:t>
                </m:r>
              </m:oMath>
            </m:oMathPara>
          </w:p>
        </w:tc>
        <w:tc>
          <w:tcPr>
            <w:tcW w:w="5245" w:type="dxa"/>
            <w:tcBorders>
              <w:top w:val="single" w:sz="4" w:space="0" w:color="auto"/>
              <w:bottom w:val="double" w:sz="4" w:space="0" w:color="auto"/>
            </w:tcBorders>
            <w:vAlign w:val="center"/>
          </w:tcPr>
          <w:p w14:paraId="1BA018C5" w14:textId="387655CC" w:rsidR="00244B0E" w:rsidRPr="00323B9E" w:rsidRDefault="00244B0E" w:rsidP="00244B0E">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Pr>
                <w:sz w:val="18"/>
                <w:szCs w:val="18"/>
                <w:lang w:val="en-US"/>
              </w:rPr>
              <w:t>E</w:t>
            </w:r>
            <w:r w:rsidRPr="00E54673">
              <w:rPr>
                <w:sz w:val="18"/>
                <w:szCs w:val="18"/>
                <w:lang w:val="en-US"/>
              </w:rPr>
              <w:t>xposure concentration</w:t>
            </w:r>
            <w:r w:rsidRPr="00994422">
              <w:rPr>
                <w:rStyle w:val="tlid-translation"/>
                <w:sz w:val="18"/>
                <w:szCs w:val="18"/>
                <w:lang w:val="en-US"/>
              </w:rPr>
              <w:t xml:space="preserve"> of chemical species </w:t>
            </w:r>
            <w:r w:rsidRPr="00994422">
              <w:rPr>
                <w:sz w:val="18"/>
                <w:szCs w:val="18"/>
                <w:lang w:val="en-US"/>
              </w:rPr>
              <w:t xml:space="preserve">for initial age </w:t>
            </w:r>
            <w:r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Pr="00E54673">
              <w:rPr>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Pr>
                <w:b/>
                <w:bCs/>
                <w:i/>
                <w:iCs/>
                <w:sz w:val="18"/>
                <w:szCs w:val="18"/>
                <w:lang w:val="en-US"/>
              </w:rPr>
              <w:t>IU</w:t>
            </w:r>
            <w:r w:rsidR="00E31AC4">
              <w:rPr>
                <w:b/>
                <w:bCs/>
                <w:i/>
                <w:iCs/>
                <w:sz w:val="18"/>
                <w:szCs w:val="18"/>
                <w:lang w:val="en-US"/>
              </w:rPr>
              <w:t>R</w:t>
            </w:r>
            <w:r w:rsidRPr="00994422">
              <w:rPr>
                <w:sz w:val="18"/>
                <w:szCs w:val="18"/>
                <w:lang w:val="en-US"/>
              </w:rPr>
              <w:t xml:space="preserve"> = </w:t>
            </w:r>
            <w:r w:rsidR="00E31AC4" w:rsidRPr="00E31AC4">
              <w:rPr>
                <w:sz w:val="18"/>
                <w:szCs w:val="18"/>
                <w:lang w:val="en-US"/>
              </w:rPr>
              <w:t>Inhalation Unit Risk</w:t>
            </w:r>
            <w:r w:rsidRPr="00E31AC4">
              <w:rPr>
                <w:sz w:val="18"/>
                <w:szCs w:val="18"/>
                <w:lang w:val="en-US"/>
              </w:rPr>
              <w:t xml:space="preserve"> of</w:t>
            </w:r>
            <w:r w:rsidRPr="00994422">
              <w:rPr>
                <w:sz w:val="18"/>
                <w:szCs w:val="18"/>
                <w:lang w:val="en-US"/>
              </w:rPr>
              <w:t xml:space="preserve">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Pr>
                <w:rStyle w:val="tlid-translation"/>
                <w:rFonts w:eastAsiaTheme="minorEastAsia"/>
                <w:iCs/>
                <w:sz w:val="18"/>
                <w:szCs w:val="18"/>
                <w:vertAlign w:val="superscript"/>
                <w:lang w:val="en-US"/>
              </w:rPr>
              <w:t>-1</w:t>
            </w:r>
            <w:r>
              <w:rPr>
                <w:rFonts w:eastAsiaTheme="minorEastAsia"/>
                <w:sz w:val="18"/>
                <w:szCs w:val="18"/>
                <w:lang w:val="en-US"/>
              </w:rPr>
              <w:t xml:space="preserve">; </w:t>
            </w:r>
            <w:proofErr w:type="spellStart"/>
            <w:r w:rsidRPr="00BA3624">
              <w:rPr>
                <w:rFonts w:eastAsiaTheme="minorEastAsia"/>
                <w:b/>
                <w:bCs/>
                <w:i/>
                <w:iCs/>
                <w:sz w:val="18"/>
                <w:szCs w:val="18"/>
                <w:lang w:val="en-US"/>
              </w:rPr>
              <w:t>ADAF</w:t>
            </w:r>
            <w:r>
              <w:rPr>
                <w:rFonts w:eastAsiaTheme="minorEastAsia"/>
                <w:b/>
                <w:bCs/>
                <w:i/>
                <w:iCs/>
                <w:sz w:val="18"/>
                <w:szCs w:val="18"/>
                <w:vertAlign w:val="subscript"/>
                <w:lang w:val="en-US"/>
              </w:rPr>
              <w:t>inha</w:t>
            </w:r>
            <w:proofErr w:type="spellEnd"/>
            <w:r>
              <w:rPr>
                <w:rFonts w:eastAsiaTheme="minorEastAsia"/>
                <w:b/>
                <w:bCs/>
                <w:i/>
                <w:iCs/>
                <w:sz w:val="18"/>
                <w:szCs w:val="18"/>
                <w:vertAlign w:val="subscript"/>
                <w:lang w:val="en-US"/>
              </w:rPr>
              <w:t>.</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inhalation intake.</w:t>
            </w:r>
          </w:p>
        </w:tc>
        <w:tc>
          <w:tcPr>
            <w:tcW w:w="1413" w:type="dxa"/>
            <w:tcBorders>
              <w:top w:val="single" w:sz="4" w:space="0" w:color="auto"/>
              <w:bottom w:val="double" w:sz="4" w:space="0" w:color="auto"/>
            </w:tcBorders>
            <w:vAlign w:val="center"/>
          </w:tcPr>
          <w:p w14:paraId="67E30126" w14:textId="7013A54C" w:rsidR="00244B0E" w:rsidRPr="005D3BD4" w:rsidRDefault="00244B0E" w:rsidP="00244B0E">
            <w:pPr>
              <w:spacing w:line="360" w:lineRule="auto"/>
              <w:jc w:val="center"/>
              <w:rPr>
                <w:rStyle w:val="tlid-translation"/>
                <w:sz w:val="20"/>
                <w:szCs w:val="20"/>
                <w:lang w:val="en"/>
              </w:rPr>
            </w:pPr>
            <w:r>
              <w:rPr>
                <w:rStyle w:val="tlid-translation"/>
                <w:sz w:val="20"/>
                <w:szCs w:val="20"/>
                <w:lang w:val="en-US"/>
              </w:rPr>
              <w:t>U</w:t>
            </w:r>
            <w:r w:rsidRPr="008C5668">
              <w:rPr>
                <w:rStyle w:val="tlid-translation"/>
                <w:sz w:val="20"/>
                <w:szCs w:val="20"/>
                <w:lang w:val="en-US"/>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bl>
    <w:p w14:paraId="3905D761" w14:textId="77777777" w:rsidR="00E54673" w:rsidRDefault="00E54673" w:rsidP="00CC68E6">
      <w:pPr>
        <w:jc w:val="both"/>
        <w:rPr>
          <w:sz w:val="28"/>
          <w:lang w:val="en-US"/>
        </w:rPr>
      </w:pPr>
    </w:p>
    <w:p w14:paraId="7A4164BA" w14:textId="77777777" w:rsidR="002E2B65" w:rsidRDefault="002E2B65" w:rsidP="00CC68E6">
      <w:pPr>
        <w:jc w:val="both"/>
        <w:rPr>
          <w:sz w:val="28"/>
          <w:lang w:val="en-US"/>
        </w:rPr>
      </w:pPr>
    </w:p>
    <w:p w14:paraId="2607C6EB" w14:textId="77777777" w:rsidR="00CC68E6" w:rsidRDefault="00CC68E6" w:rsidP="00CC68E6">
      <w:pPr>
        <w:jc w:val="center"/>
        <w:rPr>
          <w:sz w:val="28"/>
          <w:lang w:val="en-US"/>
        </w:rPr>
      </w:pPr>
    </w:p>
    <w:p w14:paraId="1F6385A4" w14:textId="30CF9159" w:rsidR="00CC68E6" w:rsidRDefault="00CC68E6" w:rsidP="00CC68E6">
      <w:pPr>
        <w:jc w:val="center"/>
        <w:rPr>
          <w:sz w:val="28"/>
          <w:lang w:val="en-US"/>
        </w:rPr>
        <w:sectPr w:rsidR="00CC68E6" w:rsidSect="00CC68E6">
          <w:type w:val="continuous"/>
          <w:pgSz w:w="16838" w:h="11906" w:orient="landscape"/>
          <w:pgMar w:top="720" w:right="720" w:bottom="720" w:left="720" w:header="709" w:footer="709" w:gutter="0"/>
          <w:cols w:space="708"/>
          <w:titlePg/>
          <w:docGrid w:linePitch="360"/>
        </w:sectPr>
      </w:pPr>
    </w:p>
    <w:p w14:paraId="24AA2683" w14:textId="77777777" w:rsidR="00726DE9" w:rsidRDefault="00726DE9" w:rsidP="00726DE9">
      <w:pPr>
        <w:spacing w:after="0" w:line="276" w:lineRule="auto"/>
        <w:jc w:val="both"/>
        <w:rPr>
          <w:sz w:val="28"/>
          <w:lang w:val="en-US"/>
        </w:rPr>
      </w:pPr>
    </w:p>
    <w:p w14:paraId="28D27AA9" w14:textId="4F6D0C0D" w:rsidR="001857F2" w:rsidRDefault="00BC0FF9" w:rsidP="001857F2">
      <w:pPr>
        <w:spacing w:before="240" w:after="0" w:line="276" w:lineRule="auto"/>
        <w:ind w:firstLine="567"/>
        <w:jc w:val="both"/>
        <w:rPr>
          <w:color w:val="000000"/>
          <w:sz w:val="28"/>
          <w:lang w:val="en-US"/>
        </w:rPr>
      </w:pPr>
      <w:r>
        <w:rPr>
          <w:color w:val="000000"/>
          <w:sz w:val="28"/>
          <w:lang w:val="en-US"/>
        </w:rPr>
        <w:t xml:space="preserve">For carcinogen chemical species </w:t>
      </w:r>
      <w:r w:rsidRPr="00BC0FF9">
        <w:rPr>
          <w:color w:val="000000"/>
          <w:sz w:val="28"/>
          <w:lang w:val="en-US"/>
        </w:rPr>
        <w:t>acting through a mutagenic</w:t>
      </w:r>
      <w:r w:rsidR="00E72077">
        <w:rPr>
          <w:color w:val="000000"/>
          <w:sz w:val="28"/>
          <w:lang w:val="en-US"/>
        </w:rPr>
        <w:t xml:space="preserve"> Mode Of Action</w:t>
      </w:r>
      <w:r w:rsidRPr="00BC0FF9">
        <w:rPr>
          <w:color w:val="000000"/>
          <w:sz w:val="28"/>
          <w:lang w:val="en-US"/>
        </w:rPr>
        <w:t xml:space="preserve"> </w:t>
      </w:r>
      <w:r w:rsidR="00E72077">
        <w:rPr>
          <w:color w:val="000000"/>
          <w:sz w:val="28"/>
          <w:lang w:val="en-US"/>
        </w:rPr>
        <w:t>(</w:t>
      </w:r>
      <w:r w:rsidRPr="00BC0FF9">
        <w:rPr>
          <w:color w:val="000000"/>
          <w:sz w:val="28"/>
          <w:lang w:val="en-US"/>
        </w:rPr>
        <w:t>MOA</w:t>
      </w:r>
      <w:r w:rsidR="00E72077">
        <w:rPr>
          <w:color w:val="000000"/>
          <w:sz w:val="28"/>
          <w:lang w:val="en-US"/>
        </w:rPr>
        <w:t>)</w:t>
      </w:r>
      <w:r w:rsidRPr="00BC0FF9">
        <w:rPr>
          <w:color w:val="000000"/>
          <w:sz w:val="28"/>
          <w:lang w:val="en-US"/>
        </w:rPr>
        <w:t xml:space="preserve">, where chemical-specific data concerning early life susceptibility are lacking, early life susceptibility should be assumed, and the following </w:t>
      </w:r>
      <w:r w:rsidRPr="00924412">
        <w:rPr>
          <w:i/>
          <w:color w:val="000000"/>
          <w:sz w:val="28"/>
          <w:lang w:val="en-US"/>
        </w:rPr>
        <w:t>ADAF</w:t>
      </w:r>
      <w:r w:rsidR="00924412">
        <w:rPr>
          <w:i/>
          <w:color w:val="000000"/>
          <w:sz w:val="28"/>
          <w:lang w:val="en-US"/>
        </w:rPr>
        <w:t>s</w:t>
      </w:r>
      <w:r>
        <w:rPr>
          <w:color w:val="000000"/>
          <w:sz w:val="28"/>
          <w:lang w:val="en-US"/>
        </w:rPr>
        <w:t xml:space="preserve"> (</w:t>
      </w:r>
      <w:r>
        <w:rPr>
          <w:sz w:val="28"/>
          <w:lang w:val="en-US"/>
        </w:rPr>
        <w:t>age</w:t>
      </w:r>
      <w:r w:rsidRPr="00BC0FF9">
        <w:rPr>
          <w:color w:val="000000"/>
          <w:sz w:val="28"/>
          <w:lang w:val="en-US"/>
        </w:rPr>
        <w:t xml:space="preserve"> dependent adjustments factors</w:t>
      </w:r>
      <w:r>
        <w:rPr>
          <w:color w:val="000000"/>
          <w:sz w:val="28"/>
          <w:lang w:val="en-US"/>
        </w:rPr>
        <w:t>)</w:t>
      </w:r>
      <w:r w:rsidRPr="00BC0FF9">
        <w:rPr>
          <w:color w:val="000000"/>
          <w:sz w:val="28"/>
          <w:lang w:val="en-US"/>
        </w:rPr>
        <w:t xml:space="preserve"> should be applied to the cancer slope factor</w:t>
      </w:r>
      <w:r w:rsidR="00223964">
        <w:rPr>
          <w:color w:val="000000"/>
          <w:sz w:val="28"/>
          <w:lang w:val="en-US"/>
        </w:rPr>
        <w:t xml:space="preserve"> or the </w:t>
      </w:r>
      <w:r w:rsidR="00223964" w:rsidRPr="00924412">
        <w:rPr>
          <w:i/>
          <w:color w:val="000000"/>
          <w:sz w:val="28"/>
          <w:lang w:val="en-US"/>
        </w:rPr>
        <w:t>IUR</w:t>
      </w:r>
      <w:r w:rsidRPr="00BC0FF9">
        <w:rPr>
          <w:color w:val="000000"/>
          <w:sz w:val="28"/>
          <w:lang w:val="en-US"/>
        </w:rPr>
        <w:t xml:space="preserve"> as described in the </w:t>
      </w:r>
      <w:r>
        <w:rPr>
          <w:color w:val="000000"/>
          <w:sz w:val="28"/>
          <w:lang w:val="en-US"/>
        </w:rPr>
        <w:t xml:space="preserve">U.S. EPA </w:t>
      </w:r>
      <w:r w:rsidR="00775E0C">
        <w:rPr>
          <w:color w:val="000000"/>
          <w:sz w:val="28"/>
          <w:lang w:val="en-US"/>
        </w:rPr>
        <w:fldChar w:fldCharType="begin" w:fldLock="1"/>
      </w:r>
      <w:r w:rsidR="003F53E8">
        <w:rPr>
          <w:color w:val="000000"/>
          <w:sz w:val="28"/>
          <w:lang w:val="en-US"/>
        </w:rPr>
        <w:instrText>ADDIN CSL_CITATION {"citationItems":[{"id":"ITEM-1","itemData":{"abstract":"Cancer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Agency","id":"ITEM-1","issued":{"date-parts":[["2005"]]},"title":"Supplemental Guidance for Assessing Susceptibility from Early-Life Exposure to Carcinogens","type":"report"},"suppress-author":1,"uris":["http://www.mendeley.com/documents/?uuid=0b97846b-c443-4dbe-8780-5694c030ad0e"]}],"mendeley":{"formattedCitation":"(2005a)","plainTextFormattedCitation":"(2005a)","previouslyFormattedCitation":"(2005a)"},"properties":{"noteIndex":0},"schema":"https://github.com/citation-style-language/schema/raw/master/csl-citation.json"}</w:instrText>
      </w:r>
      <w:r w:rsidR="00775E0C">
        <w:rPr>
          <w:color w:val="000000"/>
          <w:sz w:val="28"/>
          <w:lang w:val="en-US"/>
        </w:rPr>
        <w:fldChar w:fldCharType="separate"/>
      </w:r>
      <w:r w:rsidR="004429AB" w:rsidRPr="004429AB">
        <w:rPr>
          <w:noProof/>
          <w:color w:val="000000"/>
          <w:sz w:val="28"/>
          <w:lang w:val="en-US"/>
        </w:rPr>
        <w:t>(2005a)</w:t>
      </w:r>
      <w:r w:rsidR="00775E0C">
        <w:rPr>
          <w:color w:val="000000"/>
          <w:sz w:val="28"/>
          <w:lang w:val="en-US"/>
        </w:rPr>
        <w:fldChar w:fldCharType="end"/>
      </w:r>
      <w:r w:rsidR="00CE2107">
        <w:rPr>
          <w:color w:val="000000"/>
          <w:sz w:val="28"/>
          <w:lang w:val="en-US"/>
        </w:rPr>
        <w:t>:</w:t>
      </w:r>
    </w:p>
    <w:p w14:paraId="2DB85E0B" w14:textId="77777777" w:rsid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10 </w:t>
      </w:r>
      <w:r w:rsidRPr="00775E0C">
        <w:rPr>
          <w:color w:val="000000"/>
          <w:sz w:val="28"/>
          <w:lang w:val="en-US"/>
        </w:rPr>
        <w:t>for exposures occurring before 2</w:t>
      </w:r>
      <w:r>
        <w:rPr>
          <w:color w:val="000000"/>
          <w:sz w:val="28"/>
          <w:lang w:val="en-US"/>
        </w:rPr>
        <w:t xml:space="preserve"> </w:t>
      </w:r>
      <w:r w:rsidRPr="00775E0C">
        <w:rPr>
          <w:color w:val="000000"/>
          <w:sz w:val="28"/>
          <w:lang w:val="en-US"/>
        </w:rPr>
        <w:t>years of age</w:t>
      </w:r>
      <w:r>
        <w:rPr>
          <w:color w:val="000000"/>
          <w:sz w:val="28"/>
          <w:lang w:val="en-US"/>
        </w:rPr>
        <w:t>;</w:t>
      </w:r>
    </w:p>
    <w:p w14:paraId="14FC8BC3" w14:textId="77777777" w:rsidR="00775E0C" w:rsidRP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3 </w:t>
      </w:r>
      <w:r w:rsidRPr="00775E0C">
        <w:rPr>
          <w:color w:val="000000"/>
          <w:sz w:val="28"/>
          <w:lang w:val="en-US"/>
        </w:rPr>
        <w:t>for exposures occurring between the</w:t>
      </w:r>
      <w:r>
        <w:rPr>
          <w:color w:val="000000"/>
          <w:sz w:val="28"/>
          <w:lang w:val="en-US"/>
        </w:rPr>
        <w:t xml:space="preserve"> </w:t>
      </w:r>
      <w:r w:rsidRPr="00775E0C">
        <w:rPr>
          <w:color w:val="000000"/>
          <w:sz w:val="28"/>
          <w:lang w:val="en-US"/>
        </w:rPr>
        <w:t>ages of 2 and 16 years of age;</w:t>
      </w:r>
    </w:p>
    <w:p w14:paraId="378A816C" w14:textId="77777777" w:rsidR="00595451" w:rsidRPr="000012C9" w:rsidRDefault="00775E0C" w:rsidP="000012C9">
      <w:pPr>
        <w:pStyle w:val="PargrafodaLista"/>
        <w:numPr>
          <w:ilvl w:val="0"/>
          <w:numId w:val="12"/>
        </w:numPr>
        <w:spacing w:before="240" w:after="0" w:line="360" w:lineRule="auto"/>
        <w:ind w:left="1134" w:hanging="567"/>
        <w:jc w:val="both"/>
        <w:rPr>
          <w:rStyle w:val="tlid-translation"/>
          <w:color w:val="000000"/>
          <w:sz w:val="28"/>
          <w:lang w:val="en-US"/>
        </w:rPr>
      </w:pPr>
      <w:r w:rsidRPr="00924412">
        <w:rPr>
          <w:i/>
          <w:color w:val="000000"/>
          <w:sz w:val="28"/>
          <w:lang w:val="en-US"/>
        </w:rPr>
        <w:t>ADAF</w:t>
      </w:r>
      <w:r>
        <w:rPr>
          <w:color w:val="000000"/>
          <w:sz w:val="28"/>
          <w:lang w:val="en-US"/>
        </w:rPr>
        <w:t xml:space="preserve"> = 1 (</w:t>
      </w:r>
      <w:r w:rsidRPr="00775E0C">
        <w:rPr>
          <w:color w:val="000000"/>
          <w:sz w:val="28"/>
          <w:lang w:val="en-US"/>
        </w:rPr>
        <w:t>no adjustment</w:t>
      </w:r>
      <w:r>
        <w:rPr>
          <w:color w:val="000000"/>
          <w:sz w:val="28"/>
          <w:lang w:val="en-US"/>
        </w:rPr>
        <w:t>)</w:t>
      </w:r>
      <w:r w:rsidRPr="00775E0C">
        <w:rPr>
          <w:color w:val="000000"/>
          <w:sz w:val="28"/>
          <w:lang w:val="en-US"/>
        </w:rPr>
        <w:t xml:space="preserve"> for exposures occurring after</w:t>
      </w:r>
      <w:r>
        <w:rPr>
          <w:color w:val="000000"/>
          <w:sz w:val="28"/>
          <w:lang w:val="en-US"/>
        </w:rPr>
        <w:t xml:space="preserve"> </w:t>
      </w:r>
      <w:r w:rsidRPr="00775E0C">
        <w:rPr>
          <w:color w:val="000000"/>
          <w:sz w:val="28"/>
          <w:lang w:val="en-US"/>
        </w:rPr>
        <w:t>16 years of age</w:t>
      </w:r>
      <w:r w:rsidR="005D3257">
        <w:rPr>
          <w:color w:val="000000"/>
          <w:sz w:val="28"/>
          <w:lang w:val="en-US"/>
        </w:rPr>
        <w:t>.</w:t>
      </w:r>
    </w:p>
    <w:p w14:paraId="5793CDF2" w14:textId="6CE66625" w:rsidR="00595451" w:rsidRDefault="00595451" w:rsidP="000012C9">
      <w:pPr>
        <w:spacing w:before="240" w:after="0" w:line="276" w:lineRule="auto"/>
        <w:ind w:firstLine="567"/>
        <w:jc w:val="both"/>
        <w:rPr>
          <w:sz w:val="28"/>
          <w:lang w:val="en-US"/>
        </w:rPr>
      </w:pPr>
      <w:r>
        <w:rPr>
          <w:sz w:val="28"/>
          <w:lang w:val="en"/>
        </w:rPr>
        <w:t>According to</w:t>
      </w:r>
      <w:r>
        <w:rPr>
          <w:sz w:val="28"/>
          <w:lang w:val="en-US"/>
        </w:rPr>
        <w:t xml:space="preserve"> </w:t>
      </w:r>
      <w:r w:rsidRPr="00595451">
        <w:rPr>
          <w:sz w:val="28"/>
          <w:lang w:val="en-US"/>
        </w:rPr>
        <w:t xml:space="preserve">U.S. EPA </w:t>
      </w:r>
      <w:r w:rsidRPr="00595451">
        <w:rPr>
          <w:sz w:val="28"/>
          <w:lang w:val="en-US"/>
        </w:rPr>
        <w:fldChar w:fldCharType="begin" w:fldLock="1"/>
      </w:r>
      <w:r w:rsidR="00F95B47">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595451">
        <w:rPr>
          <w:sz w:val="28"/>
          <w:lang w:val="en-US"/>
        </w:rPr>
        <w:fldChar w:fldCharType="separate"/>
      </w:r>
      <w:r w:rsidRPr="00595451">
        <w:rPr>
          <w:noProof/>
          <w:sz w:val="28"/>
          <w:lang w:val="en-US"/>
        </w:rPr>
        <w:t>(2009a)</w:t>
      </w:r>
      <w:r w:rsidRPr="00595451">
        <w:rPr>
          <w:sz w:val="28"/>
          <w:lang w:val="en-US"/>
        </w:rPr>
        <w:fldChar w:fldCharType="end"/>
      </w:r>
      <w:r>
        <w:rPr>
          <w:sz w:val="28"/>
          <w:lang w:val="en-US"/>
        </w:rPr>
        <w:t xml:space="preserve">, </w:t>
      </w:r>
      <w:r w:rsidRPr="00595451">
        <w:rPr>
          <w:sz w:val="28"/>
          <w:lang w:val="en-US"/>
        </w:rPr>
        <w:t>adults and children</w:t>
      </w:r>
      <w:r w:rsidR="00201052">
        <w:rPr>
          <w:sz w:val="28"/>
          <w:lang w:val="en-US"/>
        </w:rPr>
        <w:t xml:space="preserve"> presents differences in</w:t>
      </w:r>
      <w:r w:rsidRPr="00595451">
        <w:rPr>
          <w:sz w:val="28"/>
          <w:lang w:val="en-US"/>
        </w:rPr>
        <w:t xml:space="preserve"> the particle deposited dose in the entire respiratory tract. Several studies indicate differences in the </w:t>
      </w:r>
      <w:r w:rsidR="00E72077" w:rsidRPr="00595451">
        <w:rPr>
          <w:sz w:val="28"/>
          <w:lang w:val="en-US"/>
        </w:rPr>
        <w:t>deposition;</w:t>
      </w:r>
      <w:r w:rsidRPr="00595451">
        <w:rPr>
          <w:sz w:val="28"/>
          <w:lang w:val="en-US"/>
        </w:rPr>
        <w:t xml:space="preserve"> however, values ​​vary widely, and no correction values ​​can be defined. </w:t>
      </w:r>
      <w:r w:rsidR="008C5668">
        <w:rPr>
          <w:sz w:val="28"/>
          <w:lang w:val="en-US"/>
        </w:rPr>
        <w:t>Still a</w:t>
      </w:r>
      <w:r w:rsidRPr="00595451">
        <w:rPr>
          <w:sz w:val="28"/>
          <w:lang w:val="en-US"/>
        </w:rPr>
        <w:t>ccording to U</w:t>
      </w:r>
      <w:r w:rsidR="008C5668">
        <w:rPr>
          <w:sz w:val="28"/>
          <w:lang w:val="en-US"/>
        </w:rPr>
        <w:t>.</w:t>
      </w:r>
      <w:r w:rsidRPr="00595451">
        <w:rPr>
          <w:sz w:val="28"/>
          <w:lang w:val="en-US"/>
        </w:rPr>
        <w:t>S</w:t>
      </w:r>
      <w:r w:rsidR="008C5668">
        <w:rPr>
          <w:sz w:val="28"/>
          <w:lang w:val="en-US"/>
        </w:rPr>
        <w:t xml:space="preserve">. </w:t>
      </w:r>
      <w:r w:rsidRPr="00595451">
        <w:rPr>
          <w:sz w:val="28"/>
          <w:lang w:val="en-US"/>
        </w:rPr>
        <w:t>EPA</w:t>
      </w:r>
      <w:r w:rsidR="008C5668">
        <w:rPr>
          <w:sz w:val="28"/>
          <w:lang w:val="en-US"/>
        </w:rPr>
        <w:t xml:space="preserve"> </w:t>
      </w:r>
      <w:r w:rsidR="008C5668">
        <w:rPr>
          <w:sz w:val="28"/>
          <w:lang w:val="en-US"/>
        </w:rPr>
        <w:fldChar w:fldCharType="begin" w:fldLock="1"/>
      </w:r>
      <w:r w:rsidR="00DA2398">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008C5668">
        <w:rPr>
          <w:sz w:val="28"/>
          <w:lang w:val="en-US"/>
        </w:rPr>
        <w:fldChar w:fldCharType="separate"/>
      </w:r>
      <w:r w:rsidR="008C5668" w:rsidRPr="008C5668">
        <w:rPr>
          <w:noProof/>
          <w:sz w:val="28"/>
          <w:lang w:val="en-US"/>
        </w:rPr>
        <w:t>(2009a)</w:t>
      </w:r>
      <w:r w:rsidR="008C5668">
        <w:rPr>
          <w:sz w:val="28"/>
          <w:lang w:val="en-US"/>
        </w:rPr>
        <w:fldChar w:fldCharType="end"/>
      </w:r>
      <w:r w:rsidRPr="00595451">
        <w:rPr>
          <w:sz w:val="28"/>
          <w:lang w:val="en-US"/>
        </w:rPr>
        <w:t xml:space="preserve">, considering that 100% of the deposited dose in the entire respiratory tract is available for uptake into the systemic circulation can </w:t>
      </w:r>
      <w:r w:rsidR="00E77B0A" w:rsidRPr="00595451">
        <w:rPr>
          <w:sz w:val="28"/>
          <w:lang w:val="en-US"/>
        </w:rPr>
        <w:t>circu</w:t>
      </w:r>
      <w:r w:rsidR="00E77B0A">
        <w:rPr>
          <w:sz w:val="28"/>
          <w:lang w:val="en-US"/>
        </w:rPr>
        <w:t>m</w:t>
      </w:r>
      <w:r w:rsidR="00E77B0A" w:rsidRPr="00595451">
        <w:rPr>
          <w:sz w:val="28"/>
          <w:lang w:val="en-US"/>
        </w:rPr>
        <w:t>vent</w:t>
      </w:r>
      <w:r w:rsidRPr="00595451">
        <w:rPr>
          <w:sz w:val="28"/>
          <w:lang w:val="en-US"/>
        </w:rPr>
        <w:t xml:space="preserve"> the error caused by the p</w:t>
      </w:r>
      <w:r w:rsidR="000012C9">
        <w:rPr>
          <w:sz w:val="28"/>
          <w:lang w:val="en-US"/>
        </w:rPr>
        <w:t>article deposition differences.</w:t>
      </w:r>
    </w:p>
    <w:p w14:paraId="5C50A237" w14:textId="4C0B8874" w:rsidR="001857F2" w:rsidRPr="001857F2" w:rsidRDefault="001857F2" w:rsidP="00595451">
      <w:pPr>
        <w:spacing w:after="0" w:line="276" w:lineRule="auto"/>
        <w:ind w:firstLine="567"/>
        <w:jc w:val="both"/>
        <w:rPr>
          <w:rStyle w:val="tlid-translation"/>
          <w:sz w:val="28"/>
          <w:lang w:val="en-US"/>
        </w:rPr>
      </w:pPr>
      <w:r w:rsidRPr="001857F2">
        <w:rPr>
          <w:sz w:val="28"/>
          <w:lang w:val="en-US"/>
        </w:rPr>
        <w:t xml:space="preserve">The risk assessment </w:t>
      </w:r>
      <w:r w:rsidR="00CB676E">
        <w:rPr>
          <w:sz w:val="28"/>
          <w:lang w:val="en-US"/>
        </w:rPr>
        <w:t>normally is</w:t>
      </w:r>
      <w:r w:rsidRPr="001857F2">
        <w:rPr>
          <w:sz w:val="28"/>
          <w:lang w:val="en-US"/>
        </w:rPr>
        <w:t xml:space="preserve"> performed with more than one exposure route (</w:t>
      </w:r>
      <w:r w:rsidRPr="001857F2">
        <w:rPr>
          <w:i/>
          <w:sz w:val="28"/>
          <w:lang w:val="en-US"/>
        </w:rPr>
        <w:t>n</w:t>
      </w:r>
      <w:r w:rsidRPr="001857F2">
        <w:rPr>
          <w:sz w:val="28"/>
          <w:lang w:val="en-US"/>
        </w:rPr>
        <w:t xml:space="preserve">), for this reason, it </w:t>
      </w:r>
      <w:r w:rsidR="00CB676E">
        <w:rPr>
          <w:sz w:val="28"/>
          <w:lang w:val="en-US"/>
        </w:rPr>
        <w:t>is</w:t>
      </w:r>
      <w:r w:rsidRPr="001857F2">
        <w:rPr>
          <w:sz w:val="28"/>
          <w:lang w:val="en-US"/>
        </w:rPr>
        <w:t xml:space="preserve"> necessary to calculate the aggregated hazard index (</w:t>
      </w:r>
      <w:proofErr w:type="spellStart"/>
      <w:r w:rsidRPr="001857F2">
        <w:rPr>
          <w:i/>
          <w:sz w:val="28"/>
          <w:lang w:val="en-US"/>
        </w:rPr>
        <w:t>HI</w:t>
      </w:r>
      <w:r w:rsidRPr="001857F2">
        <w:rPr>
          <w:i/>
          <w:sz w:val="28"/>
          <w:vertAlign w:val="subscript"/>
          <w:lang w:val="en-US"/>
        </w:rPr>
        <w:t>agg</w:t>
      </w:r>
      <w:proofErr w:type="spellEnd"/>
      <w:r w:rsidRPr="001857F2">
        <w:rPr>
          <w:sz w:val="28"/>
          <w:lang w:val="en-US"/>
        </w:rPr>
        <w:t xml:space="preserve">), which is the sum of all calculated </w:t>
      </w:r>
      <w:r w:rsidRPr="001857F2">
        <w:rPr>
          <w:i/>
          <w:sz w:val="28"/>
          <w:lang w:val="en-US"/>
        </w:rPr>
        <w:t>HQ</w:t>
      </w:r>
      <w:r w:rsidRPr="001857F2">
        <w:rPr>
          <w:sz w:val="28"/>
          <w:lang w:val="en-US"/>
        </w:rPr>
        <w:t xml:space="preserve"> for each exposure route</w:t>
      </w:r>
      <w:r w:rsidR="00CB676E">
        <w:rPr>
          <w:sz w:val="28"/>
          <w:lang w:val="en-US"/>
        </w:rPr>
        <w:t>.</w:t>
      </w:r>
      <w:r w:rsidRPr="001857F2">
        <w:rPr>
          <w:sz w:val="28"/>
          <w:lang w:val="en-US"/>
        </w:rPr>
        <w:t xml:space="preserve"> The same can be done for the carcinogenic risk by calculating the aggregated potential carcinogenic risk (</w:t>
      </w:r>
      <w:proofErr w:type="spellStart"/>
      <w:r w:rsidRPr="001857F2">
        <w:rPr>
          <w:i/>
          <w:sz w:val="28"/>
          <w:lang w:val="en-US"/>
        </w:rPr>
        <w:t>CR</w:t>
      </w:r>
      <w:r w:rsidRPr="001857F2">
        <w:rPr>
          <w:i/>
          <w:sz w:val="28"/>
          <w:vertAlign w:val="subscript"/>
          <w:lang w:val="en-US"/>
        </w:rPr>
        <w:t>agg</w:t>
      </w:r>
      <w:proofErr w:type="spellEnd"/>
      <w:r w:rsidRPr="001857F2">
        <w:rPr>
          <w:sz w:val="28"/>
          <w:lang w:val="en-US"/>
        </w:rPr>
        <w:t>)</w:t>
      </w:r>
      <w:r w:rsidR="00561C45">
        <w:rPr>
          <w:sz w:val="28"/>
          <w:lang w:val="en-US"/>
        </w:rPr>
        <w:t xml:space="preserve"> </w:t>
      </w:r>
      <w:r w:rsidR="00561C45">
        <w:rPr>
          <w:sz w:val="28"/>
          <w:lang w:val="en-US"/>
        </w:rPr>
        <w:fldChar w:fldCharType="begin" w:fldLock="1"/>
      </w:r>
      <w:r w:rsidR="00561C45">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00561C45">
        <w:rPr>
          <w:sz w:val="28"/>
          <w:lang w:val="en-US"/>
        </w:rPr>
        <w:fldChar w:fldCharType="separate"/>
      </w:r>
      <w:r w:rsidR="00561C45" w:rsidRPr="00561C45">
        <w:rPr>
          <w:noProof/>
          <w:sz w:val="28"/>
          <w:lang w:val="en-US"/>
        </w:rPr>
        <w:t>(U.S. EPA, 1989)</w:t>
      </w:r>
      <w:r w:rsidR="00561C45">
        <w:rPr>
          <w:sz w:val="28"/>
          <w:lang w:val="en-US"/>
        </w:rPr>
        <w:fldChar w:fldCharType="end"/>
      </w:r>
      <w:r w:rsidRPr="001857F2">
        <w:rPr>
          <w:rStyle w:val="tlid-translation"/>
          <w:sz w:val="28"/>
          <w:lang w:val="en-US"/>
        </w:rPr>
        <w:t>.</w:t>
      </w:r>
    </w:p>
    <w:p w14:paraId="5F35E464" w14:textId="7CA95511" w:rsidR="001857F2" w:rsidRDefault="001857F2" w:rsidP="001857F2">
      <w:pPr>
        <w:spacing w:after="0" w:line="276" w:lineRule="auto"/>
        <w:ind w:firstLine="567"/>
        <w:jc w:val="both"/>
        <w:rPr>
          <w:rStyle w:val="tlid-translation"/>
          <w:sz w:val="28"/>
          <w:lang w:val="en-US"/>
        </w:rPr>
      </w:pPr>
      <w:r w:rsidRPr="001857F2">
        <w:rPr>
          <w:rStyle w:val="tlid-translation"/>
          <w:sz w:val="28"/>
          <w:lang w:val="en-US"/>
        </w:rPr>
        <w:t>For the final risk assessment, the sum of the risks arising from all exposure routes and from each chemical species (</w:t>
      </w:r>
      <w:r w:rsidRPr="001857F2">
        <w:rPr>
          <w:rStyle w:val="tlid-translation"/>
          <w:i/>
          <w:sz w:val="28"/>
          <w:lang w:val="en-US"/>
        </w:rPr>
        <w:t>w</w:t>
      </w:r>
      <w:r w:rsidRPr="001857F2">
        <w:rPr>
          <w:rStyle w:val="tlid-translation"/>
          <w:sz w:val="28"/>
          <w:lang w:val="en-US"/>
        </w:rPr>
        <w:t xml:space="preserve">) was calculated, obtaining the </w:t>
      </w:r>
      <w:r w:rsidR="00CB676E">
        <w:rPr>
          <w:rStyle w:val="tlid-translation"/>
          <w:sz w:val="28"/>
          <w:lang w:val="en-US"/>
        </w:rPr>
        <w:t>total</w:t>
      </w:r>
      <w:r w:rsidRPr="001857F2">
        <w:rPr>
          <w:rStyle w:val="tlid-translation"/>
          <w:sz w:val="28"/>
          <w:lang w:val="en-US"/>
        </w:rPr>
        <w:t xml:space="preserve"> hazard index (</w:t>
      </w:r>
      <w:proofErr w:type="spellStart"/>
      <w:r w:rsidRPr="001857F2">
        <w:rPr>
          <w:rStyle w:val="tlid-translation"/>
          <w:i/>
          <w:sz w:val="28"/>
          <w:lang w:val="en-US"/>
        </w:rPr>
        <w:t>HI</w:t>
      </w:r>
      <w:r w:rsidR="00EA4AF9">
        <w:rPr>
          <w:rStyle w:val="tlid-translation"/>
          <w:i/>
          <w:sz w:val="28"/>
          <w:vertAlign w:val="subscript"/>
          <w:lang w:val="en-US"/>
        </w:rPr>
        <w:t>tot</w:t>
      </w:r>
      <w:proofErr w:type="spellEnd"/>
      <w:r w:rsidRPr="001857F2">
        <w:rPr>
          <w:rStyle w:val="tlid-translation"/>
          <w:sz w:val="28"/>
          <w:lang w:val="en-US"/>
        </w:rPr>
        <w:t>) and the cumulative potential carcinogenic risk (</w:t>
      </w:r>
      <w:proofErr w:type="spellStart"/>
      <w:r w:rsidRPr="001857F2">
        <w:rPr>
          <w:rStyle w:val="tlid-translation"/>
          <w:i/>
          <w:sz w:val="28"/>
          <w:lang w:val="en-US"/>
        </w:rPr>
        <w:t>CR</w:t>
      </w:r>
      <w:r w:rsidRPr="001857F2">
        <w:rPr>
          <w:rStyle w:val="tlid-translation"/>
          <w:i/>
          <w:sz w:val="28"/>
          <w:vertAlign w:val="subscript"/>
          <w:lang w:val="en-US"/>
        </w:rPr>
        <w:t>cum</w:t>
      </w:r>
      <w:proofErr w:type="spellEnd"/>
      <w:r w:rsidRPr="001857F2">
        <w:rPr>
          <w:rStyle w:val="tlid-translation"/>
          <w:sz w:val="28"/>
          <w:lang w:val="en-US"/>
        </w:rPr>
        <w:t xml:space="preserve">). </w:t>
      </w:r>
      <w:r w:rsidR="00577D27" w:rsidRPr="00577D27">
        <w:rPr>
          <w:rStyle w:val="tlid-translation"/>
          <w:sz w:val="28"/>
          <w:lang w:val="en-US"/>
        </w:rPr>
        <w:t xml:space="preserve">The classifications of human health risks are shown in </w:t>
      </w:r>
      <w:r w:rsidR="00577D27" w:rsidRPr="00577D27">
        <w:rPr>
          <w:rStyle w:val="tlid-translation"/>
          <w:b/>
          <w:bCs/>
          <w:sz w:val="28"/>
          <w:lang w:val="en-US"/>
        </w:rPr>
        <w:t>Table 5</w:t>
      </w:r>
      <w:r w:rsidR="00577D27">
        <w:rPr>
          <w:rStyle w:val="tlid-translation"/>
          <w:sz w:val="28"/>
          <w:lang w:val="en-US"/>
        </w:rPr>
        <w:t>.</w:t>
      </w:r>
    </w:p>
    <w:p w14:paraId="2275F7E9" w14:textId="7FFEDB90" w:rsidR="00CB676E" w:rsidRDefault="00CB676E" w:rsidP="00CB676E">
      <w:pPr>
        <w:spacing w:after="0" w:line="276" w:lineRule="auto"/>
        <w:jc w:val="both"/>
        <w:rPr>
          <w:rStyle w:val="tlid-translation"/>
          <w:sz w:val="28"/>
          <w:lang w:val="en-US"/>
        </w:rPr>
      </w:pPr>
      <w:r>
        <w:rPr>
          <w:rStyle w:val="tlid-translation"/>
          <w:sz w:val="28"/>
          <w:lang w:val="en-US"/>
        </w:rPr>
        <w:br w:type="page"/>
      </w:r>
    </w:p>
    <w:p w14:paraId="42992B06" w14:textId="77777777" w:rsidR="00CB676E" w:rsidRDefault="00CB676E" w:rsidP="00CB676E">
      <w:pPr>
        <w:spacing w:after="0" w:line="276" w:lineRule="auto"/>
        <w:jc w:val="both"/>
        <w:rPr>
          <w:rStyle w:val="tlid-translation"/>
          <w:sz w:val="28"/>
          <w:lang w:val="en-US"/>
        </w:rPr>
        <w:sectPr w:rsidR="00CB676E" w:rsidSect="00CC68E6">
          <w:pgSz w:w="11906" w:h="16838"/>
          <w:pgMar w:top="720" w:right="720" w:bottom="720" w:left="720" w:header="708" w:footer="708" w:gutter="0"/>
          <w:cols w:space="708"/>
          <w:titlePg/>
          <w:docGrid w:linePitch="360"/>
        </w:sectPr>
      </w:pPr>
    </w:p>
    <w:p w14:paraId="359F4778" w14:textId="062FCD08" w:rsidR="00CB676E" w:rsidRPr="002E2B65" w:rsidRDefault="00CB676E" w:rsidP="00CB676E">
      <w:pPr>
        <w:spacing w:before="240" w:after="0" w:line="360" w:lineRule="auto"/>
        <w:jc w:val="center"/>
        <w:rPr>
          <w:sz w:val="28"/>
          <w:lang w:val="en"/>
        </w:rPr>
      </w:pPr>
      <w:r w:rsidRPr="00BD6F4A">
        <w:rPr>
          <w:b/>
          <w:sz w:val="28"/>
          <w:lang w:val="en-US"/>
        </w:rPr>
        <w:lastRenderedPageBreak/>
        <w:t xml:space="preserve">Table </w:t>
      </w:r>
      <w:r w:rsidR="00EA2C24">
        <w:rPr>
          <w:b/>
          <w:sz w:val="28"/>
          <w:lang w:val="en-US"/>
        </w:rPr>
        <w:t>4</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proofErr w:type="spellStart"/>
      <w:r w:rsidR="003F31FE">
        <w:rPr>
          <w:rStyle w:val="tlid-translation"/>
          <w:sz w:val="28"/>
          <w:lang w:val="en"/>
        </w:rPr>
        <w:t>HERisk</w:t>
      </w:r>
      <w:proofErr w:type="spellEnd"/>
      <w:r w:rsidRPr="00BD6F4A">
        <w:rPr>
          <w:rStyle w:val="tlid-translation"/>
          <w:sz w:val="28"/>
          <w:lang w:val="en"/>
        </w:rPr>
        <w:t xml:space="preserve"> </w:t>
      </w:r>
      <w:r>
        <w:rPr>
          <w:rStyle w:val="tlid-translation"/>
          <w:sz w:val="28"/>
          <w:lang w:val="en"/>
        </w:rPr>
        <w:t xml:space="preserve">for the calculation of </w:t>
      </w:r>
      <w:r w:rsidR="00814787">
        <w:rPr>
          <w:sz w:val="28"/>
          <w:lang w:val="en-US"/>
        </w:rPr>
        <w:t>risk indices and potential carcinogenic risks</w:t>
      </w:r>
    </w:p>
    <w:tbl>
      <w:tblPr>
        <w:tblStyle w:val="Tabelacomgrade1"/>
        <w:tblW w:w="146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8"/>
        <w:gridCol w:w="4962"/>
        <w:gridCol w:w="1193"/>
      </w:tblGrid>
      <w:tr w:rsidR="00CB676E" w:rsidRPr="003C1E54" w14:paraId="457FF5F5" w14:textId="77777777" w:rsidTr="008A0E75">
        <w:trPr>
          <w:trHeight w:val="493"/>
          <w:jc w:val="center"/>
        </w:trPr>
        <w:tc>
          <w:tcPr>
            <w:tcW w:w="14660" w:type="dxa"/>
            <w:gridSpan w:val="4"/>
            <w:tcBorders>
              <w:top w:val="double" w:sz="4" w:space="0" w:color="auto"/>
            </w:tcBorders>
            <w:vAlign w:val="center"/>
          </w:tcPr>
          <w:p w14:paraId="07AAFB86"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Human health risk assessment</w:t>
            </w:r>
          </w:p>
        </w:tc>
      </w:tr>
      <w:tr w:rsidR="00CB676E" w:rsidRPr="003C1E54" w14:paraId="4D20F688" w14:textId="77777777" w:rsidTr="008A0E75">
        <w:trPr>
          <w:trHeight w:val="493"/>
          <w:jc w:val="center"/>
        </w:trPr>
        <w:tc>
          <w:tcPr>
            <w:tcW w:w="2127" w:type="dxa"/>
            <w:tcBorders>
              <w:bottom w:val="double" w:sz="4" w:space="0" w:color="auto"/>
            </w:tcBorders>
            <w:vAlign w:val="center"/>
          </w:tcPr>
          <w:p w14:paraId="590B8D45"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78" w:type="dxa"/>
            <w:tcBorders>
              <w:bottom w:val="double" w:sz="4" w:space="0" w:color="auto"/>
            </w:tcBorders>
            <w:vAlign w:val="center"/>
          </w:tcPr>
          <w:p w14:paraId="2B378508"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4962" w:type="dxa"/>
            <w:tcBorders>
              <w:bottom w:val="double" w:sz="4" w:space="0" w:color="auto"/>
            </w:tcBorders>
            <w:vAlign w:val="center"/>
          </w:tcPr>
          <w:p w14:paraId="0BF74C24"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93" w:type="dxa"/>
            <w:tcBorders>
              <w:bottom w:val="double" w:sz="4" w:space="0" w:color="auto"/>
            </w:tcBorders>
            <w:vAlign w:val="center"/>
          </w:tcPr>
          <w:p w14:paraId="2930B874" w14:textId="77777777" w:rsidR="00CB676E" w:rsidRPr="003C1E54" w:rsidRDefault="00CB676E" w:rsidP="008A0E75">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B676E" w:rsidRPr="00E90906" w14:paraId="01601A60" w14:textId="77777777" w:rsidTr="008A0E75">
        <w:trPr>
          <w:trHeight w:val="408"/>
          <w:jc w:val="center"/>
        </w:trPr>
        <w:tc>
          <w:tcPr>
            <w:tcW w:w="14660" w:type="dxa"/>
            <w:gridSpan w:val="4"/>
            <w:tcBorders>
              <w:top w:val="single" w:sz="4" w:space="0" w:color="auto"/>
              <w:bottom w:val="single" w:sz="4" w:space="0" w:color="auto"/>
            </w:tcBorders>
            <w:vAlign w:val="center"/>
          </w:tcPr>
          <w:p w14:paraId="29BE3766" w14:textId="77777777" w:rsidR="00CB676E" w:rsidRPr="002B1D28" w:rsidRDefault="00CB676E" w:rsidP="008A0E75">
            <w:pPr>
              <w:jc w:val="center"/>
              <w:rPr>
                <w:rStyle w:val="tlid-translation"/>
                <w:b/>
                <w:bCs/>
                <w:sz w:val="20"/>
                <w:szCs w:val="20"/>
                <w:lang w:val="en"/>
              </w:rPr>
            </w:pPr>
            <w:r w:rsidRPr="002B1D28">
              <w:rPr>
                <w:rStyle w:val="tlid-translation"/>
                <w:b/>
                <w:bCs/>
                <w:sz w:val="20"/>
                <w:szCs w:val="20"/>
                <w:lang w:val="en"/>
              </w:rPr>
              <w:t>Calculation of risk indices and potential carcinogenic risks</w:t>
            </w:r>
          </w:p>
        </w:tc>
      </w:tr>
      <w:tr w:rsidR="00CB676E" w:rsidRPr="005D3BD4" w14:paraId="4D40CEAD" w14:textId="77777777" w:rsidTr="009878C6">
        <w:trPr>
          <w:trHeight w:val="1295"/>
          <w:jc w:val="center"/>
        </w:trPr>
        <w:tc>
          <w:tcPr>
            <w:tcW w:w="2127" w:type="dxa"/>
            <w:tcBorders>
              <w:top w:val="single" w:sz="4" w:space="0" w:color="auto"/>
              <w:bottom w:val="single" w:sz="4" w:space="0" w:color="auto"/>
            </w:tcBorders>
            <w:vAlign w:val="center"/>
          </w:tcPr>
          <w:p w14:paraId="5EE091F1" w14:textId="77777777" w:rsidR="00CB676E" w:rsidRPr="00F71999" w:rsidRDefault="00CB676E" w:rsidP="008A0E75">
            <w:pPr>
              <w:spacing w:line="360" w:lineRule="auto"/>
              <w:jc w:val="center"/>
              <w:rPr>
                <w:rStyle w:val="tlid-translation"/>
                <w:sz w:val="20"/>
                <w:szCs w:val="20"/>
                <w:lang w:val="en-US"/>
              </w:rPr>
            </w:pPr>
            <w:r w:rsidRPr="00F71999">
              <w:rPr>
                <w:sz w:val="20"/>
                <w:szCs w:val="20"/>
                <w:lang w:val="en-US"/>
              </w:rPr>
              <w:t>Aggregated hazard index</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84BA5D0" w14:textId="69C2DC23" w:rsidR="00CB676E" w:rsidRPr="00323B9E" w:rsidRDefault="00A10B4C" w:rsidP="008A0E75">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HQ</m:t>
                        </m:r>
                      </m:e>
                      <m:sub>
                        <m:r>
                          <w:rPr>
                            <w:rStyle w:val="tlid-translation"/>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(23)</m:t>
                </m:r>
              </m:oMath>
            </m:oMathPara>
          </w:p>
        </w:tc>
        <w:tc>
          <w:tcPr>
            <w:tcW w:w="4962" w:type="dxa"/>
            <w:tcBorders>
              <w:top w:val="single" w:sz="4" w:space="0" w:color="auto"/>
              <w:bottom w:val="single" w:sz="4" w:space="0" w:color="auto"/>
            </w:tcBorders>
            <w:vAlign w:val="center"/>
          </w:tcPr>
          <w:p w14:paraId="39250B02" w14:textId="77777777" w:rsidR="00CB676E" w:rsidRPr="00071AAC" w:rsidRDefault="00CB676E" w:rsidP="008A0E75">
            <w:pPr>
              <w:spacing w:line="360" w:lineRule="auto"/>
              <w:jc w:val="center"/>
              <w:rPr>
                <w:rFonts w:eastAsiaTheme="minorEastAsia"/>
                <w:b/>
                <w:bCs/>
                <w:i/>
                <w:sz w:val="18"/>
                <w:szCs w:val="18"/>
                <w:lang w:val="en-US"/>
              </w:rPr>
            </w:pPr>
            <w:proofErr w:type="spellStart"/>
            <w:r w:rsidRPr="004760FA">
              <w:rPr>
                <w:b/>
                <w:bCs/>
                <w:i/>
                <w:sz w:val="18"/>
                <w:szCs w:val="18"/>
                <w:lang w:val="en-US"/>
              </w:rPr>
              <w:t>HQ</w:t>
            </w:r>
            <w:r>
              <w:rPr>
                <w:b/>
                <w:bCs/>
                <w:i/>
                <w:sz w:val="18"/>
                <w:szCs w:val="18"/>
                <w:vertAlign w:val="subscript"/>
                <w:lang w:val="en-US"/>
              </w:rPr>
              <w:t>w</w:t>
            </w:r>
            <w:proofErr w:type="spellEnd"/>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xml:space="preserve">= </w:t>
            </w:r>
            <w:r w:rsidRPr="004760FA">
              <w:rPr>
                <w:rStyle w:val="tlid-translation"/>
                <w:sz w:val="18"/>
                <w:szCs w:val="18"/>
                <w:lang w:val="en-US"/>
              </w:rPr>
              <w:t xml:space="preserve">Hazard Quotient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sz w:val="18"/>
                <w:szCs w:val="18"/>
                <w:lang w:val="en-US"/>
              </w:rPr>
              <w:t>;</w:t>
            </w:r>
            <w:r w:rsidRPr="004760FA">
              <w:rPr>
                <w:iCs/>
                <w:sz w:val="18"/>
                <w:szCs w:val="18"/>
                <w:lang w:val="en-US"/>
              </w:rPr>
              <w:t xml:space="preserve"> </w:t>
            </w:r>
            <w:r>
              <w:rPr>
                <w:b/>
                <w:bCs/>
                <w:i/>
                <w:sz w:val="18"/>
                <w:szCs w:val="18"/>
                <w:lang w:val="en-US"/>
              </w:rPr>
              <w:t>z</w:t>
            </w:r>
            <w:r w:rsidRPr="004760FA">
              <w:rPr>
                <w:iCs/>
                <w:sz w:val="18"/>
                <w:szCs w:val="18"/>
                <w:lang w:val="en-US"/>
              </w:rPr>
              <w:t xml:space="preserve"> </w:t>
            </w:r>
            <w:r>
              <w:rPr>
                <w:iCs/>
                <w:sz w:val="18"/>
                <w:szCs w:val="18"/>
                <w:lang w:val="en-US"/>
              </w:rPr>
              <w:t>=</w:t>
            </w:r>
            <w:r w:rsidRPr="004760FA">
              <w:rPr>
                <w:iCs/>
                <w:sz w:val="18"/>
                <w:szCs w:val="18"/>
                <w:lang w:val="en-US"/>
              </w:rPr>
              <w:t xml:space="preserve"> </w:t>
            </w:r>
            <w:r>
              <w:rPr>
                <w:iCs/>
                <w:sz w:val="18"/>
                <w:szCs w:val="18"/>
                <w:lang w:val="en-US"/>
              </w:rPr>
              <w:t>N</w:t>
            </w:r>
            <w:r w:rsidRPr="004760FA">
              <w:rPr>
                <w:rStyle w:val="tlid-translation"/>
                <w:iCs/>
                <w:sz w:val="18"/>
                <w:szCs w:val="18"/>
                <w:lang w:val="en"/>
              </w:rPr>
              <w:t>umber of exposure routes</w:t>
            </w:r>
            <w:r>
              <w:rPr>
                <w:rStyle w:val="tlid-translation"/>
                <w:iCs/>
                <w:sz w:val="18"/>
                <w:szCs w:val="18"/>
                <w:lang w:val="en"/>
              </w:rPr>
              <w:t>.</w:t>
            </w:r>
          </w:p>
        </w:tc>
        <w:tc>
          <w:tcPr>
            <w:tcW w:w="1193" w:type="dxa"/>
            <w:tcBorders>
              <w:top w:val="single" w:sz="4" w:space="0" w:color="auto"/>
              <w:bottom w:val="single" w:sz="4" w:space="0" w:color="auto"/>
            </w:tcBorders>
            <w:vAlign w:val="center"/>
          </w:tcPr>
          <w:p w14:paraId="5D241B86" w14:textId="77777777" w:rsidR="00CB676E" w:rsidRPr="005D3BD4" w:rsidRDefault="00CB676E" w:rsidP="008A0E75">
            <w:pPr>
              <w:spacing w:line="360" w:lineRule="auto"/>
              <w:jc w:val="center"/>
              <w:rPr>
                <w:rStyle w:val="tlid-translation"/>
                <w:sz w:val="20"/>
                <w:szCs w:val="20"/>
                <w:lang w:val="en"/>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465BCE94" w14:textId="77777777" w:rsidTr="009878C6">
        <w:trPr>
          <w:trHeight w:val="1283"/>
          <w:jc w:val="center"/>
        </w:trPr>
        <w:tc>
          <w:tcPr>
            <w:tcW w:w="2127" w:type="dxa"/>
            <w:tcBorders>
              <w:top w:val="single" w:sz="4" w:space="0" w:color="auto"/>
              <w:bottom w:val="single" w:sz="4" w:space="0" w:color="auto"/>
            </w:tcBorders>
            <w:vAlign w:val="center"/>
          </w:tcPr>
          <w:p w14:paraId="4A45AB5F" w14:textId="77777777" w:rsidR="00CB676E" w:rsidRPr="00F71999" w:rsidRDefault="00CB676E" w:rsidP="008A0E75">
            <w:pPr>
              <w:spacing w:line="360" w:lineRule="auto"/>
              <w:jc w:val="center"/>
              <w:rPr>
                <w:sz w:val="20"/>
                <w:szCs w:val="20"/>
                <w:lang w:val="en-US"/>
              </w:rPr>
            </w:pPr>
            <w:r w:rsidRPr="00F71999">
              <w:rPr>
                <w:sz w:val="20"/>
                <w:szCs w:val="20"/>
                <w:lang w:val="en-US"/>
              </w:rPr>
              <w:t>Aggregated potential carcinogenic risk</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DCC4442" w14:textId="2CFCD2BF" w:rsidR="00CB676E" w:rsidRPr="004760FA" w:rsidRDefault="00A10B4C"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CR</m:t>
                        </m:r>
                      </m:e>
                      <m:sub>
                        <m:r>
                          <w:rPr>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(24)</m:t>
                </m:r>
              </m:oMath>
            </m:oMathPara>
          </w:p>
        </w:tc>
        <w:tc>
          <w:tcPr>
            <w:tcW w:w="4962" w:type="dxa"/>
            <w:tcBorders>
              <w:top w:val="single" w:sz="4" w:space="0" w:color="auto"/>
              <w:bottom w:val="single" w:sz="4" w:space="0" w:color="auto"/>
            </w:tcBorders>
            <w:vAlign w:val="center"/>
          </w:tcPr>
          <w:p w14:paraId="506395A1" w14:textId="77777777" w:rsidR="00CB676E" w:rsidRPr="004760FA" w:rsidRDefault="00CB676E" w:rsidP="008A0E75">
            <w:pPr>
              <w:spacing w:line="360" w:lineRule="auto"/>
              <w:jc w:val="center"/>
              <w:rPr>
                <w:b/>
                <w:bCs/>
                <w:i/>
                <w:sz w:val="18"/>
                <w:szCs w:val="18"/>
                <w:lang w:val="en-US"/>
              </w:rPr>
            </w:pPr>
            <w:proofErr w:type="spellStart"/>
            <w:r>
              <w:rPr>
                <w:b/>
                <w:bCs/>
                <w:i/>
                <w:sz w:val="18"/>
                <w:szCs w:val="18"/>
                <w:lang w:val="en-US"/>
              </w:rPr>
              <w:t>CR</w:t>
            </w:r>
            <w:r>
              <w:rPr>
                <w:b/>
                <w:bCs/>
                <w:i/>
                <w:sz w:val="18"/>
                <w:szCs w:val="18"/>
                <w:vertAlign w:val="subscript"/>
                <w:lang w:val="en-US"/>
              </w:rPr>
              <w:t>w</w:t>
            </w:r>
            <w:proofErr w:type="spellEnd"/>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P</w:t>
            </w:r>
            <w:r w:rsidRPr="00432C27">
              <w:rPr>
                <w:sz w:val="18"/>
                <w:szCs w:val="18"/>
                <w:lang w:val="en-US"/>
              </w:rPr>
              <w:t>otential carcinogenic risk</w:t>
            </w:r>
            <w:r w:rsidRPr="004760FA">
              <w:rPr>
                <w:rStyle w:val="tlid-translation"/>
                <w:sz w:val="18"/>
                <w:szCs w:val="18"/>
                <w:lang w:val="en-US"/>
              </w:rPr>
              <w:t xml:space="preserve">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i/>
                <w:iCs/>
                <w:sz w:val="18"/>
                <w:szCs w:val="18"/>
                <w:lang w:val="en-US"/>
              </w:rPr>
              <w:t>.</w:t>
            </w:r>
          </w:p>
        </w:tc>
        <w:tc>
          <w:tcPr>
            <w:tcW w:w="1193" w:type="dxa"/>
            <w:tcBorders>
              <w:top w:val="single" w:sz="4" w:space="0" w:color="auto"/>
              <w:bottom w:val="single" w:sz="4" w:space="0" w:color="auto"/>
            </w:tcBorders>
            <w:vAlign w:val="center"/>
          </w:tcPr>
          <w:p w14:paraId="177032DC" w14:textId="77777777" w:rsidR="00CB676E" w:rsidRPr="003C1E54" w:rsidRDefault="00CB676E" w:rsidP="008A0E75">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2611A3F3" w14:textId="77777777" w:rsidTr="009878C6">
        <w:trPr>
          <w:trHeight w:val="1260"/>
          <w:jc w:val="center"/>
        </w:trPr>
        <w:tc>
          <w:tcPr>
            <w:tcW w:w="2127" w:type="dxa"/>
            <w:tcBorders>
              <w:top w:val="single" w:sz="4" w:space="0" w:color="auto"/>
              <w:bottom w:val="single" w:sz="4" w:space="0" w:color="auto"/>
            </w:tcBorders>
            <w:vAlign w:val="center"/>
          </w:tcPr>
          <w:p w14:paraId="4B10E77F" w14:textId="77777777" w:rsidR="00CB676E" w:rsidRPr="00F71999" w:rsidRDefault="00CB676E" w:rsidP="008A0E75">
            <w:pPr>
              <w:spacing w:line="360" w:lineRule="auto"/>
              <w:jc w:val="center"/>
              <w:rPr>
                <w:sz w:val="20"/>
                <w:szCs w:val="20"/>
                <w:lang w:val="en-US"/>
              </w:rPr>
            </w:pPr>
            <w:r>
              <w:rPr>
                <w:sz w:val="20"/>
                <w:szCs w:val="20"/>
                <w:lang w:val="en-US"/>
              </w:rPr>
              <w:t>Total</w:t>
            </w:r>
            <w:r w:rsidRPr="00F71999">
              <w:rPr>
                <w:sz w:val="20"/>
                <w:szCs w:val="20"/>
                <w:lang w:val="en-US"/>
              </w:rPr>
              <w:t xml:space="preserve"> hazard index</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28DC3E8" w14:textId="48795BD0" w:rsidR="00CB676E" w:rsidRPr="00F71999" w:rsidRDefault="00A10B4C"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Fonts w:ascii="Cambria Math" w:hAnsi="Cambria Math"/>
                            <w:sz w:val="18"/>
                            <w:szCs w:val="18"/>
                          </w:rPr>
                          <m:t>t</m:t>
                        </m:r>
                        <m:r>
                          <w:rPr>
                            <w:rFonts w:ascii="Cambria Math" w:hAnsi="Cambria Math"/>
                          </w:rPr>
                          <m:t>ot</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  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(25)</m:t>
                </m:r>
              </m:oMath>
            </m:oMathPara>
          </w:p>
        </w:tc>
        <w:tc>
          <w:tcPr>
            <w:tcW w:w="4962" w:type="dxa"/>
            <w:tcBorders>
              <w:top w:val="single" w:sz="4" w:space="0" w:color="auto"/>
              <w:bottom w:val="single" w:sz="4" w:space="0" w:color="auto"/>
            </w:tcBorders>
            <w:vAlign w:val="center"/>
          </w:tcPr>
          <w:p w14:paraId="73A19423" w14:textId="77777777" w:rsidR="00CB676E" w:rsidRPr="00F71999" w:rsidRDefault="00CB676E" w:rsidP="008A0E75">
            <w:pPr>
              <w:spacing w:line="360" w:lineRule="auto"/>
              <w:jc w:val="center"/>
              <w:rPr>
                <w:b/>
                <w:bCs/>
                <w:i/>
                <w:sz w:val="18"/>
                <w:szCs w:val="18"/>
                <w:lang w:val="en-US"/>
              </w:rPr>
            </w:pPr>
            <w:proofErr w:type="spellStart"/>
            <w:r w:rsidRPr="00F71999">
              <w:rPr>
                <w:b/>
                <w:bCs/>
                <w:i/>
                <w:sz w:val="18"/>
                <w:szCs w:val="18"/>
                <w:lang w:val="en-US"/>
              </w:rPr>
              <w:t>HI</w:t>
            </w:r>
            <w:r w:rsidRPr="00F71999">
              <w:rPr>
                <w:b/>
                <w:bCs/>
                <w:i/>
                <w:sz w:val="18"/>
                <w:szCs w:val="18"/>
                <w:vertAlign w:val="subscript"/>
                <w:lang w:val="en-US"/>
              </w:rPr>
              <w:t>agg</w:t>
            </w:r>
            <w:proofErr w:type="spellEnd"/>
            <w:r w:rsidRPr="00F71999">
              <w:rPr>
                <w:b/>
                <w:bCs/>
                <w:i/>
                <w:sz w:val="18"/>
                <w:szCs w:val="18"/>
                <w:vertAlign w:val="subscript"/>
                <w:lang w:val="en-US"/>
              </w:rPr>
              <w:t>, j</w:t>
            </w:r>
            <w:r w:rsidRPr="00F71999">
              <w:rPr>
                <w:sz w:val="18"/>
                <w:szCs w:val="18"/>
                <w:lang w:val="en-US"/>
              </w:rPr>
              <w:t xml:space="preserve"> = Aggregated </w:t>
            </w:r>
            <w:r w:rsidRPr="00F71999">
              <w:rPr>
                <w:rStyle w:val="tlid-translation"/>
                <w:sz w:val="18"/>
                <w:szCs w:val="18"/>
                <w:lang w:val="en-US"/>
              </w:rPr>
              <w:t xml:space="preserve">Hazard Index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r w:rsidRPr="00F71999">
              <w:rPr>
                <w:iCs/>
                <w:sz w:val="18"/>
                <w:szCs w:val="18"/>
                <w:lang w:val="en-US"/>
              </w:rPr>
              <w:t xml:space="preserve"> </w:t>
            </w:r>
            <w:r>
              <w:rPr>
                <w:b/>
                <w:bCs/>
                <w:i/>
                <w:sz w:val="18"/>
                <w:szCs w:val="18"/>
                <w:lang w:val="en-US"/>
              </w:rPr>
              <w:t xml:space="preserve">n </w:t>
            </w:r>
            <w:r w:rsidRPr="00F71999">
              <w:rPr>
                <w:iCs/>
                <w:sz w:val="18"/>
                <w:szCs w:val="18"/>
                <w:lang w:val="en-US"/>
              </w:rPr>
              <w:t>= N</w:t>
            </w:r>
            <w:r w:rsidRPr="00F71999">
              <w:rPr>
                <w:rStyle w:val="tlid-translation"/>
                <w:iCs/>
                <w:sz w:val="18"/>
                <w:szCs w:val="18"/>
                <w:lang w:val="en"/>
              </w:rPr>
              <w:t>umber of chemical species.</w:t>
            </w:r>
          </w:p>
        </w:tc>
        <w:tc>
          <w:tcPr>
            <w:tcW w:w="1193" w:type="dxa"/>
            <w:tcBorders>
              <w:top w:val="single" w:sz="4" w:space="0" w:color="auto"/>
              <w:bottom w:val="single" w:sz="4" w:space="0" w:color="auto"/>
            </w:tcBorders>
            <w:vAlign w:val="center"/>
          </w:tcPr>
          <w:p w14:paraId="18BD0265"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r w:rsidR="00CB676E" w:rsidRPr="005D3BD4" w14:paraId="132D001E" w14:textId="77777777" w:rsidTr="009878C6">
        <w:trPr>
          <w:trHeight w:val="1393"/>
          <w:jc w:val="center"/>
        </w:trPr>
        <w:tc>
          <w:tcPr>
            <w:tcW w:w="2127" w:type="dxa"/>
            <w:tcBorders>
              <w:top w:val="single" w:sz="4" w:space="0" w:color="auto"/>
              <w:bottom w:val="double" w:sz="4" w:space="0" w:color="auto"/>
            </w:tcBorders>
            <w:vAlign w:val="center"/>
          </w:tcPr>
          <w:p w14:paraId="0DCB7127" w14:textId="77777777" w:rsidR="00CB676E" w:rsidRPr="00F71999" w:rsidRDefault="00CB676E" w:rsidP="008A0E75">
            <w:pPr>
              <w:spacing w:line="360" w:lineRule="auto"/>
              <w:jc w:val="center"/>
              <w:rPr>
                <w:sz w:val="20"/>
                <w:szCs w:val="20"/>
                <w:lang w:val="en-US"/>
              </w:rPr>
            </w:pPr>
            <w:r w:rsidRPr="00F71999">
              <w:rPr>
                <w:sz w:val="20"/>
                <w:szCs w:val="20"/>
                <w:lang w:val="en-US"/>
              </w:rPr>
              <w:t>Cumulative potential carcinogenic risk</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double" w:sz="4" w:space="0" w:color="auto"/>
            </w:tcBorders>
            <w:vAlign w:val="center"/>
          </w:tcPr>
          <w:p w14:paraId="50C0B0C5" w14:textId="65A6183A" w:rsidR="00CB676E" w:rsidRPr="00F71999" w:rsidRDefault="00A10B4C"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cum</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(26)</m:t>
                </m:r>
              </m:oMath>
            </m:oMathPara>
          </w:p>
        </w:tc>
        <w:tc>
          <w:tcPr>
            <w:tcW w:w="4962" w:type="dxa"/>
            <w:tcBorders>
              <w:top w:val="single" w:sz="4" w:space="0" w:color="auto"/>
              <w:bottom w:val="double" w:sz="4" w:space="0" w:color="auto"/>
            </w:tcBorders>
            <w:vAlign w:val="center"/>
          </w:tcPr>
          <w:p w14:paraId="0B4A59F9" w14:textId="77777777" w:rsidR="00CB676E" w:rsidRPr="00F71999" w:rsidRDefault="00CB676E" w:rsidP="008A0E75">
            <w:pPr>
              <w:spacing w:line="360" w:lineRule="auto"/>
              <w:jc w:val="center"/>
              <w:rPr>
                <w:b/>
                <w:bCs/>
                <w:i/>
                <w:sz w:val="18"/>
                <w:szCs w:val="18"/>
                <w:lang w:val="en-US"/>
              </w:rPr>
            </w:pPr>
            <w:proofErr w:type="spellStart"/>
            <w:r w:rsidRPr="00F71999">
              <w:rPr>
                <w:b/>
                <w:bCs/>
                <w:i/>
                <w:sz w:val="18"/>
                <w:szCs w:val="18"/>
                <w:lang w:val="en-US"/>
              </w:rPr>
              <w:t>CR</w:t>
            </w:r>
            <w:r w:rsidRPr="00F71999">
              <w:rPr>
                <w:b/>
                <w:bCs/>
                <w:i/>
                <w:sz w:val="18"/>
                <w:szCs w:val="18"/>
                <w:vertAlign w:val="subscript"/>
                <w:lang w:val="en-US"/>
              </w:rPr>
              <w:t>agg</w:t>
            </w:r>
            <w:proofErr w:type="spellEnd"/>
            <w:r w:rsidRPr="00F71999">
              <w:rPr>
                <w:b/>
                <w:bCs/>
                <w:i/>
                <w:sz w:val="18"/>
                <w:szCs w:val="18"/>
                <w:vertAlign w:val="subscript"/>
                <w:lang w:val="en-US"/>
              </w:rPr>
              <w:t>, j</w:t>
            </w:r>
            <w:r w:rsidRPr="00F71999">
              <w:rPr>
                <w:sz w:val="18"/>
                <w:szCs w:val="18"/>
                <w:lang w:val="en-US"/>
              </w:rPr>
              <w:t xml:space="preserve"> = Aggregated </w:t>
            </w:r>
            <w:r w:rsidRPr="00432C27">
              <w:rPr>
                <w:sz w:val="18"/>
                <w:szCs w:val="18"/>
                <w:lang w:val="en-US"/>
              </w:rPr>
              <w:t>potential carcinogenic risk</w:t>
            </w:r>
            <w:r w:rsidRPr="00F71999">
              <w:rPr>
                <w:rStyle w:val="tlid-translation"/>
                <w:sz w:val="18"/>
                <w:szCs w:val="18"/>
                <w:lang w:val="en-US"/>
              </w:rPr>
              <w:t xml:space="preserve">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p>
        </w:tc>
        <w:tc>
          <w:tcPr>
            <w:tcW w:w="1193" w:type="dxa"/>
            <w:tcBorders>
              <w:top w:val="single" w:sz="4" w:space="0" w:color="auto"/>
              <w:bottom w:val="double" w:sz="4" w:space="0" w:color="auto"/>
            </w:tcBorders>
            <w:vAlign w:val="center"/>
          </w:tcPr>
          <w:p w14:paraId="3E6A6838"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bl>
    <w:p w14:paraId="6F3A1C52" w14:textId="385F7F08" w:rsidR="00CB676E" w:rsidRPr="00CB676E" w:rsidRDefault="00CB676E" w:rsidP="00CB676E">
      <w:pPr>
        <w:spacing w:after="0" w:line="276" w:lineRule="auto"/>
        <w:jc w:val="both"/>
        <w:rPr>
          <w:rStyle w:val="tlid-translation"/>
          <w:sz w:val="28"/>
          <w:lang w:val="en"/>
        </w:rPr>
      </w:pPr>
    </w:p>
    <w:p w14:paraId="4620D29E" w14:textId="77777777" w:rsidR="00130E0F" w:rsidRDefault="00130E0F" w:rsidP="00CB676E">
      <w:pPr>
        <w:autoSpaceDE w:val="0"/>
        <w:autoSpaceDN w:val="0"/>
        <w:adjustRightInd w:val="0"/>
        <w:spacing w:after="0" w:line="240" w:lineRule="auto"/>
        <w:rPr>
          <w:sz w:val="28"/>
          <w:lang w:val="en-US"/>
        </w:rPr>
      </w:pPr>
      <w:r>
        <w:rPr>
          <w:sz w:val="28"/>
          <w:lang w:val="en-US"/>
        </w:rPr>
        <w:br w:type="page"/>
      </w:r>
    </w:p>
    <w:p w14:paraId="6F87FDB9" w14:textId="77777777" w:rsidR="00CB676E" w:rsidRDefault="00CB676E" w:rsidP="00C31A55">
      <w:pPr>
        <w:spacing w:before="240" w:after="0" w:line="276" w:lineRule="auto"/>
        <w:jc w:val="center"/>
        <w:rPr>
          <w:rStyle w:val="tlid-translation"/>
          <w:b/>
          <w:sz w:val="32"/>
          <w:lang w:val="en"/>
        </w:rPr>
        <w:sectPr w:rsidR="00CB676E" w:rsidSect="00CB676E">
          <w:pgSz w:w="16838" w:h="11906" w:orient="landscape"/>
          <w:pgMar w:top="720" w:right="720" w:bottom="720" w:left="720" w:header="709" w:footer="709" w:gutter="0"/>
          <w:cols w:space="708"/>
          <w:titlePg/>
          <w:docGrid w:linePitch="360"/>
        </w:sectPr>
      </w:pPr>
    </w:p>
    <w:p w14:paraId="0BF286F5" w14:textId="3E611AC9" w:rsidR="00AB7DD0" w:rsidRPr="00AB7DD0" w:rsidRDefault="00AB7DD0" w:rsidP="007A6C07">
      <w:pPr>
        <w:spacing w:before="240" w:line="360" w:lineRule="auto"/>
        <w:jc w:val="center"/>
        <w:rPr>
          <w:rStyle w:val="tlid-translation"/>
          <w:sz w:val="28"/>
          <w:lang w:val="en"/>
        </w:rPr>
      </w:pPr>
      <w:r w:rsidRPr="00BD6F4A">
        <w:rPr>
          <w:b/>
          <w:sz w:val="28"/>
          <w:lang w:val="en-US"/>
        </w:rPr>
        <w:lastRenderedPageBreak/>
        <w:t xml:space="preserve">Table </w:t>
      </w:r>
      <w:r>
        <w:rPr>
          <w:b/>
          <w:sz w:val="28"/>
          <w:lang w:val="en-US"/>
        </w:rPr>
        <w:t>5</w:t>
      </w:r>
      <w:r w:rsidRPr="00BD6F4A">
        <w:rPr>
          <w:b/>
          <w:sz w:val="28"/>
          <w:lang w:val="en-US"/>
        </w:rPr>
        <w:t xml:space="preserve"> </w:t>
      </w:r>
      <w:r w:rsidRPr="00BD6F4A">
        <w:rPr>
          <w:sz w:val="28"/>
          <w:lang w:val="en-US"/>
        </w:rPr>
        <w:t xml:space="preserve">– </w:t>
      </w:r>
      <w:r>
        <w:rPr>
          <w:rStyle w:val="tlid-translation"/>
          <w:sz w:val="28"/>
          <w:lang w:val="en"/>
        </w:rPr>
        <w:t>Human health risk characterization</w:t>
      </w:r>
      <w:r w:rsidR="005B55FB">
        <w:rPr>
          <w:rStyle w:val="tlid-translation"/>
          <w:sz w:val="28"/>
          <w:lang w:val="en"/>
        </w:rPr>
        <w:t>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45"/>
        <w:gridCol w:w="3246"/>
      </w:tblGrid>
      <w:tr w:rsidR="004B679D" w:rsidRPr="00C31A55" w14:paraId="10D540C3" w14:textId="77777777" w:rsidTr="004B679D">
        <w:trPr>
          <w:jc w:val="center"/>
        </w:trPr>
        <w:tc>
          <w:tcPr>
            <w:tcW w:w="3250" w:type="dxa"/>
            <w:tcBorders>
              <w:top w:val="double" w:sz="4" w:space="0" w:color="auto"/>
              <w:bottom w:val="double" w:sz="4" w:space="0" w:color="auto"/>
            </w:tcBorders>
            <w:vAlign w:val="center"/>
          </w:tcPr>
          <w:p w14:paraId="03783261"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Risk</w:t>
            </w:r>
          </w:p>
        </w:tc>
        <w:tc>
          <w:tcPr>
            <w:tcW w:w="3245" w:type="dxa"/>
            <w:tcBorders>
              <w:top w:val="double" w:sz="4" w:space="0" w:color="auto"/>
              <w:bottom w:val="double" w:sz="4" w:space="0" w:color="auto"/>
            </w:tcBorders>
            <w:vAlign w:val="center"/>
          </w:tcPr>
          <w:p w14:paraId="35316332"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Non-carcinogenic</w:t>
            </w:r>
          </w:p>
          <w:p w14:paraId="42B7323B"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(U.S. EPA, 1989)</w:t>
            </w:r>
            <w:r w:rsidRPr="00370B13">
              <w:rPr>
                <w:rStyle w:val="tlid-translation"/>
                <w:sz w:val="20"/>
                <w:szCs w:val="20"/>
                <w:lang w:val="en-US"/>
              </w:rPr>
              <w:fldChar w:fldCharType="end"/>
            </w:r>
          </w:p>
        </w:tc>
        <w:tc>
          <w:tcPr>
            <w:tcW w:w="3246" w:type="dxa"/>
            <w:tcBorders>
              <w:top w:val="double" w:sz="4" w:space="0" w:color="auto"/>
              <w:bottom w:val="double" w:sz="4" w:space="0" w:color="auto"/>
            </w:tcBorders>
            <w:vAlign w:val="center"/>
          </w:tcPr>
          <w:p w14:paraId="090EDCB3"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Carcinogenic</w:t>
            </w:r>
          </w:p>
          <w:p w14:paraId="1A357BA6"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DOI":"10.1016/j.scitotenv.2013.08.090","ISSN":"0048-9697","author":[{"dropping-particle":"","family":"Li","given":"Zhiyuan","non-dropping-particle":"","parse-names":false,"suffix":""},{"dropping-particle":"","family":"Ma","given":"Zongwei","non-dropping-particle":"","parse-names":false,"suffix":""},{"dropping-particle":"van der","family":"Kuijp","given":"Tsering Jan","non-dropping-particle":"","parse-names":false,"suffix":""},{"dropping-particle":"","family":"Yuan","given":"Zengwei","non-dropping-particle":"","parse-names":false,"suffix":""},{"dropping-particle":"","family":"Huang","given":"Lei","non-dropping-particle":"","parse-names":false,"suffix":""}],"container-title":"Science of The Total Environment","id":"ITEM-1","issued":{"date-parts":[["2014"]]},"page":"843-853","publisher":"Elsevier B.V.","title":"A review of soil heavy metal pollution from mines in China: Pollution and health risk assessment","type":"article-journal","volume":"468-469"},"uris":["http://www.mendeley.com/documents/?uuid=317933a0-c9c3-4d49-b7da-9ce9596fdeb2"]}],"mendeley":{"formattedCitation":"(Li et al., 2014)","plainTextFormattedCitation":"(Li et al., 2014)","previouslyFormattedCitation":"(Li et al., 2014)"},"properties":{"noteIndex":0},"schema":"https://github.com/citation-style-language/schema/raw/master/csl-citation.json"}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(Li et al., 2014)</w:t>
            </w:r>
            <w:r w:rsidRPr="00370B13">
              <w:rPr>
                <w:rStyle w:val="tlid-translation"/>
                <w:sz w:val="20"/>
                <w:szCs w:val="20"/>
                <w:lang w:val="en-US"/>
              </w:rPr>
              <w:fldChar w:fldCharType="end"/>
            </w:r>
          </w:p>
        </w:tc>
      </w:tr>
      <w:tr w:rsidR="004B679D" w:rsidRPr="00C31A55" w14:paraId="76579503" w14:textId="77777777" w:rsidTr="004B679D">
        <w:trPr>
          <w:jc w:val="center"/>
        </w:trPr>
        <w:tc>
          <w:tcPr>
            <w:tcW w:w="3250" w:type="dxa"/>
            <w:tcBorders>
              <w:top w:val="double" w:sz="4" w:space="0" w:color="auto"/>
            </w:tcBorders>
            <w:vAlign w:val="center"/>
          </w:tcPr>
          <w:p w14:paraId="602227D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
              </w:rPr>
              <w:t>Negligible</w:t>
            </w:r>
          </w:p>
        </w:tc>
        <w:tc>
          <w:tcPr>
            <w:tcW w:w="3245" w:type="dxa"/>
            <w:tcBorders>
              <w:top w:val="double" w:sz="4" w:space="0" w:color="auto"/>
            </w:tcBorders>
            <w:vAlign w:val="center"/>
          </w:tcPr>
          <w:p w14:paraId="195E78DC"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HI </w:t>
            </w:r>
            <w:r w:rsidRPr="00370B13">
              <w:rPr>
                <w:rStyle w:val="tlid-translation"/>
                <w:sz w:val="20"/>
                <w:szCs w:val="20"/>
                <w:lang w:val="en-US"/>
              </w:rPr>
              <w:t>&lt; 0.1</w:t>
            </w:r>
          </w:p>
        </w:tc>
        <w:tc>
          <w:tcPr>
            <w:tcW w:w="3246" w:type="dxa"/>
            <w:tcBorders>
              <w:top w:val="double" w:sz="4" w:space="0" w:color="auto"/>
            </w:tcBorders>
            <w:vAlign w:val="center"/>
          </w:tcPr>
          <w:p w14:paraId="584F5408"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1.0E-6</w:t>
            </w:r>
          </w:p>
        </w:tc>
      </w:tr>
      <w:tr w:rsidR="004B679D" w:rsidRPr="00C31A55" w14:paraId="4084B18E" w14:textId="77777777" w:rsidTr="004B679D">
        <w:trPr>
          <w:jc w:val="center"/>
        </w:trPr>
        <w:tc>
          <w:tcPr>
            <w:tcW w:w="3250" w:type="dxa"/>
            <w:vAlign w:val="center"/>
          </w:tcPr>
          <w:p w14:paraId="18FC99B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Low</w:t>
            </w:r>
          </w:p>
        </w:tc>
        <w:tc>
          <w:tcPr>
            <w:tcW w:w="3245" w:type="dxa"/>
            <w:vAlign w:val="center"/>
          </w:tcPr>
          <w:p w14:paraId="2DA0C9AF"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0.1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1.0</w:t>
            </w:r>
          </w:p>
        </w:tc>
        <w:tc>
          <w:tcPr>
            <w:tcW w:w="3246" w:type="dxa"/>
            <w:vAlign w:val="center"/>
          </w:tcPr>
          <w:p w14:paraId="0C6602C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sz w:val="20"/>
                <w:szCs w:val="20"/>
                <w:lang w:val="en-US"/>
              </w:rPr>
              <w:t>1.0E-6</w:t>
            </w:r>
            <w:r w:rsidRPr="00370B13">
              <w:rPr>
                <w:rStyle w:val="tlid-translation"/>
                <w:sz w:val="20"/>
                <w:szCs w:val="20"/>
                <w:lang w:val="en-US"/>
              </w:rPr>
              <w:t xml:space="preserve"> ≤ </w:t>
            </w: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1.0E-4</w:t>
            </w:r>
          </w:p>
        </w:tc>
      </w:tr>
      <w:tr w:rsidR="004B679D" w:rsidRPr="00C31A55" w14:paraId="1868DF2E" w14:textId="77777777" w:rsidTr="006954B6">
        <w:trPr>
          <w:jc w:val="center"/>
        </w:trPr>
        <w:tc>
          <w:tcPr>
            <w:tcW w:w="3250" w:type="dxa"/>
            <w:vAlign w:val="center"/>
          </w:tcPr>
          <w:p w14:paraId="3D9C6FB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Medium</w:t>
            </w:r>
          </w:p>
        </w:tc>
        <w:tc>
          <w:tcPr>
            <w:tcW w:w="3245" w:type="dxa"/>
            <w:vAlign w:val="center"/>
          </w:tcPr>
          <w:p w14:paraId="3575FB12"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1.0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4.0</w:t>
            </w:r>
          </w:p>
        </w:tc>
        <w:tc>
          <w:tcPr>
            <w:tcW w:w="3246" w:type="dxa"/>
            <w:vAlign w:val="center"/>
          </w:tcPr>
          <w:p w14:paraId="0A2DC19A"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w:t>
            </w:r>
          </w:p>
        </w:tc>
      </w:tr>
      <w:tr w:rsidR="006954B6" w:rsidRPr="00C31A55" w14:paraId="46B5F0E6" w14:textId="77777777" w:rsidTr="006954B6">
        <w:trPr>
          <w:jc w:val="center"/>
        </w:trPr>
        <w:tc>
          <w:tcPr>
            <w:tcW w:w="3250" w:type="dxa"/>
            <w:tcBorders>
              <w:bottom w:val="double" w:sz="4" w:space="0" w:color="auto"/>
            </w:tcBorders>
            <w:vAlign w:val="center"/>
          </w:tcPr>
          <w:p w14:paraId="753AEF2F" w14:textId="649F075E"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High</w:t>
            </w:r>
          </w:p>
        </w:tc>
        <w:tc>
          <w:tcPr>
            <w:tcW w:w="3245" w:type="dxa"/>
            <w:tcBorders>
              <w:bottom w:val="double" w:sz="4" w:space="0" w:color="auto"/>
            </w:tcBorders>
            <w:vAlign w:val="center"/>
          </w:tcPr>
          <w:p w14:paraId="70F6DD73" w14:textId="43EA8E8B"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 xml:space="preserve">4.0 ≤ </w:t>
            </w:r>
            <w:r w:rsidRPr="00370B13">
              <w:rPr>
                <w:rStyle w:val="tlid-translation"/>
                <w:rFonts w:eastAsiaTheme="minorEastAsia"/>
                <w:i/>
                <w:sz w:val="20"/>
                <w:szCs w:val="20"/>
                <w:lang w:val="en-US"/>
              </w:rPr>
              <w:t>HI</w:t>
            </w:r>
          </w:p>
        </w:tc>
        <w:tc>
          <w:tcPr>
            <w:tcW w:w="3246" w:type="dxa"/>
            <w:tcBorders>
              <w:bottom w:val="double" w:sz="4" w:space="0" w:color="auto"/>
            </w:tcBorders>
            <w:vAlign w:val="center"/>
          </w:tcPr>
          <w:p w14:paraId="499A7CE3" w14:textId="186B4BD5" w:rsidR="006954B6" w:rsidRPr="00370B13" w:rsidRDefault="006954B6" w:rsidP="006954B6">
            <w:pPr>
              <w:spacing w:before="240" w:line="360" w:lineRule="auto"/>
              <w:jc w:val="center"/>
              <w:rPr>
                <w:rStyle w:val="tlid-translation"/>
                <w:rFonts w:eastAsiaTheme="minorEastAsia"/>
                <w:sz w:val="20"/>
                <w:szCs w:val="20"/>
                <w:lang w:val="en-US"/>
              </w:rPr>
            </w:pPr>
            <w:r w:rsidRPr="00370B13">
              <w:rPr>
                <w:rStyle w:val="tlid-translation"/>
                <w:rFonts w:eastAsiaTheme="minorEastAsia"/>
                <w:sz w:val="20"/>
                <w:szCs w:val="20"/>
                <w:lang w:val="en-US"/>
              </w:rPr>
              <w:t>1.0E-4</w:t>
            </w:r>
            <w:r w:rsidRPr="00370B13">
              <w:rPr>
                <w:rStyle w:val="tlid-translation"/>
                <w:sz w:val="20"/>
                <w:szCs w:val="20"/>
                <w:lang w:val="en-US"/>
              </w:rPr>
              <w:t xml:space="preserve"> ≤ </w:t>
            </w:r>
            <w:r w:rsidRPr="00370B13">
              <w:rPr>
                <w:rStyle w:val="tlid-translation"/>
                <w:rFonts w:eastAsiaTheme="minorEastAsia"/>
                <w:i/>
                <w:sz w:val="20"/>
                <w:szCs w:val="20"/>
                <w:lang w:val="en-US"/>
              </w:rPr>
              <w:t>CR</w:t>
            </w:r>
          </w:p>
        </w:tc>
      </w:tr>
    </w:tbl>
    <w:p w14:paraId="58CD44A2" w14:textId="77777777" w:rsidR="006954B6" w:rsidRDefault="006954B6" w:rsidP="004B679D">
      <w:pPr>
        <w:spacing w:line="276" w:lineRule="auto"/>
        <w:jc w:val="center"/>
        <w:rPr>
          <w:rStyle w:val="tlid-translation"/>
          <w:b/>
          <w:sz w:val="32"/>
          <w:lang w:val="en-US"/>
        </w:rPr>
      </w:pPr>
    </w:p>
    <w:p w14:paraId="5FA87189" w14:textId="1AE4DBB4" w:rsidR="007A6C07" w:rsidRDefault="007A6C07" w:rsidP="004B679D">
      <w:pPr>
        <w:spacing w:line="276" w:lineRule="auto"/>
        <w:jc w:val="center"/>
        <w:rPr>
          <w:rStyle w:val="tlid-translation"/>
          <w:b/>
          <w:sz w:val="32"/>
          <w:lang w:val="en-US"/>
        </w:rPr>
      </w:pPr>
      <w:r>
        <w:rPr>
          <w:rStyle w:val="tlid-translation"/>
          <w:b/>
          <w:sz w:val="32"/>
          <w:lang w:val="en-US"/>
        </w:rPr>
        <w:br w:type="page"/>
      </w:r>
    </w:p>
    <w:p w14:paraId="6B19B5C4" w14:textId="77777777" w:rsidR="007A6C07" w:rsidRDefault="007A6C07" w:rsidP="007A6C07">
      <w:pPr>
        <w:tabs>
          <w:tab w:val="left" w:pos="7938"/>
        </w:tabs>
        <w:autoSpaceDE w:val="0"/>
        <w:autoSpaceDN w:val="0"/>
        <w:adjustRightInd w:val="0"/>
        <w:spacing w:after="0" w:line="240" w:lineRule="auto"/>
        <w:ind w:left="709" w:hanging="709"/>
        <w:jc w:val="center"/>
        <w:rPr>
          <w:rStyle w:val="tlid-translation"/>
          <w:b/>
          <w:sz w:val="32"/>
          <w:szCs w:val="32"/>
          <w:lang w:val="en"/>
        </w:rPr>
      </w:pPr>
      <w:r w:rsidRPr="00702273">
        <w:rPr>
          <w:rStyle w:val="tlid-translation"/>
          <w:b/>
          <w:sz w:val="32"/>
          <w:szCs w:val="32"/>
          <w:lang w:val="en"/>
        </w:rPr>
        <w:lastRenderedPageBreak/>
        <w:t>Uncertainties</w:t>
      </w:r>
    </w:p>
    <w:p w14:paraId="545F1757" w14:textId="77777777" w:rsidR="007A6C07" w:rsidRPr="00702273" w:rsidRDefault="007A6C07" w:rsidP="007A6C07">
      <w:pPr>
        <w:tabs>
          <w:tab w:val="left" w:pos="7938"/>
        </w:tabs>
        <w:autoSpaceDE w:val="0"/>
        <w:autoSpaceDN w:val="0"/>
        <w:adjustRightInd w:val="0"/>
        <w:spacing w:after="0" w:line="240" w:lineRule="auto"/>
        <w:ind w:left="709" w:hanging="709"/>
        <w:jc w:val="center"/>
        <w:rPr>
          <w:b/>
          <w:sz w:val="32"/>
          <w:szCs w:val="32"/>
          <w:lang w:val="en-US"/>
        </w:rPr>
      </w:pPr>
    </w:p>
    <w:p w14:paraId="5F0F3740" w14:textId="191B998B" w:rsidR="007A6C07" w:rsidRPr="00EB59E1" w:rsidRDefault="007A6C07" w:rsidP="007A6C07">
      <w:pPr>
        <w:spacing w:after="0" w:line="276" w:lineRule="auto"/>
        <w:ind w:firstLine="567"/>
        <w:jc w:val="both"/>
        <w:rPr>
          <w:sz w:val="28"/>
          <w:lang w:val="en-US"/>
        </w:rPr>
      </w:pPr>
      <w:r w:rsidRPr="00EB59E1">
        <w:rPr>
          <w:sz w:val="28"/>
          <w:lang w:val="en-US"/>
        </w:rPr>
        <w:t xml:space="preserve">When evaluating the effects of pollutants on human health and ecosystems, assessing uncertainties is an essential issue because it highlights the implications and limitations of the risk assessment process </w:t>
      </w:r>
      <w:r w:rsidRPr="00EB59E1">
        <w:rPr>
          <w:sz w:val="28"/>
          <w:lang w:val="en-US"/>
        </w:rPr>
        <w:fldChar w:fldCharType="begin" w:fldLock="1"/>
      </w:r>
      <w:r w:rsidRPr="00EB59E1">
        <w:rPr>
          <w:sz w:val="28"/>
          <w:lang w:val="en-US"/>
        </w:rPr>
        <w:instrText>ADDIN CSL_CITATION {"citationItems":[{"id":"ITEM-1","itemData":{"DOI":"10.1016/j.envint.2015.09.008","ISBN":"0160-4120","ISSN":"01604120","PMID":"26386465","abstract":"Addressing uncertainties in human health risk assessment is a critical issue when evaluating the effects of contaminants on public health. A range of uncertainties exist through the source-to-outcome continuum, including exposure assessment, hazard and risk characterisation. While various strategies have been applied to characterising uncertainty, classical approaches largely rely on how to maximise the available resources. Expert judgement, defaults and tools for characterising quantitative uncertainty attempt to fill the gap between data and regulation requirements. The experiences of researching 2,3,7,8-tetrachlorodibenzo-p-dioxin (TCDD) illustrated uncertainty sources and how to maximise available information to determine uncertainties, and thereby provide an 'adequate' protection to contaminant exposure. As regulatory requirements and recurring issues increase, the assessment of complex scenarios involving a large number of chemicals requires more sophisticated tools. Recent advances in exposure and toxicology science provide a large data set for environmental contaminants and public health. In particular, biomonitoring information, in vitro data streams and computational toxicology are the crucial factors in the NexGen risk assessment, as well as uncertainties minimisation. Although in this review we cannot yet predict how the exposure science and modern toxicology will develop in the long-term, current techniques from emerging science can be integrated to improve decision-making.","author":[{"dropping-particle":"","family":"Dong","given":"Zhaomin","non-dropping-particle":"","parse-names":false,"suffix":""},{"dropping-particle":"","family":"Liu","given":"Yanju","non-dropping-particle":"","parse-names":false,"suffix":""},{"dropping-particle":"","family":"Duan","given":"Luchun","non-dropping-particle":"","parse-names":false,"suffix":""},{"dropping-particle":"","family":"Bekele","given":"Dawit","non-dropping-particle":"","parse-names":false,"suffix":""},{"dropping-particle":"","family":"Naidu","given":"Ravi","non-dropping-particle":"","parse-names":false,"suffix":""}],"container-title":"Environment International","id":"ITEM-1","issued":{"date-parts":[["2015","12"]]},"page":"120-132","publisher":"Elsevier Ltd","title":"Uncertainties in human health risk assessment of environmental contaminants: A review and perspective","type":"article-journal","volume":"85"},"uris":["http://www.mendeley.com/documents/?uuid=fcb0d010-9273-471a-8c47-4e59e331aeeb"]},{"id":"ITEM-2","itemData":{"DOI":"10.1016/j.jhazmat.2006.11.020","ISBN":"0304-3894","ISSN":"03043894","PMID":"17175099","abstract":"This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Materials","id":"ITEM-2","issue":"1-2","issued":{"date-parts":[["2007","6"]]},"page":"296-304","title":"Quantitative estimation of uncertainty in human risk analysis","type":"article-journal","volume":"145"},"uris":["http://www.mendeley.com/documents/?uuid=881b0a9d-e83e-46ce-b573-4827b3e297bc"]}],"mendeley":{"formattedCitation":"(Dong et al., 2015; Sassi et al., 2007)","plainTextFormattedCitation":"(Dong et al., 2015; Sassi et al., 2007)","previouslyFormattedCitation":"(Dong et al., 2015; Sassi et al., 2007)"},"properties":{"noteIndex":0},"schema":"https://github.com/citation-style-language/schema/raw/master/csl-citation.json"}</w:instrText>
      </w:r>
      <w:r w:rsidRPr="00EB59E1">
        <w:rPr>
          <w:sz w:val="28"/>
          <w:lang w:val="en-US"/>
        </w:rPr>
        <w:fldChar w:fldCharType="separate"/>
      </w:r>
      <w:r w:rsidRPr="00EB59E1">
        <w:rPr>
          <w:noProof/>
          <w:sz w:val="28"/>
          <w:lang w:val="en-US"/>
        </w:rPr>
        <w:t>(Dong et al., 2015; Sassi et al., 2007)</w:t>
      </w:r>
      <w:r w:rsidRPr="00EB59E1">
        <w:rPr>
          <w:sz w:val="28"/>
          <w:lang w:val="en-US"/>
        </w:rPr>
        <w:fldChar w:fldCharType="end"/>
      </w:r>
      <w:r w:rsidRPr="00EB59E1">
        <w:rPr>
          <w:sz w:val="28"/>
          <w:lang w:val="en-US"/>
        </w:rPr>
        <w:t xml:space="preserve">. According to the U.S. EPA </w:t>
      </w:r>
      <w:r w:rsidRPr="00EB59E1">
        <w:rPr>
          <w:sz w:val="28"/>
          <w:lang w:val="en-US"/>
        </w:rPr>
        <w:fldChar w:fldCharType="begin" w:fldLock="1"/>
      </w:r>
      <w:r w:rsidRPr="00EB59E1">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EB59E1">
        <w:rPr>
          <w:sz w:val="28"/>
          <w:lang w:val="en-US"/>
        </w:rPr>
        <w:fldChar w:fldCharType="separate"/>
      </w:r>
      <w:r w:rsidRPr="00EB59E1">
        <w:rPr>
          <w:noProof/>
          <w:sz w:val="28"/>
          <w:lang w:val="en-US"/>
        </w:rPr>
        <w:t>(1989)</w:t>
      </w:r>
      <w:r w:rsidRPr="00EB59E1">
        <w:rPr>
          <w:sz w:val="28"/>
          <w:lang w:val="en-US"/>
        </w:rPr>
        <w:fldChar w:fldCharType="end"/>
      </w:r>
      <w:r w:rsidRPr="00EB59E1">
        <w:rPr>
          <w:sz w:val="28"/>
          <w:lang w:val="en-US"/>
        </w:rPr>
        <w:t xml:space="preserve">, there are three different approaches to the uncertainty analysis: quantitative, semi-quantitative and qualitative methods. The quantitative approach involves the assessment of uncertainties in the exposure parameters, which provides crucial information on the variability and sensitivity of the calculated results </w:t>
      </w:r>
      <w:r w:rsidRPr="00EB59E1">
        <w:rPr>
          <w:sz w:val="28"/>
          <w:lang w:val="en-US"/>
        </w:rPr>
        <w:fldChar w:fldCharType="begin" w:fldLock="1"/>
      </w:r>
      <w:r>
        <w:rPr>
          <w:sz w:val="28"/>
          <w:lang w:val="en-US"/>
        </w:rPr>
        <w:instrText>ADDIN CSL_CITATION {"citationItems":[{"id":"ITEM-1","itemData":{"ISBN":"contract no. DE-AC05-84OR21400","author":[{"dropping-particle":"","family":"U.S. EPA","given":"","non-dropping-particle":"","parse-names":false,"suffix":""}],"container-title":"U. S. Environmental Protection Agency","id":"ITEM-1","issued":{"date-parts":[["1996"]]},"title":"Qualitative Uncertainty Analysis of Superfund Residential Risk Pathway Models for Soil and Groundwater: White Paper","type":"report"},"uris":["http://www.mendeley.com/documents/?uuid=43e11d8d-c611-4548-8ac9-3f3d2cf03a8b"]}],"mendeley":{"formattedCitation":"(U.S. EPA, 1996)","plainTextFormattedCitation":"(U.S. EPA, 1996)","previouslyFormattedCitation":"(U.S. EPA, 1996)"},"properties":{"noteIndex":0},"schema":"https://github.com/citation-style-language/schema/raw/master/csl-citation.json"}</w:instrText>
      </w:r>
      <w:r w:rsidRPr="00EB59E1">
        <w:rPr>
          <w:sz w:val="28"/>
          <w:lang w:val="en-US"/>
        </w:rPr>
        <w:fldChar w:fldCharType="separate"/>
      </w:r>
      <w:r w:rsidRPr="00EB59E1">
        <w:rPr>
          <w:noProof/>
          <w:sz w:val="28"/>
          <w:lang w:val="en-US"/>
        </w:rPr>
        <w:t>(U.S. EPA, 1996)</w:t>
      </w:r>
      <w:r w:rsidRPr="00EB59E1">
        <w:rPr>
          <w:sz w:val="28"/>
          <w:lang w:val="en-US"/>
        </w:rPr>
        <w:fldChar w:fldCharType="end"/>
      </w:r>
      <w:r w:rsidRPr="00EB59E1">
        <w:rPr>
          <w:sz w:val="28"/>
          <w:lang w:val="en-US"/>
        </w:rPr>
        <w:t xml:space="preserve">. For that reason, this method was implemented in the </w:t>
      </w:r>
      <w:proofErr w:type="spellStart"/>
      <w:r w:rsidR="003F31FE">
        <w:rPr>
          <w:sz w:val="28"/>
          <w:lang w:val="en-US"/>
        </w:rPr>
        <w:t>HERisk</w:t>
      </w:r>
      <w:proofErr w:type="spellEnd"/>
      <w:r w:rsidRPr="00EB59E1">
        <w:rPr>
          <w:sz w:val="28"/>
          <w:lang w:val="en-US"/>
        </w:rPr>
        <w:t xml:space="preserve"> code following the International Organization for Standardization (ISO) standard procedure reported in the Guide for the Expression of Uncertainty in Measurements </w:t>
      </w:r>
      <w:r w:rsidRPr="00EB59E1">
        <w:rPr>
          <w:sz w:val="28"/>
          <w:lang w:val="en-US"/>
        </w:rPr>
        <w:fldChar w:fldCharType="begin" w:fldLock="1"/>
      </w:r>
      <w:r w:rsidRPr="00EB59E1">
        <w:rPr>
          <w:sz w:val="28"/>
          <w:lang w:val="en-US"/>
        </w:rPr>
        <w:instrText>ADDIN CSL_CITATION {"citationItems":[{"id":"ITEM-1","itemData":{"author":[{"dropping-particle":"","family":"ISO","given":"","non-dropping-particle":"","parse-names":false,"suffix":""}],"container-title":"International Organization for Standardization","id":"ITEM-1","issued":{"date-parts":[["2004"]]},"title":"Guide to the expression of uncertainty in measurement (GUM) – Supplement 1: Numerical methods for the propagation of distributions. Geneva","type":"report"},"uris":["http://www.mendeley.com/documents/?uuid=448c85a5-d2d8-4fc0-afb6-bce2b7429fd4"]}],"mendeley":{"formattedCitation":"(ISO, 2004)","plainTextFormattedCitation":"(ISO, 2004)","previouslyFormattedCitation":"(ISO, 2004)"},"properties":{"noteIndex":0},"schema":"https://github.com/citation-style-language/schema/raw/master/csl-citation.json"}</w:instrText>
      </w:r>
      <w:r w:rsidRPr="00EB59E1">
        <w:rPr>
          <w:sz w:val="28"/>
          <w:lang w:val="en-US"/>
        </w:rPr>
        <w:fldChar w:fldCharType="separate"/>
      </w:r>
      <w:r w:rsidRPr="00EB59E1">
        <w:rPr>
          <w:noProof/>
          <w:sz w:val="28"/>
          <w:lang w:val="en-US"/>
        </w:rPr>
        <w:t>(ISO, 2004)</w:t>
      </w:r>
      <w:r w:rsidRPr="00EB59E1">
        <w:rPr>
          <w:sz w:val="28"/>
          <w:lang w:val="en-US"/>
        </w:rPr>
        <w:fldChar w:fldCharType="end"/>
      </w:r>
      <w:r w:rsidRPr="00EB59E1">
        <w:rPr>
          <w:sz w:val="28"/>
          <w:lang w:val="en-US"/>
        </w:rPr>
        <w:t>.</w:t>
      </w:r>
    </w:p>
    <w:p w14:paraId="65C77980" w14:textId="77777777" w:rsidR="007A6C07" w:rsidRDefault="007A6C07" w:rsidP="007A6C07">
      <w:pPr>
        <w:spacing w:after="120" w:line="276" w:lineRule="auto"/>
        <w:ind w:firstLine="567"/>
        <w:jc w:val="both"/>
        <w:rPr>
          <w:sz w:val="28"/>
          <w:lang w:val="en-US"/>
        </w:rPr>
      </w:pPr>
      <w:r w:rsidRPr="00EB59E1">
        <w:rPr>
          <w:sz w:val="28"/>
          <w:lang w:val="en-US"/>
        </w:rPr>
        <w:t>The standard uncertainty of the magnitudes (</w:t>
      </w:r>
      <w:proofErr w:type="spellStart"/>
      <w:r w:rsidRPr="00EB59E1">
        <w:rPr>
          <w:b/>
          <w:i/>
          <w:sz w:val="28"/>
          <w:lang w:val="en-US"/>
        </w:rPr>
        <w:t>σ</w:t>
      </w:r>
      <w:r w:rsidRPr="00EB59E1">
        <w:rPr>
          <w:b/>
          <w:i/>
          <w:sz w:val="28"/>
          <w:vertAlign w:val="subscript"/>
          <w:lang w:val="en-US"/>
        </w:rPr>
        <w:t>F</w:t>
      </w:r>
      <w:proofErr w:type="spellEnd"/>
      <w:r w:rsidRPr="00EB59E1">
        <w:rPr>
          <w:sz w:val="28"/>
          <w:lang w:val="en-US"/>
        </w:rPr>
        <w:t>) is calculated as a combination of the standard uncertainties of the involved parameters, as shown below:</w:t>
      </w:r>
    </w:p>
    <w:p w14:paraId="308D08E1" w14:textId="77777777" w:rsidR="007A6C07" w:rsidRDefault="007A6C07" w:rsidP="007A6C07">
      <w:pPr>
        <w:spacing w:after="0" w:line="276" w:lineRule="auto"/>
        <w:ind w:firstLine="567"/>
        <w:jc w:val="both"/>
        <w:rPr>
          <w:sz w:val="28"/>
          <w:lang w:val="en-US"/>
        </w:rPr>
      </w:pPr>
    </w:p>
    <w:p w14:paraId="2D9A705D" w14:textId="77777777" w:rsidR="007A6C07" w:rsidRPr="000F4EA9" w:rsidRDefault="00A10B4C" w:rsidP="007A6C07">
      <w:pPr>
        <w:spacing w:after="120" w:line="276" w:lineRule="auto"/>
        <w:ind w:firstLine="567"/>
        <w:jc w:val="both"/>
        <w:rPr>
          <w:rStyle w:val="tlid-translation"/>
          <w:rFonts w:eastAsiaTheme="minorEastAsia"/>
          <w:sz w:val="28"/>
        </w:rPr>
      </w:pPr>
      <m:oMathPara>
        <m:oMath>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σ</m:t>
              </m:r>
            </m:e>
            <m:sub>
              <m:r>
                <w:rPr>
                  <w:rStyle w:val="tlid-translation"/>
                  <w:rFonts w:ascii="Cambria Math" w:eastAsiaTheme="minorEastAsia" w:hAnsi="Cambria Math"/>
                  <w:sz w:val="28"/>
                </w:rPr>
                <m:t>F</m:t>
              </m:r>
            </m:sub>
          </m:sSub>
          <m:r>
            <w:rPr>
              <w:rStyle w:val="tlid-translation"/>
              <w:rFonts w:ascii="Cambria Math" w:eastAsiaTheme="minorEastAsia" w:hAnsi="Cambria Math"/>
              <w:sz w:val="28"/>
            </w:rPr>
            <m:t>=</m:t>
          </m:r>
          <m:rad>
            <m:radPr>
              <m:degHide m:val="1"/>
              <m:ctrlPr>
                <w:rPr>
                  <w:rStyle w:val="tlid-translation"/>
                  <w:rFonts w:ascii="Cambria Math" w:eastAsiaTheme="minorEastAsia" w:hAnsi="Cambria Math"/>
                  <w:i/>
                  <w:sz w:val="28"/>
                </w:rPr>
              </m:ctrlPr>
            </m:radPr>
            <m:deg/>
            <m:e>
              <m:d>
                <m:dPr>
                  <m:ctrlPr>
                    <w:rPr>
                      <w:rStyle w:val="tlid-translation"/>
                      <w:rFonts w:ascii="Cambria Math" w:eastAsiaTheme="minorEastAsia" w:hAnsi="Cambria Math"/>
                      <w:i/>
                      <w:sz w:val="28"/>
                    </w:rPr>
                  </m:ctrlPr>
                </m:dPr>
                <m:e>
                  <m:nary>
                    <m:naryPr>
                      <m:chr m:val="∑"/>
                      <m:limLoc m:val="undOvr"/>
                      <m:ctrlPr>
                        <w:rPr>
                          <w:rStyle w:val="tlid-translation"/>
                          <w:rFonts w:ascii="Cambria Math" w:eastAsiaTheme="minorEastAsia" w:hAnsi="Cambria Math"/>
                          <w:i/>
                          <w:sz w:val="28"/>
                        </w:rPr>
                      </m:ctrlPr>
                    </m:naryPr>
                    <m:sub>
                      <m:r>
                        <w:rPr>
                          <w:rStyle w:val="tlid-translation"/>
                          <w:rFonts w:ascii="Cambria Math" w:eastAsiaTheme="minorEastAsia" w:hAnsi="Cambria Math"/>
                          <w:sz w:val="28"/>
                        </w:rPr>
                        <m:t>i=1</m:t>
                      </m:r>
                    </m:sub>
                    <m:sup>
                      <m:r>
                        <w:rPr>
                          <w:rStyle w:val="tlid-translation"/>
                          <w:rFonts w:ascii="Cambria Math" w:eastAsiaTheme="minorEastAsia" w:hAnsi="Cambria Math"/>
                          <w:sz w:val="28"/>
                        </w:rPr>
                        <m:t>N</m:t>
                      </m:r>
                    </m:sup>
                    <m:e>
                      <m:sSup>
                        <m:sSupPr>
                          <m:ctrlPr>
                            <w:rPr>
                              <w:rStyle w:val="tlid-translation"/>
                              <w:rFonts w:ascii="Cambria Math" w:eastAsiaTheme="minorEastAsia" w:hAnsi="Cambria Math"/>
                              <w:i/>
                              <w:sz w:val="28"/>
                            </w:rPr>
                          </m:ctrlPr>
                        </m:sSupPr>
                        <m:e>
                          <m:d>
                            <m:dPr>
                              <m:ctrlPr>
                                <w:rPr>
                                  <w:rStyle w:val="tlid-translation"/>
                                  <w:rFonts w:ascii="Cambria Math" w:eastAsiaTheme="minorEastAsia" w:hAnsi="Cambria Math"/>
                                  <w:i/>
                                  <w:sz w:val="28"/>
                                </w:rPr>
                              </m:ctrlPr>
                            </m:dPr>
                            <m:e>
                              <m:f>
                                <m:fPr>
                                  <m:ctrlPr>
                                    <w:rPr>
                                      <w:rStyle w:val="tlid-translation"/>
                                      <w:rFonts w:ascii="Cambria Math" w:eastAsiaTheme="minorEastAsia" w:hAnsi="Cambria Math"/>
                                      <w:i/>
                                      <w:sz w:val="28"/>
                                    </w:rPr>
                                  </m:ctrlPr>
                                </m:fPr>
                                <m:num>
                                  <m:r>
                                    <w:rPr>
                                      <w:rStyle w:val="tlid-translation"/>
                                      <w:rFonts w:ascii="Cambria Math" w:eastAsiaTheme="minorEastAsia" w:hAnsi="Cambria Math"/>
                                      <w:sz w:val="28"/>
                                    </w:rPr>
                                    <m:t>∂F</m:t>
                                  </m:r>
                                </m:num>
                                <m:den>
                                  <m:r>
                                    <w:rPr>
                                      <w:rStyle w:val="tlid-translation"/>
                                      <w:rFonts w:ascii="Cambria Math" w:eastAsiaTheme="minorEastAsia" w:hAnsi="Cambria Math"/>
                                      <w:sz w:val="28"/>
                                    </w:rPr>
                                    <m:t>∂</m:t>
                                  </m:r>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den>
                              </m:f>
                            </m:e>
                          </m:d>
                        </m:e>
                        <m:sup>
                          <m:r>
                            <w:rPr>
                              <w:rStyle w:val="tlid-translation"/>
                              <w:rFonts w:ascii="Cambria Math" w:eastAsiaTheme="minorEastAsia" w:hAnsi="Cambria Math"/>
                              <w:sz w:val="28"/>
                            </w:rPr>
                            <m:t>2</m:t>
                          </m:r>
                        </m:sup>
                      </m:sSup>
                      <m:r>
                        <w:rPr>
                          <w:rStyle w:val="tlid-translation"/>
                          <w:rFonts w:ascii="Cambria Math" w:eastAsiaTheme="minorEastAsia" w:hAnsi="Cambria Math"/>
                          <w:sz w:val="28"/>
                        </w:rPr>
                        <m:t>∙</m:t>
                      </m:r>
                      <m:sSup>
                        <m:sSupPr>
                          <m:ctrlPr>
                            <w:rPr>
                              <w:rStyle w:val="tlid-translation"/>
                              <w:rFonts w:ascii="Cambria Math" w:eastAsiaTheme="minorEastAsia" w:hAnsi="Cambria Math"/>
                              <w:i/>
                              <w:sz w:val="28"/>
                            </w:rPr>
                          </m:ctrlPr>
                        </m:sSupPr>
                        <m:e>
                          <m:r>
                            <w:rPr>
                              <w:rStyle w:val="tlid-translation"/>
                              <w:rFonts w:ascii="Cambria Math" w:eastAsiaTheme="minorEastAsia" w:hAnsi="Cambria Math"/>
                              <w:sz w:val="28"/>
                            </w:rPr>
                            <m:t>σ</m:t>
                          </m:r>
                        </m:e>
                        <m:sup>
                          <m:r>
                            <w:rPr>
                              <w:rStyle w:val="tlid-translation"/>
                              <w:rFonts w:ascii="Cambria Math" w:eastAsiaTheme="minorEastAsia" w:hAnsi="Cambria Math"/>
                              <w:sz w:val="28"/>
                            </w:rPr>
                            <m:t>2</m:t>
                          </m:r>
                        </m:sup>
                      </m:sSup>
                      <m:d>
                        <m:dPr>
                          <m:ctrlPr>
                            <w:rPr>
                              <w:rStyle w:val="tlid-translation"/>
                              <w:rFonts w:ascii="Cambria Math" w:eastAsiaTheme="minorEastAsia" w:hAnsi="Cambria Math"/>
                              <w:i/>
                              <w:sz w:val="28"/>
                            </w:rPr>
                          </m:ctrlPr>
                        </m:dPr>
                        <m:e>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e>
                      </m:d>
                    </m:e>
                  </m:nary>
                </m:e>
              </m:d>
            </m:e>
          </m:rad>
          <m:r>
            <w:rPr>
              <w:rStyle w:val="tlid-translation"/>
              <w:rFonts w:ascii="Cambria Math" w:eastAsiaTheme="minorEastAsia" w:hAnsi="Cambria Math"/>
              <w:sz w:val="28"/>
            </w:rPr>
            <m:t xml:space="preserve">            (26)</m:t>
          </m:r>
        </m:oMath>
      </m:oMathPara>
    </w:p>
    <w:p w14:paraId="18D56459" w14:textId="77777777" w:rsidR="007A6C07" w:rsidRDefault="007A6C07" w:rsidP="007A6C07">
      <w:pPr>
        <w:spacing w:after="0" w:line="276" w:lineRule="auto"/>
        <w:ind w:firstLine="567"/>
        <w:jc w:val="both"/>
        <w:rPr>
          <w:sz w:val="28"/>
          <w:lang w:val="en-US"/>
        </w:rPr>
      </w:pPr>
    </w:p>
    <w:p w14:paraId="4D776586" w14:textId="77777777" w:rsidR="007A6C07" w:rsidRPr="000F4EA9" w:rsidRDefault="007A6C07" w:rsidP="007A6C07">
      <w:pPr>
        <w:spacing w:after="60" w:line="276" w:lineRule="auto"/>
        <w:ind w:firstLine="567"/>
        <w:jc w:val="both"/>
        <w:rPr>
          <w:sz w:val="28"/>
          <w:lang w:val="en-US"/>
        </w:rPr>
      </w:pPr>
      <w:r w:rsidRPr="000F4EA9">
        <w:rPr>
          <w:sz w:val="28"/>
          <w:lang w:val="en-US"/>
        </w:rPr>
        <w:t xml:space="preserve">For example, in the absorbed doses (see </w:t>
      </w:r>
      <w:proofErr w:type="spellStart"/>
      <w:r w:rsidRPr="000F4EA9">
        <w:rPr>
          <w:sz w:val="28"/>
          <w:lang w:val="en-US"/>
        </w:rPr>
        <w:t>Eqs</w:t>
      </w:r>
      <w:proofErr w:type="spellEnd"/>
      <w:r w:rsidRPr="000F4EA9">
        <w:rPr>
          <w:sz w:val="28"/>
          <w:lang w:val="en-US"/>
        </w:rPr>
        <w:t xml:space="preserve">. 1-6): </w:t>
      </w:r>
      <w:r w:rsidRPr="000F4EA9">
        <w:rPr>
          <w:i/>
          <w:sz w:val="28"/>
          <w:lang w:val="en-US"/>
        </w:rPr>
        <w:t>x</w:t>
      </w:r>
      <w:r w:rsidRPr="000F4EA9">
        <w:rPr>
          <w:i/>
          <w:sz w:val="28"/>
          <w:vertAlign w:val="subscript"/>
          <w:lang w:val="en-US"/>
        </w:rPr>
        <w:t>i</w:t>
      </w:r>
      <w:r w:rsidRPr="000F4EA9">
        <w:rPr>
          <w:sz w:val="28"/>
          <w:lang w:val="en-US"/>
        </w:rPr>
        <w:t xml:space="preserve"> is the </w:t>
      </w:r>
      <w:proofErr w:type="spellStart"/>
      <w:r w:rsidRPr="000F4EA9">
        <w:rPr>
          <w:i/>
          <w:sz w:val="28"/>
          <w:lang w:val="en-US"/>
        </w:rPr>
        <w:t>i</w:t>
      </w:r>
      <w:r w:rsidRPr="000F4EA9">
        <w:rPr>
          <w:sz w:val="28"/>
          <w:lang w:val="en-US"/>
        </w:rPr>
        <w:t>th</w:t>
      </w:r>
      <w:proofErr w:type="spellEnd"/>
      <w:r w:rsidRPr="000F4EA9">
        <w:rPr>
          <w:sz w:val="28"/>
          <w:lang w:val="en-US"/>
        </w:rPr>
        <w:t xml:space="preserve"> exposure parameter involved in each case, </w:t>
      </w:r>
      <w:r w:rsidRPr="000F4EA9">
        <w:rPr>
          <w:i/>
          <w:sz w:val="28"/>
          <w:lang w:val="en-US"/>
        </w:rPr>
        <w:t>σ(x</w:t>
      </w:r>
      <w:r w:rsidRPr="000F4EA9">
        <w:rPr>
          <w:i/>
          <w:sz w:val="28"/>
          <w:vertAlign w:val="subscript"/>
          <w:lang w:val="en-US"/>
        </w:rPr>
        <w:t>i</w:t>
      </w:r>
      <w:r w:rsidRPr="000F4EA9">
        <w:rPr>
          <w:i/>
          <w:sz w:val="28"/>
          <w:lang w:val="en-US"/>
        </w:rPr>
        <w:t>)</w:t>
      </w:r>
      <w:r w:rsidRPr="000F4EA9">
        <w:rPr>
          <w:sz w:val="28"/>
          <w:lang w:val="en-US"/>
        </w:rPr>
        <w:t xml:space="preserve"> represents the standard uncertainty of the </w:t>
      </w:r>
      <w:proofErr w:type="spellStart"/>
      <w:r w:rsidRPr="000F4EA9">
        <w:rPr>
          <w:i/>
          <w:sz w:val="28"/>
          <w:lang w:val="en-US"/>
        </w:rPr>
        <w:t>i</w:t>
      </w:r>
      <w:r w:rsidRPr="000F4EA9">
        <w:rPr>
          <w:sz w:val="28"/>
          <w:lang w:val="en-US"/>
        </w:rPr>
        <w:t>th</w:t>
      </w:r>
      <w:proofErr w:type="spellEnd"/>
      <w:r w:rsidRPr="000F4EA9">
        <w:rPr>
          <w:sz w:val="28"/>
          <w:lang w:val="en-US"/>
        </w:rPr>
        <w:t xml:space="preserve"> parameter, and the </w:t>
      </w:r>
      <w:r w:rsidRPr="000F4EA9">
        <w:rPr>
          <w:i/>
          <w:sz w:val="28"/>
          <w:lang w:val="en-US"/>
        </w:rPr>
        <w:t>(∂F/∂x</w:t>
      </w:r>
      <w:r w:rsidRPr="000F4EA9">
        <w:rPr>
          <w:i/>
          <w:sz w:val="28"/>
          <w:vertAlign w:val="subscript"/>
          <w:lang w:val="en-US"/>
        </w:rPr>
        <w:t>i</w:t>
      </w:r>
      <w:r w:rsidRPr="000F4EA9">
        <w:rPr>
          <w:sz w:val="28"/>
          <w:lang w:val="en-US"/>
        </w:rPr>
        <w:t xml:space="preserve">) is the partial derivate by the </w:t>
      </w:r>
      <w:proofErr w:type="spellStart"/>
      <w:r w:rsidRPr="000F4EA9">
        <w:rPr>
          <w:i/>
          <w:sz w:val="28"/>
          <w:lang w:val="en-US"/>
        </w:rPr>
        <w:t>i</w:t>
      </w:r>
      <w:r w:rsidRPr="000F4EA9">
        <w:rPr>
          <w:sz w:val="28"/>
          <w:lang w:val="en-US"/>
        </w:rPr>
        <w:t>th</w:t>
      </w:r>
      <w:proofErr w:type="spellEnd"/>
      <w:r w:rsidRPr="000F4EA9">
        <w:rPr>
          <w:sz w:val="28"/>
          <w:lang w:val="en-US"/>
        </w:rPr>
        <w:t xml:space="preserve"> variable, also known as sensitivity coefficients (</w:t>
      </w:r>
      <w:r w:rsidRPr="000F4EA9">
        <w:rPr>
          <w:i/>
          <w:sz w:val="28"/>
          <w:lang w:val="en-US"/>
        </w:rPr>
        <w:t>c(x</w:t>
      </w:r>
      <w:r w:rsidRPr="000F4EA9">
        <w:rPr>
          <w:i/>
          <w:sz w:val="28"/>
          <w:vertAlign w:val="subscript"/>
          <w:lang w:val="en-US"/>
        </w:rPr>
        <w:t>i</w:t>
      </w:r>
      <w:r w:rsidRPr="000F4EA9">
        <w:rPr>
          <w:i/>
          <w:sz w:val="28"/>
          <w:lang w:val="en-US"/>
        </w:rPr>
        <w:t>)</w:t>
      </w:r>
      <w:r w:rsidRPr="000F4EA9">
        <w:rPr>
          <w:sz w:val="28"/>
          <w:lang w:val="en-US"/>
        </w:rPr>
        <w:t>).</w:t>
      </w:r>
    </w:p>
    <w:p w14:paraId="787EB28C" w14:textId="2E778937" w:rsidR="007A6C07" w:rsidRDefault="007A6C07" w:rsidP="007A6C07">
      <w:pPr>
        <w:spacing w:after="120" w:line="276" w:lineRule="auto"/>
        <w:ind w:firstLine="567"/>
        <w:jc w:val="both"/>
        <w:rPr>
          <w:sz w:val="28"/>
          <w:lang w:val="en-US"/>
        </w:rPr>
      </w:pPr>
      <w:r w:rsidRPr="00891820">
        <w:rPr>
          <w:sz w:val="28"/>
          <w:lang w:val="en-US"/>
        </w:rPr>
        <w:t xml:space="preserve">Unfortunately, the risk calculations depend to a large extent on the quality of the database, which in general tends to be imprecise due to the high heterogeneity among the studies. The uncertainties </w:t>
      </w:r>
      <w:r w:rsidRPr="00891820">
        <w:rPr>
          <w:i/>
          <w:sz w:val="28"/>
          <w:lang w:val="en-US"/>
        </w:rPr>
        <w:t>σ(x</w:t>
      </w:r>
      <w:r w:rsidRPr="00891820">
        <w:rPr>
          <w:i/>
          <w:sz w:val="28"/>
          <w:vertAlign w:val="subscript"/>
          <w:lang w:val="en-US"/>
        </w:rPr>
        <w:t>i</w:t>
      </w:r>
      <w:r w:rsidRPr="00891820">
        <w:rPr>
          <w:i/>
          <w:sz w:val="28"/>
          <w:lang w:val="en-US"/>
        </w:rPr>
        <w:t>)</w:t>
      </w:r>
      <w:r w:rsidRPr="00891820">
        <w:rPr>
          <w:sz w:val="28"/>
          <w:lang w:val="en-US"/>
        </w:rPr>
        <w:t xml:space="preserve"> of each exposure parameter, used in the </w:t>
      </w:r>
      <w:proofErr w:type="spellStart"/>
      <w:r w:rsidR="003F31FE">
        <w:rPr>
          <w:sz w:val="28"/>
          <w:lang w:val="en-US"/>
        </w:rPr>
        <w:t>HERisk</w:t>
      </w:r>
      <w:proofErr w:type="spellEnd"/>
      <w:r w:rsidRPr="00891820">
        <w:rPr>
          <w:sz w:val="28"/>
          <w:lang w:val="en-US"/>
        </w:rPr>
        <w:t xml:space="preserve"> code, were evaluated from all the information available in the specialized literature. In some cases, uncertainties were calculated from the statistical distribution functions reported for some parameters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analysis","type":"article-journal","volume":"145"},"uris":["http://www.mendeley.com/documents/?uuid=881b0a9d-e83e-46ce-b573-4827b3e297bc"]},{"id":"ITEM-2","itemData":{"ISBN":"contract no. DE-AC05-84OR21400","author":[{"dropping-particle":"","family":"U.S. EPA","given":"","non-dropping-particle":"","parse-names":false,"suffix":""}],"container-title":"U. S. Environmental Protection Agency","id":"ITEM-2","issued":{"date-parts":[["1996"]]},"title":"Qualitative Uncertainty Analysis of Superfund Residential Risk Pathway Models for Soil and Groundwater: White Paper","type":"report"},"uris":["http://www.mendeley.com/documents/?uuid=43e11d8d-c611-4548-8ac9-3f3d2cf03a8b"]}],"mendeley":{"formattedCitation":"(Sassi et al., 2007; U.S. EPA, 1996)","plainTextFormattedCitation":"(Sassi et al., 2007; U.S. EPA, 1996)","previouslyFormattedCitation":"(Sassi et al., 2007; U.S. EPA, 1996)"},"properties":{"noteIndex":0},"schema":"https://github.com/citation-style-language/schema/raw/master/csl-citation.json"}</w:instrText>
      </w:r>
      <w:r w:rsidRPr="00891820">
        <w:rPr>
          <w:sz w:val="28"/>
          <w:lang w:val="en-US"/>
        </w:rPr>
        <w:fldChar w:fldCharType="separate"/>
      </w:r>
      <w:r w:rsidRPr="00891820">
        <w:rPr>
          <w:noProof/>
          <w:sz w:val="28"/>
          <w:lang w:val="en-US"/>
        </w:rPr>
        <w:t>(Sassi et al., 2007; U.S. EPA, 1996)</w:t>
      </w:r>
      <w:r w:rsidRPr="00891820">
        <w:rPr>
          <w:sz w:val="28"/>
          <w:lang w:val="en-US"/>
        </w:rPr>
        <w:fldChar w:fldCharType="end"/>
      </w:r>
      <w:r w:rsidRPr="00891820">
        <w:rPr>
          <w:sz w:val="28"/>
          <w:lang w:val="en-US"/>
        </w:rPr>
        <w:t>. When there was no specific data available on the statistical distribution or the uncertainty of the parameter, 10% of this value was considered as its uncertainty. Due to, Averaging Time (</w:t>
      </w:r>
      <w:r w:rsidRPr="00891820">
        <w:rPr>
          <w:i/>
          <w:sz w:val="28"/>
          <w:lang w:val="en-US"/>
        </w:rPr>
        <w:t>AT</w:t>
      </w:r>
      <w:r w:rsidRPr="00891820">
        <w:rPr>
          <w:sz w:val="28"/>
          <w:lang w:val="en-US"/>
        </w:rPr>
        <w:t xml:space="preserve">) is not considered affected by variability, its uncertainty was considered null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analysis","type":"article-journal","volume":"145"},"uris":["http://www.mendeley.com/documents/?uuid=881b0a9d-e83e-46ce-b573-4827b3e297bc"]}],"mendeley":{"formattedCitation":"(Sassi et al., 2007)","plainTextFormattedCitation":"(Sassi et al., 2007)","previouslyFormattedCitation":"(Sassi et al., 2007)"},"properties":{"noteIndex":0},"schema":"https://github.com/citation-style-language/schema/raw/master/csl-citation.json"}</w:instrText>
      </w:r>
      <w:r w:rsidRPr="00891820">
        <w:rPr>
          <w:sz w:val="28"/>
          <w:lang w:val="en-US"/>
        </w:rPr>
        <w:fldChar w:fldCharType="separate"/>
      </w:r>
      <w:r w:rsidRPr="00891820">
        <w:rPr>
          <w:noProof/>
          <w:sz w:val="28"/>
          <w:lang w:val="en-US"/>
        </w:rPr>
        <w:t>(Sassi et al., 2007)</w:t>
      </w:r>
      <w:r w:rsidRPr="00891820">
        <w:rPr>
          <w:sz w:val="28"/>
          <w:lang w:val="en-US"/>
        </w:rPr>
        <w:fldChar w:fldCharType="end"/>
      </w:r>
      <w:r w:rsidRPr="00891820">
        <w:rPr>
          <w:sz w:val="28"/>
          <w:lang w:val="en-US"/>
        </w:rPr>
        <w:t>.</w:t>
      </w:r>
    </w:p>
    <w:p w14:paraId="2F94A224" w14:textId="77777777" w:rsidR="007A6C07" w:rsidRDefault="007A6C07" w:rsidP="007A6C07">
      <w:pPr>
        <w:spacing w:after="120" w:line="276" w:lineRule="auto"/>
        <w:jc w:val="both"/>
        <w:rPr>
          <w:sz w:val="28"/>
          <w:lang w:val="en-US"/>
        </w:rPr>
      </w:pPr>
      <w:r>
        <w:rPr>
          <w:sz w:val="28"/>
          <w:lang w:val="en-US"/>
        </w:rPr>
        <w:br w:type="page"/>
      </w:r>
    </w:p>
    <w:p w14:paraId="6B481C5F" w14:textId="6646F268" w:rsidR="00A25D23" w:rsidRDefault="00A25D23" w:rsidP="005E5156">
      <w:pPr>
        <w:spacing w:after="120" w:line="276" w:lineRule="auto"/>
        <w:jc w:val="both"/>
        <w:rPr>
          <w:sz w:val="32"/>
          <w:lang w:val="en-US"/>
        </w:rPr>
        <w:sectPr w:rsidR="00A25D23" w:rsidSect="00CC68E6">
          <w:pgSz w:w="11906" w:h="16838"/>
          <w:pgMar w:top="720" w:right="720" w:bottom="720" w:left="720" w:header="708" w:footer="708" w:gutter="0"/>
          <w:cols w:space="708"/>
          <w:titlePg/>
          <w:docGrid w:linePitch="360"/>
        </w:sectPr>
      </w:pPr>
    </w:p>
    <w:p w14:paraId="487559A7" w14:textId="345333B6" w:rsidR="00A25D23" w:rsidRDefault="00A25D23" w:rsidP="00A25D23">
      <w:pPr>
        <w:spacing w:before="240" w:after="120" w:line="480" w:lineRule="auto"/>
        <w:jc w:val="center"/>
        <w:rPr>
          <w:b/>
          <w:sz w:val="32"/>
          <w:lang w:val="en-US"/>
        </w:rPr>
      </w:pPr>
      <w:r w:rsidRPr="00A25D23">
        <w:rPr>
          <w:b/>
          <w:bCs/>
          <w:sz w:val="28"/>
          <w:lang w:val="en-US"/>
        </w:rPr>
        <w:lastRenderedPageBreak/>
        <w:t>Table 6</w:t>
      </w:r>
      <w:r>
        <w:rPr>
          <w:sz w:val="28"/>
          <w:lang w:val="en-US"/>
        </w:rPr>
        <w:t xml:space="preserve"> – </w:t>
      </w:r>
      <w:r w:rsidR="00C16137">
        <w:rPr>
          <w:sz w:val="28"/>
          <w:lang w:val="en-US"/>
        </w:rPr>
        <w:t>Some p</w:t>
      </w:r>
      <w:r>
        <w:rPr>
          <w:sz w:val="28"/>
          <w:lang w:val="en-US"/>
        </w:rPr>
        <w:t>a</w:t>
      </w:r>
      <w:r w:rsidRPr="0017539F">
        <w:rPr>
          <w:sz w:val="28"/>
          <w:lang w:val="en-US"/>
        </w:rPr>
        <w:t xml:space="preserve">rameters used in </w:t>
      </w:r>
      <w:r>
        <w:rPr>
          <w:sz w:val="28"/>
          <w:lang w:val="en-US"/>
        </w:rPr>
        <w:t>the calculations of doses</w:t>
      </w:r>
    </w:p>
    <w:tbl>
      <w:tblPr>
        <w:tblStyle w:val="Tabelacomgrade"/>
        <w:tblW w:w="15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995"/>
        <w:gridCol w:w="1268"/>
        <w:gridCol w:w="1275"/>
        <w:gridCol w:w="1284"/>
        <w:gridCol w:w="1268"/>
        <w:gridCol w:w="8"/>
        <w:gridCol w:w="1268"/>
        <w:gridCol w:w="8"/>
        <w:gridCol w:w="1267"/>
        <w:gridCol w:w="8"/>
        <w:gridCol w:w="1268"/>
        <w:gridCol w:w="8"/>
        <w:gridCol w:w="1410"/>
        <w:gridCol w:w="8"/>
        <w:gridCol w:w="1134"/>
        <w:gridCol w:w="1701"/>
      </w:tblGrid>
      <w:tr w:rsidR="00A25D23" w:rsidRPr="0017539F" w14:paraId="71FFF456" w14:textId="77777777" w:rsidTr="008A0E75">
        <w:trPr>
          <w:trHeight w:val="380"/>
        </w:trPr>
        <w:tc>
          <w:tcPr>
            <w:tcW w:w="1986" w:type="dxa"/>
            <w:gridSpan w:val="2"/>
            <w:vMerge w:val="restart"/>
            <w:tcBorders>
              <w:top w:val="double" w:sz="4" w:space="0" w:color="auto"/>
            </w:tcBorders>
            <w:vAlign w:val="center"/>
          </w:tcPr>
          <w:p w14:paraId="58FD404C"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tcBorders>
            <w:vAlign w:val="center"/>
          </w:tcPr>
          <w:p w14:paraId="06987B48"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22BE1A34"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17539F" w14:paraId="74C4C879" w14:textId="77777777" w:rsidTr="008A0E75">
        <w:trPr>
          <w:trHeight w:val="380"/>
        </w:trPr>
        <w:tc>
          <w:tcPr>
            <w:tcW w:w="1986" w:type="dxa"/>
            <w:gridSpan w:val="2"/>
            <w:vMerge/>
            <w:tcBorders>
              <w:bottom w:val="double" w:sz="4" w:space="0" w:color="auto"/>
            </w:tcBorders>
            <w:vAlign w:val="center"/>
          </w:tcPr>
          <w:p w14:paraId="034D70F8" w14:textId="77777777" w:rsidR="00A25D23" w:rsidRPr="002A1510" w:rsidRDefault="00A25D23" w:rsidP="008A0E75">
            <w:pPr>
              <w:spacing w:line="276" w:lineRule="auto"/>
              <w:jc w:val="center"/>
              <w:rPr>
                <w:b/>
                <w:sz w:val="20"/>
                <w:szCs w:val="20"/>
                <w:lang w:val="en-US"/>
              </w:rPr>
            </w:pPr>
          </w:p>
        </w:tc>
        <w:tc>
          <w:tcPr>
            <w:tcW w:w="1268" w:type="dxa"/>
            <w:tcBorders>
              <w:bottom w:val="double" w:sz="4" w:space="0" w:color="auto"/>
            </w:tcBorders>
            <w:vAlign w:val="center"/>
          </w:tcPr>
          <w:p w14:paraId="4CF398F5"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bottom w:val="double" w:sz="4" w:space="0" w:color="auto"/>
            </w:tcBorders>
            <w:vAlign w:val="center"/>
          </w:tcPr>
          <w:p w14:paraId="383FD80E"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bottom w:val="double" w:sz="4" w:space="0" w:color="auto"/>
            </w:tcBorders>
            <w:vAlign w:val="center"/>
          </w:tcPr>
          <w:p w14:paraId="045074E5"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bottom w:val="double" w:sz="4" w:space="0" w:color="auto"/>
            </w:tcBorders>
            <w:vAlign w:val="center"/>
          </w:tcPr>
          <w:p w14:paraId="1DA12692"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bottom w:val="double" w:sz="4" w:space="0" w:color="auto"/>
            </w:tcBorders>
            <w:vAlign w:val="center"/>
          </w:tcPr>
          <w:p w14:paraId="4A517D6A"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bottom w:val="double" w:sz="4" w:space="0" w:color="auto"/>
            </w:tcBorders>
            <w:vAlign w:val="center"/>
          </w:tcPr>
          <w:p w14:paraId="33452533"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bottom w:val="double" w:sz="4" w:space="0" w:color="auto"/>
            </w:tcBorders>
            <w:vAlign w:val="center"/>
          </w:tcPr>
          <w:p w14:paraId="7EB0D942"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bottom w:val="double" w:sz="4" w:space="0" w:color="auto"/>
            </w:tcBorders>
            <w:vAlign w:val="center"/>
          </w:tcPr>
          <w:p w14:paraId="618BC0F8"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bottom w:val="double" w:sz="4" w:space="0" w:color="auto"/>
            </w:tcBorders>
            <w:vAlign w:val="center"/>
          </w:tcPr>
          <w:p w14:paraId="4976DE02"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02FCC7D" w14:textId="77777777" w:rsidR="00A25D23" w:rsidRPr="002A1510" w:rsidRDefault="00A25D23" w:rsidP="008A0E75">
            <w:pPr>
              <w:spacing w:line="276" w:lineRule="auto"/>
              <w:jc w:val="center"/>
              <w:rPr>
                <w:b/>
                <w:sz w:val="20"/>
                <w:szCs w:val="20"/>
                <w:lang w:val="en-US"/>
              </w:rPr>
            </w:pPr>
          </w:p>
        </w:tc>
      </w:tr>
      <w:tr w:rsidR="00A25D23" w:rsidRPr="0017539F" w14:paraId="58914A6E" w14:textId="77777777" w:rsidTr="008A0E75">
        <w:trPr>
          <w:trHeight w:val="380"/>
        </w:trPr>
        <w:tc>
          <w:tcPr>
            <w:tcW w:w="1986" w:type="dxa"/>
            <w:gridSpan w:val="2"/>
            <w:tcBorders>
              <w:top w:val="double" w:sz="4" w:space="0" w:color="auto"/>
              <w:bottom w:val="single" w:sz="6" w:space="0" w:color="auto"/>
            </w:tcBorders>
            <w:vAlign w:val="center"/>
          </w:tcPr>
          <w:p w14:paraId="3C4BCDE8" w14:textId="77777777" w:rsidR="00A25D23" w:rsidRPr="002A1510" w:rsidRDefault="00A25D23" w:rsidP="008A0E75">
            <w:pPr>
              <w:spacing w:line="276" w:lineRule="auto"/>
              <w:jc w:val="center"/>
              <w:rPr>
                <w:i/>
                <w:sz w:val="20"/>
                <w:szCs w:val="20"/>
                <w:lang w:val="en-US"/>
              </w:rPr>
            </w:pPr>
            <w:r w:rsidRPr="002A1510">
              <w:rPr>
                <w:i/>
                <w:sz w:val="20"/>
                <w:szCs w:val="20"/>
                <w:lang w:val="en-US"/>
              </w:rPr>
              <w:t>ABS</w:t>
            </w:r>
          </w:p>
        </w:tc>
        <w:tc>
          <w:tcPr>
            <w:tcW w:w="11482" w:type="dxa"/>
            <w:gridSpan w:val="14"/>
            <w:tcBorders>
              <w:top w:val="double" w:sz="4" w:space="0" w:color="auto"/>
              <w:bottom w:val="single" w:sz="6" w:space="0" w:color="auto"/>
            </w:tcBorders>
            <w:vAlign w:val="center"/>
          </w:tcPr>
          <w:p w14:paraId="4327122D"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double" w:sz="4" w:space="0" w:color="auto"/>
              <w:bottom w:val="single" w:sz="6" w:space="0" w:color="auto"/>
            </w:tcBorders>
            <w:vAlign w:val="center"/>
          </w:tcPr>
          <w:p w14:paraId="4CF11A78" w14:textId="77777777" w:rsidR="00A25D23" w:rsidRPr="002A1510" w:rsidRDefault="00A25D23" w:rsidP="008A0E75">
            <w:pPr>
              <w:spacing w:line="276" w:lineRule="auto"/>
              <w:jc w:val="center"/>
              <w:rPr>
                <w:sz w:val="20"/>
                <w:szCs w:val="20"/>
                <w:lang w:val="en-US"/>
              </w:rPr>
            </w:pPr>
            <w:r w:rsidRPr="002A1510">
              <w:rPr>
                <w:sz w:val="20"/>
                <w:szCs w:val="20"/>
                <w:lang w:val="en-US"/>
              </w:rPr>
              <w:t>Page</w:t>
            </w:r>
            <w:r>
              <w:rPr>
                <w:sz w:val="20"/>
                <w:szCs w:val="20"/>
                <w:lang w:val="en-US"/>
              </w:rPr>
              <w:t xml:space="preserve"> 26</w:t>
            </w:r>
          </w:p>
        </w:tc>
      </w:tr>
      <w:tr w:rsidR="00A25D23" w:rsidRPr="00E26BF1" w14:paraId="75AF223C" w14:textId="77777777" w:rsidTr="008A0E75">
        <w:trPr>
          <w:trHeight w:val="380"/>
        </w:trPr>
        <w:tc>
          <w:tcPr>
            <w:tcW w:w="1986" w:type="dxa"/>
            <w:gridSpan w:val="2"/>
            <w:tcBorders>
              <w:top w:val="single" w:sz="6" w:space="0" w:color="auto"/>
              <w:bottom w:val="single" w:sz="6" w:space="0" w:color="auto"/>
            </w:tcBorders>
            <w:vAlign w:val="center"/>
          </w:tcPr>
          <w:p w14:paraId="58E139D2" w14:textId="77777777" w:rsidR="00A25D23" w:rsidRPr="00FF3278" w:rsidRDefault="00A25D23" w:rsidP="008A0E75">
            <w:pPr>
              <w:spacing w:line="276" w:lineRule="auto"/>
              <w:jc w:val="center"/>
              <w:rPr>
                <w:sz w:val="20"/>
                <w:szCs w:val="20"/>
                <w:lang w:val="en-US"/>
              </w:rPr>
            </w:pPr>
            <w:proofErr w:type="spellStart"/>
            <w:r w:rsidRPr="002A1510">
              <w:rPr>
                <w:i/>
                <w:sz w:val="20"/>
                <w:szCs w:val="20"/>
                <w:lang w:val="en-US"/>
              </w:rPr>
              <w:t>AF</w:t>
            </w:r>
            <w:r w:rsidRPr="002A1510">
              <w:rPr>
                <w:i/>
                <w:sz w:val="20"/>
                <w:szCs w:val="20"/>
                <w:vertAlign w:val="subscript"/>
                <w:lang w:val="en-US"/>
              </w:rPr>
              <w:t>soil</w:t>
            </w:r>
            <w:proofErr w:type="spellEnd"/>
            <w:r>
              <w:rPr>
                <w:sz w:val="20"/>
                <w:szCs w:val="20"/>
                <w:lang w:val="en-US"/>
              </w:rPr>
              <w:t xml:space="preserve"> (mg cm</w:t>
            </w:r>
            <w:r>
              <w:rPr>
                <w:sz w:val="20"/>
                <w:szCs w:val="20"/>
                <w:vertAlign w:val="superscript"/>
                <w:lang w:val="en-US"/>
              </w:rPr>
              <w:t>-2</w:t>
            </w:r>
            <w:r>
              <w:rPr>
                <w:sz w:val="20"/>
                <w:szCs w:val="20"/>
                <w:lang w:val="en-US"/>
              </w:rPr>
              <w:t xml:space="preserve">) </w:t>
            </w:r>
            <w:r>
              <w:rPr>
                <w:sz w:val="20"/>
                <w:szCs w:val="20"/>
                <w:vertAlign w:val="superscript"/>
                <w:lang w:val="en-US"/>
              </w:rPr>
              <w:t>a</w:t>
            </w:r>
          </w:p>
        </w:tc>
        <w:tc>
          <w:tcPr>
            <w:tcW w:w="1268" w:type="dxa"/>
            <w:tcBorders>
              <w:top w:val="single" w:sz="6" w:space="0" w:color="auto"/>
              <w:bottom w:val="single" w:sz="6" w:space="0" w:color="auto"/>
            </w:tcBorders>
            <w:vAlign w:val="center"/>
          </w:tcPr>
          <w:p w14:paraId="537421A7" w14:textId="77777777" w:rsidR="00A25D23" w:rsidRDefault="00A25D23" w:rsidP="008A0E75">
            <w:pPr>
              <w:spacing w:line="276" w:lineRule="auto"/>
              <w:jc w:val="center"/>
              <w:rPr>
                <w:sz w:val="20"/>
                <w:szCs w:val="20"/>
                <w:lang w:val="en-US"/>
              </w:rPr>
            </w:pPr>
            <w:r>
              <w:rPr>
                <w:sz w:val="20"/>
                <w:szCs w:val="20"/>
                <w:lang w:val="en-US"/>
              </w:rPr>
              <w:t>0.2140</w:t>
            </w:r>
          </w:p>
        </w:tc>
        <w:tc>
          <w:tcPr>
            <w:tcW w:w="1275" w:type="dxa"/>
            <w:tcBorders>
              <w:top w:val="single" w:sz="6" w:space="0" w:color="auto"/>
              <w:bottom w:val="single" w:sz="6" w:space="0" w:color="auto"/>
            </w:tcBorders>
            <w:vAlign w:val="center"/>
          </w:tcPr>
          <w:p w14:paraId="293BE0E1" w14:textId="77777777" w:rsidR="00A25D23" w:rsidRDefault="00A25D23" w:rsidP="008A0E75">
            <w:pPr>
              <w:spacing w:line="276" w:lineRule="auto"/>
              <w:jc w:val="center"/>
              <w:rPr>
                <w:sz w:val="20"/>
                <w:szCs w:val="20"/>
                <w:lang w:val="en-US"/>
              </w:rPr>
            </w:pPr>
            <w:r>
              <w:rPr>
                <w:sz w:val="20"/>
                <w:szCs w:val="20"/>
                <w:lang w:val="en-US"/>
              </w:rPr>
              <w:t>0.2140</w:t>
            </w:r>
          </w:p>
        </w:tc>
        <w:tc>
          <w:tcPr>
            <w:tcW w:w="1284" w:type="dxa"/>
            <w:tcBorders>
              <w:top w:val="single" w:sz="6" w:space="0" w:color="auto"/>
              <w:bottom w:val="single" w:sz="6" w:space="0" w:color="auto"/>
            </w:tcBorders>
            <w:vAlign w:val="center"/>
          </w:tcPr>
          <w:p w14:paraId="792EF013" w14:textId="77777777" w:rsidR="00A25D23" w:rsidRPr="002A1510" w:rsidRDefault="00A25D23" w:rsidP="008A0E75">
            <w:pPr>
              <w:spacing w:line="276" w:lineRule="auto"/>
              <w:jc w:val="center"/>
              <w:rPr>
                <w:sz w:val="20"/>
                <w:szCs w:val="20"/>
                <w:lang w:val="en-US"/>
              </w:rPr>
            </w:pPr>
            <w:r>
              <w:rPr>
                <w:sz w:val="20"/>
                <w:szCs w:val="20"/>
                <w:lang w:val="en-US"/>
              </w:rPr>
              <w:t>0.2140</w:t>
            </w:r>
          </w:p>
        </w:tc>
        <w:tc>
          <w:tcPr>
            <w:tcW w:w="1268" w:type="dxa"/>
            <w:tcBorders>
              <w:top w:val="single" w:sz="6" w:space="0" w:color="auto"/>
              <w:bottom w:val="single" w:sz="6" w:space="0" w:color="auto"/>
            </w:tcBorders>
            <w:vAlign w:val="center"/>
          </w:tcPr>
          <w:p w14:paraId="18BD0F07"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F6386A"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5" w:type="dxa"/>
            <w:gridSpan w:val="2"/>
            <w:tcBorders>
              <w:top w:val="single" w:sz="6" w:space="0" w:color="auto"/>
              <w:bottom w:val="single" w:sz="6" w:space="0" w:color="auto"/>
            </w:tcBorders>
            <w:vAlign w:val="center"/>
          </w:tcPr>
          <w:p w14:paraId="2BDF0F2E" w14:textId="77777777" w:rsidR="00A25D23"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5614EE" w14:textId="77777777" w:rsidR="00A25D23" w:rsidRDefault="00A25D23" w:rsidP="008A0E75">
            <w:pPr>
              <w:spacing w:line="276" w:lineRule="auto"/>
              <w:jc w:val="center"/>
              <w:rPr>
                <w:sz w:val="20"/>
                <w:szCs w:val="20"/>
                <w:lang w:val="en-US"/>
              </w:rPr>
            </w:pPr>
            <w:r>
              <w:rPr>
                <w:sz w:val="20"/>
                <w:szCs w:val="20"/>
                <w:lang w:val="en-US"/>
              </w:rPr>
              <w:t>0.3745</w:t>
            </w:r>
          </w:p>
          <w:p w14:paraId="2C6DB14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418" w:type="dxa"/>
            <w:gridSpan w:val="2"/>
            <w:tcBorders>
              <w:top w:val="single" w:sz="6" w:space="0" w:color="auto"/>
              <w:bottom w:val="single" w:sz="6" w:space="0" w:color="auto"/>
            </w:tcBorders>
            <w:vAlign w:val="center"/>
          </w:tcPr>
          <w:p w14:paraId="07378B5A" w14:textId="77777777" w:rsidR="00A25D23" w:rsidRDefault="00A25D23" w:rsidP="008A0E75">
            <w:pPr>
              <w:spacing w:line="276" w:lineRule="auto"/>
              <w:jc w:val="center"/>
              <w:rPr>
                <w:sz w:val="20"/>
                <w:szCs w:val="20"/>
                <w:lang w:val="en-US"/>
              </w:rPr>
            </w:pPr>
            <w:r>
              <w:rPr>
                <w:sz w:val="20"/>
                <w:szCs w:val="20"/>
                <w:lang w:val="en-US"/>
              </w:rPr>
              <w:t>0.3745</w:t>
            </w:r>
          </w:p>
          <w:p w14:paraId="78E9ADE5"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142" w:type="dxa"/>
            <w:gridSpan w:val="2"/>
            <w:tcBorders>
              <w:top w:val="single" w:sz="6" w:space="0" w:color="auto"/>
              <w:bottom w:val="single" w:sz="6" w:space="0" w:color="auto"/>
            </w:tcBorders>
            <w:vAlign w:val="center"/>
          </w:tcPr>
          <w:p w14:paraId="37C11EDB" w14:textId="77777777" w:rsidR="00A25D23" w:rsidRDefault="00A25D23" w:rsidP="008A0E75">
            <w:pPr>
              <w:spacing w:line="276" w:lineRule="auto"/>
              <w:jc w:val="center"/>
              <w:rPr>
                <w:sz w:val="20"/>
                <w:szCs w:val="20"/>
                <w:lang w:val="en-US"/>
              </w:rPr>
            </w:pPr>
            <w:r>
              <w:rPr>
                <w:sz w:val="20"/>
                <w:szCs w:val="20"/>
                <w:lang w:val="en-US"/>
              </w:rPr>
              <w:t>0.3745</w:t>
            </w:r>
          </w:p>
          <w:p w14:paraId="06C98A5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701" w:type="dxa"/>
            <w:tcBorders>
              <w:top w:val="single" w:sz="6" w:space="0" w:color="auto"/>
              <w:bottom w:val="single" w:sz="6" w:space="0" w:color="auto"/>
            </w:tcBorders>
            <w:vAlign w:val="center"/>
          </w:tcPr>
          <w:p w14:paraId="7CCD93E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F833D93" w14:textId="77777777" w:rsidTr="008A0E75">
        <w:trPr>
          <w:trHeight w:val="380"/>
        </w:trPr>
        <w:tc>
          <w:tcPr>
            <w:tcW w:w="1986" w:type="dxa"/>
            <w:gridSpan w:val="2"/>
            <w:tcBorders>
              <w:top w:val="single" w:sz="6" w:space="0" w:color="auto"/>
              <w:bottom w:val="single" w:sz="6" w:space="0" w:color="auto"/>
            </w:tcBorders>
            <w:vAlign w:val="center"/>
          </w:tcPr>
          <w:p w14:paraId="5AC14F9B" w14:textId="77777777" w:rsidR="00A25D23" w:rsidRPr="00ED536B" w:rsidRDefault="00A25D23" w:rsidP="008A0E75">
            <w:pPr>
              <w:spacing w:line="276" w:lineRule="auto"/>
              <w:jc w:val="center"/>
              <w:rPr>
                <w:sz w:val="20"/>
                <w:szCs w:val="20"/>
                <w:lang w:val="en-US"/>
              </w:rPr>
            </w:pPr>
            <w:r w:rsidRPr="002A1510">
              <w:rPr>
                <w:i/>
                <w:sz w:val="20"/>
                <w:szCs w:val="20"/>
                <w:lang w:val="en-US"/>
              </w:rPr>
              <w:t>AT</w:t>
            </w:r>
            <w:r>
              <w:rPr>
                <w:sz w:val="20"/>
                <w:szCs w:val="20"/>
                <w:lang w:val="en-US"/>
              </w:rPr>
              <w:t xml:space="preserve"> (d)</w:t>
            </w:r>
          </w:p>
        </w:tc>
        <w:tc>
          <w:tcPr>
            <w:tcW w:w="11482" w:type="dxa"/>
            <w:gridSpan w:val="14"/>
            <w:tcBorders>
              <w:top w:val="single" w:sz="6" w:space="0" w:color="auto"/>
              <w:bottom w:val="single" w:sz="6" w:space="0" w:color="auto"/>
            </w:tcBorders>
            <w:vAlign w:val="center"/>
          </w:tcPr>
          <w:p w14:paraId="4517D83B"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 </w:t>
            </w:r>
            <w:r w:rsidRPr="002A1510">
              <w:rPr>
                <w:sz w:val="20"/>
                <w:szCs w:val="20"/>
                <w:lang w:val="en-US"/>
              </w:rPr>
              <w:t>· 365</w:t>
            </w:r>
            <w:r>
              <w:rPr>
                <w:sz w:val="20"/>
                <w:szCs w:val="20"/>
                <w:lang w:val="en-US"/>
              </w:rPr>
              <w:t xml:space="preserve"> d y</w:t>
            </w:r>
            <w:r>
              <w:rPr>
                <w:sz w:val="20"/>
                <w:szCs w:val="20"/>
                <w:vertAlign w:val="superscript"/>
                <w:lang w:val="en-US"/>
              </w:rPr>
              <w:t>-1</w:t>
            </w:r>
            <w:r>
              <w:rPr>
                <w:sz w:val="20"/>
                <w:szCs w:val="20"/>
                <w:lang w:val="en-US"/>
              </w:rPr>
              <w:t xml:space="preserve"> = 28,470 d</w:t>
            </w:r>
            <w:r w:rsidRPr="002A1510">
              <w:rPr>
                <w:sz w:val="20"/>
                <w:szCs w:val="20"/>
                <w:lang w:val="en-US"/>
              </w:rPr>
              <w:t xml:space="preserve"> (Carcinogenic effects)</w:t>
            </w:r>
          </w:p>
          <w:p w14:paraId="3ECF30FE" w14:textId="77777777" w:rsidR="00A25D23" w:rsidRPr="002A1510" w:rsidRDefault="00A25D23" w:rsidP="008A0E75">
            <w:pPr>
              <w:spacing w:line="276" w:lineRule="auto"/>
              <w:jc w:val="center"/>
              <w:rPr>
                <w:sz w:val="20"/>
                <w:szCs w:val="20"/>
                <w:lang w:val="en-US"/>
              </w:rPr>
            </w:pPr>
            <w:proofErr w:type="spellStart"/>
            <w:r w:rsidRPr="002A1510">
              <w:rPr>
                <w:i/>
                <w:sz w:val="20"/>
                <w:szCs w:val="20"/>
                <w:lang w:val="en-US"/>
              </w:rPr>
              <w:t>Δt</w:t>
            </w:r>
            <w:proofErr w:type="spellEnd"/>
            <w:r>
              <w:rPr>
                <w:sz w:val="20"/>
                <w:szCs w:val="20"/>
                <w:lang w:val="en-US"/>
              </w:rPr>
              <w:t xml:space="preserve"> (y)</w:t>
            </w:r>
            <w:r w:rsidRPr="002A1510">
              <w:rPr>
                <w:sz w:val="20"/>
                <w:szCs w:val="20"/>
                <w:lang w:val="en-US"/>
              </w:rPr>
              <w:t xml:space="preserve"> · 365</w:t>
            </w:r>
            <w:r>
              <w:rPr>
                <w:sz w:val="20"/>
                <w:szCs w:val="20"/>
                <w:lang w:val="en-US"/>
              </w:rPr>
              <w:t xml:space="preserve"> d y</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6" w:space="0" w:color="auto"/>
            </w:tcBorders>
            <w:vAlign w:val="center"/>
          </w:tcPr>
          <w:p w14:paraId="2D9746C8"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7AF9BD39" w14:textId="77777777" w:rsidTr="008A0E75">
        <w:trPr>
          <w:trHeight w:val="380"/>
        </w:trPr>
        <w:tc>
          <w:tcPr>
            <w:tcW w:w="1986" w:type="dxa"/>
            <w:gridSpan w:val="2"/>
            <w:tcBorders>
              <w:top w:val="single" w:sz="6" w:space="0" w:color="auto"/>
              <w:bottom w:val="single" w:sz="4" w:space="0" w:color="auto"/>
            </w:tcBorders>
            <w:vAlign w:val="center"/>
          </w:tcPr>
          <w:p w14:paraId="08DDFEDB" w14:textId="77777777" w:rsidR="00A25D23" w:rsidRPr="00ED536B" w:rsidRDefault="00A25D23" w:rsidP="008A0E75">
            <w:pPr>
              <w:spacing w:line="276" w:lineRule="auto"/>
              <w:jc w:val="center"/>
              <w:rPr>
                <w:sz w:val="20"/>
                <w:szCs w:val="20"/>
                <w:vertAlign w:val="subscript"/>
                <w:lang w:val="en-US"/>
              </w:rPr>
            </w:pPr>
            <w:proofErr w:type="spellStart"/>
            <w:r w:rsidRPr="002A1510">
              <w:rPr>
                <w:i/>
                <w:sz w:val="20"/>
                <w:szCs w:val="20"/>
                <w:lang w:val="en-US"/>
              </w:rPr>
              <w:t>AT</w:t>
            </w:r>
            <w:r w:rsidRPr="002A1510">
              <w:rPr>
                <w:i/>
                <w:sz w:val="20"/>
                <w:szCs w:val="20"/>
                <w:vertAlign w:val="subscript"/>
                <w:lang w:val="en-US"/>
              </w:rPr>
              <w:t>h</w:t>
            </w:r>
            <w:proofErr w:type="spellEnd"/>
            <w:r>
              <w:rPr>
                <w:sz w:val="20"/>
                <w:szCs w:val="20"/>
                <w:vertAlign w:val="subscript"/>
                <w:lang w:val="en-US"/>
              </w:rPr>
              <w:t xml:space="preserve"> </w:t>
            </w:r>
            <w:r>
              <w:rPr>
                <w:sz w:val="20"/>
                <w:szCs w:val="20"/>
                <w:lang w:val="en-US"/>
              </w:rPr>
              <w:t>(h)</w:t>
            </w:r>
          </w:p>
        </w:tc>
        <w:tc>
          <w:tcPr>
            <w:tcW w:w="11482" w:type="dxa"/>
            <w:gridSpan w:val="14"/>
            <w:tcBorders>
              <w:top w:val="single" w:sz="6" w:space="0" w:color="auto"/>
              <w:bottom w:val="single" w:sz="4" w:space="0" w:color="auto"/>
            </w:tcBorders>
            <w:vAlign w:val="center"/>
          </w:tcPr>
          <w:p w14:paraId="4786D1DA"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w:t>
            </w:r>
            <w:r w:rsidRPr="00B60341">
              <w:rPr>
                <w:sz w:val="20"/>
                <w:szCs w:val="20"/>
                <w:lang w:val="en-US"/>
              </w:rPr>
              <w:t xml:space="preserve"> </w:t>
            </w:r>
            <w:r w:rsidRPr="002A1510">
              <w:rPr>
                <w:sz w:val="20"/>
                <w:szCs w:val="20"/>
                <w:lang w:val="en-US"/>
              </w:rPr>
              <w:t>·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w:t>
            </w:r>
            <w:r>
              <w:rPr>
                <w:sz w:val="20"/>
                <w:szCs w:val="20"/>
                <w:lang w:val="en-US"/>
              </w:rPr>
              <w:t>= 683,28</w:t>
            </w:r>
            <w:r w:rsidRPr="002A1510">
              <w:rPr>
                <w:sz w:val="20"/>
                <w:szCs w:val="20"/>
                <w:lang w:val="en-US"/>
              </w:rPr>
              <w:t>0</w:t>
            </w:r>
            <w:r>
              <w:rPr>
                <w:sz w:val="20"/>
                <w:szCs w:val="20"/>
                <w:lang w:val="en-US"/>
              </w:rPr>
              <w:t xml:space="preserve"> h</w:t>
            </w:r>
            <w:r w:rsidRPr="002A1510">
              <w:rPr>
                <w:sz w:val="20"/>
                <w:szCs w:val="20"/>
                <w:lang w:val="en-US"/>
              </w:rPr>
              <w:t xml:space="preserve"> (Carcinogenic effects)</w:t>
            </w:r>
          </w:p>
          <w:p w14:paraId="1A2D7E2D" w14:textId="77777777" w:rsidR="00A25D23" w:rsidRPr="002A1510" w:rsidRDefault="00A25D23" w:rsidP="008A0E75">
            <w:pPr>
              <w:spacing w:line="276" w:lineRule="auto"/>
              <w:jc w:val="center"/>
              <w:rPr>
                <w:sz w:val="20"/>
                <w:szCs w:val="20"/>
                <w:lang w:val="en-US"/>
              </w:rPr>
            </w:pPr>
            <w:proofErr w:type="spellStart"/>
            <w:r w:rsidRPr="002A1510">
              <w:rPr>
                <w:i/>
                <w:sz w:val="20"/>
                <w:szCs w:val="20"/>
                <w:lang w:val="en-US"/>
              </w:rPr>
              <w:t>Δt</w:t>
            </w:r>
            <w:proofErr w:type="spellEnd"/>
            <w:r>
              <w:rPr>
                <w:i/>
                <w:sz w:val="20"/>
                <w:szCs w:val="20"/>
                <w:lang w:val="en-US"/>
              </w:rPr>
              <w:t xml:space="preserve"> </w:t>
            </w:r>
            <w:r>
              <w:rPr>
                <w:sz w:val="20"/>
                <w:szCs w:val="20"/>
                <w:lang w:val="en-US"/>
              </w:rPr>
              <w:t>(y)</w:t>
            </w:r>
            <w:r w:rsidRPr="002A1510">
              <w:rPr>
                <w:sz w:val="20"/>
                <w:szCs w:val="20"/>
                <w:lang w:val="en-US"/>
              </w:rPr>
              <w:t xml:space="preserve"> ·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4" w:space="0" w:color="auto"/>
            </w:tcBorders>
            <w:vAlign w:val="center"/>
          </w:tcPr>
          <w:p w14:paraId="5E4E3FFD"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29BF0B0F" w14:textId="77777777" w:rsidTr="008A0E75">
        <w:trPr>
          <w:trHeight w:val="380"/>
        </w:trPr>
        <w:tc>
          <w:tcPr>
            <w:tcW w:w="1986" w:type="dxa"/>
            <w:gridSpan w:val="2"/>
            <w:tcBorders>
              <w:top w:val="single" w:sz="4" w:space="0" w:color="auto"/>
              <w:bottom w:val="single" w:sz="4" w:space="0" w:color="auto"/>
            </w:tcBorders>
            <w:vAlign w:val="center"/>
          </w:tcPr>
          <w:p w14:paraId="59DD3E9F" w14:textId="77777777" w:rsidR="00A25D23" w:rsidRPr="00ED536B" w:rsidRDefault="00A25D23" w:rsidP="008A0E75">
            <w:pPr>
              <w:spacing w:line="276" w:lineRule="auto"/>
              <w:jc w:val="center"/>
              <w:rPr>
                <w:sz w:val="20"/>
                <w:szCs w:val="20"/>
                <w:lang w:val="en-US"/>
              </w:rPr>
            </w:pPr>
            <w:r w:rsidRPr="002A1510">
              <w:rPr>
                <w:i/>
                <w:sz w:val="20"/>
                <w:szCs w:val="20"/>
                <w:lang w:val="en-US"/>
              </w:rPr>
              <w:t>BW</w:t>
            </w:r>
            <w:r>
              <w:rPr>
                <w:sz w:val="20"/>
                <w:szCs w:val="20"/>
                <w:lang w:val="en-US"/>
              </w:rPr>
              <w:t xml:space="preserve"> (kg)</w:t>
            </w:r>
          </w:p>
        </w:tc>
        <w:tc>
          <w:tcPr>
            <w:tcW w:w="1268" w:type="dxa"/>
            <w:tcBorders>
              <w:top w:val="single" w:sz="4" w:space="0" w:color="auto"/>
              <w:bottom w:val="single" w:sz="4" w:space="0" w:color="auto"/>
            </w:tcBorders>
            <w:vAlign w:val="center"/>
          </w:tcPr>
          <w:p w14:paraId="17B850FA" w14:textId="77777777" w:rsidR="00A25D23" w:rsidRDefault="00A25D23" w:rsidP="008A0E75">
            <w:pPr>
              <w:spacing w:line="276" w:lineRule="auto"/>
              <w:jc w:val="center"/>
              <w:rPr>
                <w:sz w:val="20"/>
                <w:szCs w:val="20"/>
                <w:lang w:val="en-US"/>
              </w:rPr>
            </w:pPr>
            <w:r>
              <w:rPr>
                <w:sz w:val="20"/>
                <w:szCs w:val="20"/>
                <w:lang w:val="en-US"/>
              </w:rPr>
              <w:t>11.4</w:t>
            </w:r>
          </w:p>
        </w:tc>
        <w:tc>
          <w:tcPr>
            <w:tcW w:w="1275" w:type="dxa"/>
            <w:tcBorders>
              <w:top w:val="single" w:sz="4" w:space="0" w:color="auto"/>
              <w:bottom w:val="single" w:sz="4" w:space="0" w:color="auto"/>
            </w:tcBorders>
            <w:vAlign w:val="center"/>
          </w:tcPr>
          <w:p w14:paraId="150739ED" w14:textId="77777777" w:rsidR="00A25D23" w:rsidRDefault="00A25D23" w:rsidP="008A0E75">
            <w:pPr>
              <w:spacing w:line="276" w:lineRule="auto"/>
              <w:jc w:val="center"/>
              <w:rPr>
                <w:sz w:val="20"/>
                <w:szCs w:val="20"/>
                <w:lang w:val="en-US"/>
              </w:rPr>
            </w:pPr>
            <w:r>
              <w:rPr>
                <w:sz w:val="20"/>
                <w:szCs w:val="20"/>
                <w:lang w:val="en-US"/>
              </w:rPr>
              <w:t>13.8</w:t>
            </w:r>
          </w:p>
        </w:tc>
        <w:tc>
          <w:tcPr>
            <w:tcW w:w="1284" w:type="dxa"/>
            <w:tcBorders>
              <w:top w:val="single" w:sz="4" w:space="0" w:color="auto"/>
              <w:bottom w:val="single" w:sz="4" w:space="0" w:color="auto"/>
            </w:tcBorders>
            <w:vAlign w:val="center"/>
          </w:tcPr>
          <w:p w14:paraId="5145E7ED" w14:textId="77777777" w:rsidR="00A25D23" w:rsidRPr="002A1510" w:rsidRDefault="00A25D23" w:rsidP="008A0E75">
            <w:pPr>
              <w:spacing w:line="276" w:lineRule="auto"/>
              <w:jc w:val="center"/>
              <w:rPr>
                <w:sz w:val="20"/>
                <w:szCs w:val="20"/>
                <w:lang w:val="en-US"/>
              </w:rPr>
            </w:pPr>
            <w:r>
              <w:rPr>
                <w:sz w:val="20"/>
                <w:szCs w:val="20"/>
                <w:lang w:val="en-US"/>
              </w:rPr>
              <w:t>18.6</w:t>
            </w:r>
          </w:p>
        </w:tc>
        <w:tc>
          <w:tcPr>
            <w:tcW w:w="1268" w:type="dxa"/>
            <w:tcBorders>
              <w:top w:val="single" w:sz="4" w:space="0" w:color="auto"/>
              <w:bottom w:val="single" w:sz="4" w:space="0" w:color="auto"/>
            </w:tcBorders>
            <w:vAlign w:val="center"/>
          </w:tcPr>
          <w:p w14:paraId="01DF5D19" w14:textId="77777777" w:rsidR="00A25D23" w:rsidRPr="002A1510" w:rsidRDefault="00A25D23" w:rsidP="008A0E75">
            <w:pPr>
              <w:spacing w:line="276" w:lineRule="auto"/>
              <w:jc w:val="center"/>
              <w:rPr>
                <w:sz w:val="20"/>
                <w:szCs w:val="20"/>
                <w:lang w:val="en-US"/>
              </w:rPr>
            </w:pPr>
            <w:r>
              <w:rPr>
                <w:sz w:val="20"/>
                <w:szCs w:val="20"/>
                <w:lang w:val="en-US"/>
              </w:rPr>
              <w:t>31.8</w:t>
            </w:r>
          </w:p>
        </w:tc>
        <w:tc>
          <w:tcPr>
            <w:tcW w:w="1276" w:type="dxa"/>
            <w:gridSpan w:val="2"/>
            <w:tcBorders>
              <w:top w:val="single" w:sz="4" w:space="0" w:color="auto"/>
              <w:bottom w:val="single" w:sz="4" w:space="0" w:color="auto"/>
            </w:tcBorders>
            <w:vAlign w:val="center"/>
          </w:tcPr>
          <w:p w14:paraId="71032E11" w14:textId="77777777" w:rsidR="00A25D23" w:rsidRPr="002A1510" w:rsidRDefault="00A25D23" w:rsidP="008A0E75">
            <w:pPr>
              <w:spacing w:line="276" w:lineRule="auto"/>
              <w:jc w:val="center"/>
              <w:rPr>
                <w:sz w:val="20"/>
                <w:szCs w:val="20"/>
                <w:lang w:val="en-US"/>
              </w:rPr>
            </w:pPr>
            <w:r>
              <w:rPr>
                <w:sz w:val="20"/>
                <w:szCs w:val="20"/>
                <w:lang w:val="en-US"/>
              </w:rPr>
              <w:t>56.8</w:t>
            </w:r>
          </w:p>
        </w:tc>
        <w:tc>
          <w:tcPr>
            <w:tcW w:w="1275" w:type="dxa"/>
            <w:gridSpan w:val="2"/>
            <w:tcBorders>
              <w:top w:val="single" w:sz="4" w:space="0" w:color="auto"/>
              <w:bottom w:val="single" w:sz="4" w:space="0" w:color="auto"/>
            </w:tcBorders>
            <w:vAlign w:val="center"/>
          </w:tcPr>
          <w:p w14:paraId="220B45E7" w14:textId="77777777" w:rsidR="00A25D23" w:rsidRDefault="00A25D23" w:rsidP="008A0E75">
            <w:pPr>
              <w:spacing w:line="276" w:lineRule="auto"/>
              <w:jc w:val="center"/>
              <w:rPr>
                <w:sz w:val="20"/>
                <w:szCs w:val="20"/>
                <w:lang w:val="en-US"/>
              </w:rPr>
            </w:pPr>
            <w:r>
              <w:rPr>
                <w:sz w:val="20"/>
                <w:szCs w:val="20"/>
                <w:lang w:val="en-US"/>
              </w:rPr>
              <w:t>71.6</w:t>
            </w:r>
          </w:p>
        </w:tc>
        <w:tc>
          <w:tcPr>
            <w:tcW w:w="1276" w:type="dxa"/>
            <w:gridSpan w:val="2"/>
            <w:tcBorders>
              <w:top w:val="single" w:sz="4" w:space="0" w:color="auto"/>
              <w:bottom w:val="single" w:sz="4" w:space="0" w:color="auto"/>
            </w:tcBorders>
            <w:vAlign w:val="center"/>
          </w:tcPr>
          <w:p w14:paraId="258585E9" w14:textId="77777777" w:rsidR="00A25D23" w:rsidRPr="002A1510" w:rsidRDefault="00A25D23" w:rsidP="008A0E75">
            <w:pPr>
              <w:spacing w:line="276" w:lineRule="auto"/>
              <w:jc w:val="center"/>
              <w:rPr>
                <w:sz w:val="20"/>
                <w:szCs w:val="20"/>
                <w:lang w:val="en-US"/>
              </w:rPr>
            </w:pPr>
            <w:r>
              <w:rPr>
                <w:sz w:val="20"/>
                <w:szCs w:val="20"/>
                <w:lang w:val="en-US"/>
              </w:rPr>
              <w:t>71.6</w:t>
            </w:r>
          </w:p>
        </w:tc>
        <w:tc>
          <w:tcPr>
            <w:tcW w:w="1418" w:type="dxa"/>
            <w:gridSpan w:val="2"/>
            <w:tcBorders>
              <w:top w:val="single" w:sz="4" w:space="0" w:color="auto"/>
              <w:bottom w:val="single" w:sz="4" w:space="0" w:color="auto"/>
            </w:tcBorders>
            <w:vAlign w:val="center"/>
          </w:tcPr>
          <w:p w14:paraId="0E6F1111"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142" w:type="dxa"/>
            <w:gridSpan w:val="2"/>
            <w:tcBorders>
              <w:top w:val="single" w:sz="4" w:space="0" w:color="auto"/>
              <w:bottom w:val="single" w:sz="4" w:space="0" w:color="auto"/>
            </w:tcBorders>
            <w:vAlign w:val="center"/>
          </w:tcPr>
          <w:p w14:paraId="55EE6F59"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701" w:type="dxa"/>
            <w:tcBorders>
              <w:top w:val="single" w:sz="4" w:space="0" w:color="auto"/>
              <w:bottom w:val="single" w:sz="4" w:space="0" w:color="auto"/>
            </w:tcBorders>
            <w:vAlign w:val="center"/>
          </w:tcPr>
          <w:p w14:paraId="37328FAF"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E115A1E" w14:textId="77777777" w:rsidTr="008A0E75">
        <w:trPr>
          <w:trHeight w:val="380"/>
        </w:trPr>
        <w:tc>
          <w:tcPr>
            <w:tcW w:w="1986" w:type="dxa"/>
            <w:gridSpan w:val="2"/>
            <w:tcBorders>
              <w:top w:val="single" w:sz="4" w:space="0" w:color="auto"/>
              <w:bottom w:val="single" w:sz="6" w:space="0" w:color="auto"/>
            </w:tcBorders>
            <w:vAlign w:val="center"/>
          </w:tcPr>
          <w:p w14:paraId="21181A2A" w14:textId="77777777" w:rsidR="00A25D23" w:rsidRPr="00FF3278" w:rsidRDefault="00A25D23" w:rsidP="008A0E75">
            <w:pPr>
              <w:spacing w:line="276" w:lineRule="auto"/>
              <w:jc w:val="center"/>
              <w:rPr>
                <w:sz w:val="20"/>
                <w:szCs w:val="20"/>
                <w:vertAlign w:val="subscript"/>
                <w:lang w:val="en-US"/>
              </w:rPr>
            </w:pPr>
            <w:proofErr w:type="spellStart"/>
            <w:r w:rsidRPr="002A1510">
              <w:rPr>
                <w:i/>
                <w:sz w:val="20"/>
                <w:szCs w:val="20"/>
                <w:lang w:val="en-US"/>
              </w:rPr>
              <w:t>C</w:t>
            </w:r>
            <w:r w:rsidRPr="002A1510">
              <w:rPr>
                <w:i/>
                <w:sz w:val="20"/>
                <w:szCs w:val="20"/>
                <w:vertAlign w:val="subscript"/>
                <w:lang w:val="en-US"/>
              </w:rPr>
              <w:t>air</w:t>
            </w:r>
            <w:proofErr w:type="spellEnd"/>
            <w:r>
              <w:rPr>
                <w:sz w:val="20"/>
                <w:szCs w:val="20"/>
                <w:vertAlign w:val="subscript"/>
                <w:lang w:val="en-US"/>
              </w:rPr>
              <w:t xml:space="preserve"> </w:t>
            </w:r>
            <w:r>
              <w:rPr>
                <w:sz w:val="20"/>
                <w:szCs w:val="20"/>
                <w:lang w:val="en-US"/>
              </w:rPr>
              <w:t>(mg 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6" w:space="0" w:color="auto"/>
            </w:tcBorders>
            <w:vAlign w:val="center"/>
          </w:tcPr>
          <w:p w14:paraId="34B07D53"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4" w:space="0" w:color="auto"/>
              <w:bottom w:val="single" w:sz="6" w:space="0" w:color="auto"/>
            </w:tcBorders>
            <w:vAlign w:val="center"/>
          </w:tcPr>
          <w:p w14:paraId="71C4983D"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573D34C1" w14:textId="77777777" w:rsidTr="008A0E75">
        <w:trPr>
          <w:trHeight w:val="380"/>
        </w:trPr>
        <w:tc>
          <w:tcPr>
            <w:tcW w:w="1986" w:type="dxa"/>
            <w:gridSpan w:val="2"/>
            <w:tcBorders>
              <w:top w:val="single" w:sz="6" w:space="0" w:color="auto"/>
              <w:bottom w:val="single" w:sz="6" w:space="0" w:color="auto"/>
            </w:tcBorders>
            <w:vAlign w:val="center"/>
          </w:tcPr>
          <w:p w14:paraId="1ABAF16A" w14:textId="77777777" w:rsidR="00A25D23" w:rsidRPr="000225F0" w:rsidRDefault="00A25D23" w:rsidP="008A0E75">
            <w:pPr>
              <w:spacing w:line="276" w:lineRule="auto"/>
              <w:jc w:val="center"/>
              <w:rPr>
                <w:sz w:val="20"/>
                <w:szCs w:val="20"/>
                <w:lang w:val="en-US"/>
              </w:rPr>
            </w:pPr>
            <w:proofErr w:type="spellStart"/>
            <w:r w:rsidRPr="002A1510">
              <w:rPr>
                <w:i/>
                <w:sz w:val="20"/>
                <w:szCs w:val="20"/>
                <w:lang w:val="en-US"/>
              </w:rPr>
              <w:t>C</w:t>
            </w:r>
            <w:r w:rsidRPr="002A1510">
              <w:rPr>
                <w:i/>
                <w:sz w:val="20"/>
                <w:szCs w:val="20"/>
                <w:vertAlign w:val="subscript"/>
                <w:lang w:val="en-US"/>
              </w:rPr>
              <w:t>soil</w:t>
            </w:r>
            <w:proofErr w:type="spellEnd"/>
            <w:r>
              <w:rPr>
                <w:sz w:val="20"/>
                <w:szCs w:val="20"/>
                <w:lang w:val="en-US"/>
              </w:rPr>
              <w:t xml:space="preserve"> (mg kg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10CC320C"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04A8B53A"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4C6611E7" w14:textId="77777777" w:rsidTr="008A0E75">
        <w:trPr>
          <w:trHeight w:val="380"/>
        </w:trPr>
        <w:tc>
          <w:tcPr>
            <w:tcW w:w="1986" w:type="dxa"/>
            <w:gridSpan w:val="2"/>
            <w:tcBorders>
              <w:top w:val="single" w:sz="6" w:space="0" w:color="auto"/>
              <w:bottom w:val="single" w:sz="6" w:space="0" w:color="auto"/>
            </w:tcBorders>
            <w:vAlign w:val="center"/>
          </w:tcPr>
          <w:p w14:paraId="621DC347" w14:textId="77777777" w:rsidR="00A25D23" w:rsidRPr="00FF3278" w:rsidRDefault="00A25D23" w:rsidP="008A0E75">
            <w:pPr>
              <w:spacing w:line="276" w:lineRule="auto"/>
              <w:jc w:val="center"/>
              <w:rPr>
                <w:i/>
                <w:sz w:val="20"/>
                <w:szCs w:val="20"/>
                <w:vertAlign w:val="subscript"/>
                <w:lang w:val="en-US"/>
              </w:rPr>
            </w:pPr>
            <w:proofErr w:type="spellStart"/>
            <w:r w:rsidRPr="002A1510">
              <w:rPr>
                <w:i/>
                <w:sz w:val="20"/>
                <w:szCs w:val="20"/>
                <w:lang w:val="en-US"/>
              </w:rPr>
              <w:t>C</w:t>
            </w:r>
            <w:r w:rsidRPr="002A1510">
              <w:rPr>
                <w:i/>
                <w:sz w:val="20"/>
                <w:szCs w:val="20"/>
                <w:vertAlign w:val="subscript"/>
                <w:lang w:val="en-US"/>
              </w:rPr>
              <w:t>water</w:t>
            </w:r>
            <w:proofErr w:type="spellEnd"/>
            <w:r>
              <w:rPr>
                <w:i/>
                <w:sz w:val="20"/>
                <w:szCs w:val="20"/>
                <w:vertAlign w:val="subscript"/>
                <w:lang w:val="en-US"/>
              </w:rPr>
              <w:t xml:space="preserve"> </w:t>
            </w:r>
            <w:r>
              <w:rPr>
                <w:sz w:val="20"/>
                <w:szCs w:val="20"/>
                <w:lang w:val="en-US"/>
              </w:rPr>
              <w:t>(mg L</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2AD95B9A"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6F9BF07E"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3D1C71D4" w14:textId="77777777" w:rsidTr="008A0E75">
        <w:trPr>
          <w:trHeight w:val="380"/>
        </w:trPr>
        <w:tc>
          <w:tcPr>
            <w:tcW w:w="1986" w:type="dxa"/>
            <w:gridSpan w:val="2"/>
            <w:tcBorders>
              <w:top w:val="single" w:sz="6" w:space="0" w:color="auto"/>
              <w:bottom w:val="single" w:sz="4" w:space="0" w:color="auto"/>
            </w:tcBorders>
            <w:vAlign w:val="center"/>
          </w:tcPr>
          <w:p w14:paraId="02C995C7"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1</w:t>
            </w:r>
            <w:r>
              <w:rPr>
                <w:sz w:val="20"/>
                <w:szCs w:val="20"/>
                <w:lang w:val="en-US"/>
              </w:rPr>
              <w:t xml:space="preserve"> (kg mg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4" w:space="0" w:color="auto"/>
            </w:tcBorders>
            <w:vAlign w:val="center"/>
          </w:tcPr>
          <w:p w14:paraId="0A839204"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-6</w:t>
            </w:r>
          </w:p>
        </w:tc>
        <w:tc>
          <w:tcPr>
            <w:tcW w:w="1701" w:type="dxa"/>
            <w:tcBorders>
              <w:top w:val="single" w:sz="6" w:space="0" w:color="auto"/>
              <w:bottom w:val="single" w:sz="4" w:space="0" w:color="auto"/>
            </w:tcBorders>
            <w:vAlign w:val="center"/>
          </w:tcPr>
          <w:p w14:paraId="7485691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41315430" w14:textId="77777777" w:rsidTr="008A0E75">
        <w:trPr>
          <w:trHeight w:val="380"/>
        </w:trPr>
        <w:tc>
          <w:tcPr>
            <w:tcW w:w="1986" w:type="dxa"/>
            <w:gridSpan w:val="2"/>
            <w:tcBorders>
              <w:top w:val="single" w:sz="4" w:space="0" w:color="auto"/>
              <w:bottom w:val="single" w:sz="4" w:space="0" w:color="auto"/>
            </w:tcBorders>
            <w:vAlign w:val="center"/>
          </w:tcPr>
          <w:p w14:paraId="0747B9A5"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2</w:t>
            </w:r>
            <w:r>
              <w:rPr>
                <w:sz w:val="20"/>
                <w:szCs w:val="20"/>
                <w:lang w:val="en-US"/>
              </w:rPr>
              <w:t xml:space="preserve"> (L cm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4" w:space="0" w:color="auto"/>
            </w:tcBorders>
            <w:vAlign w:val="center"/>
          </w:tcPr>
          <w:p w14:paraId="65A9AA6F"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-3</w:t>
            </w:r>
          </w:p>
        </w:tc>
        <w:tc>
          <w:tcPr>
            <w:tcW w:w="1701" w:type="dxa"/>
            <w:tcBorders>
              <w:top w:val="single" w:sz="4" w:space="0" w:color="auto"/>
              <w:bottom w:val="single" w:sz="4" w:space="0" w:color="auto"/>
            </w:tcBorders>
            <w:vAlign w:val="center"/>
          </w:tcPr>
          <w:p w14:paraId="38FC46B5"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E90906" w14:paraId="3BBE56DA" w14:textId="77777777" w:rsidTr="008A0E75">
        <w:trPr>
          <w:trHeight w:val="380"/>
        </w:trPr>
        <w:tc>
          <w:tcPr>
            <w:tcW w:w="1986" w:type="dxa"/>
            <w:gridSpan w:val="2"/>
            <w:tcBorders>
              <w:top w:val="single" w:sz="4" w:space="0" w:color="auto"/>
              <w:bottom w:val="single" w:sz="4" w:space="0" w:color="auto"/>
            </w:tcBorders>
            <w:vAlign w:val="center"/>
          </w:tcPr>
          <w:p w14:paraId="1C778563" w14:textId="77777777" w:rsidR="00A25D23" w:rsidRPr="007A3CBF" w:rsidRDefault="00A25D23" w:rsidP="008A0E75">
            <w:pPr>
              <w:spacing w:line="276" w:lineRule="auto"/>
              <w:jc w:val="center"/>
              <w:rPr>
                <w:sz w:val="20"/>
                <w:szCs w:val="20"/>
                <w:lang w:val="en-US"/>
              </w:rPr>
            </w:pPr>
            <w:r w:rsidRPr="002A1510">
              <w:rPr>
                <w:i/>
                <w:sz w:val="20"/>
                <w:szCs w:val="20"/>
                <w:lang w:val="en-US"/>
              </w:rPr>
              <w:t>ED</w:t>
            </w:r>
            <w:r>
              <w:rPr>
                <w:sz w:val="20"/>
                <w:szCs w:val="20"/>
                <w:lang w:val="en-US"/>
              </w:rPr>
              <w:t xml:space="preserve"> (y)</w:t>
            </w:r>
          </w:p>
        </w:tc>
        <w:tc>
          <w:tcPr>
            <w:tcW w:w="1268" w:type="dxa"/>
            <w:tcBorders>
              <w:top w:val="single" w:sz="4" w:space="0" w:color="auto"/>
              <w:bottom w:val="single" w:sz="4" w:space="0" w:color="auto"/>
            </w:tcBorders>
            <w:vAlign w:val="center"/>
          </w:tcPr>
          <w:p w14:paraId="3044F989" w14:textId="77777777" w:rsidR="00A25D23" w:rsidRDefault="00A25D23" w:rsidP="008A0E75">
            <w:pPr>
              <w:spacing w:line="276" w:lineRule="auto"/>
              <w:jc w:val="center"/>
              <w:rPr>
                <w:sz w:val="20"/>
                <w:szCs w:val="20"/>
                <w:lang w:val="en-US"/>
              </w:rPr>
            </w:pPr>
          </w:p>
        </w:tc>
        <w:tc>
          <w:tcPr>
            <w:tcW w:w="1275" w:type="dxa"/>
            <w:tcBorders>
              <w:top w:val="single" w:sz="4" w:space="0" w:color="auto"/>
              <w:bottom w:val="single" w:sz="4" w:space="0" w:color="auto"/>
            </w:tcBorders>
            <w:vAlign w:val="center"/>
          </w:tcPr>
          <w:p w14:paraId="6125DD0D" w14:textId="77777777" w:rsidR="00A25D23" w:rsidRDefault="00A25D23" w:rsidP="008A0E75">
            <w:pPr>
              <w:spacing w:line="276" w:lineRule="auto"/>
              <w:jc w:val="center"/>
              <w:rPr>
                <w:sz w:val="20"/>
                <w:szCs w:val="20"/>
                <w:lang w:val="en-US"/>
              </w:rPr>
            </w:pPr>
          </w:p>
        </w:tc>
        <w:tc>
          <w:tcPr>
            <w:tcW w:w="1284" w:type="dxa"/>
            <w:tcBorders>
              <w:top w:val="single" w:sz="4" w:space="0" w:color="auto"/>
              <w:bottom w:val="single" w:sz="4" w:space="0" w:color="auto"/>
            </w:tcBorders>
            <w:vAlign w:val="center"/>
          </w:tcPr>
          <w:p w14:paraId="049E253A"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4206CBF5"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19CB3E16" w14:textId="77777777" w:rsidR="00A25D23" w:rsidRDefault="00A25D23" w:rsidP="008A0E75">
            <w:pPr>
              <w:spacing w:line="276" w:lineRule="auto"/>
              <w:jc w:val="center"/>
              <w:rPr>
                <w:sz w:val="20"/>
                <w:szCs w:val="20"/>
                <w:lang w:val="en-US"/>
              </w:rPr>
            </w:pPr>
          </w:p>
        </w:tc>
        <w:tc>
          <w:tcPr>
            <w:tcW w:w="1275" w:type="dxa"/>
            <w:gridSpan w:val="2"/>
            <w:tcBorders>
              <w:top w:val="single" w:sz="4" w:space="0" w:color="auto"/>
              <w:bottom w:val="single" w:sz="4" w:space="0" w:color="auto"/>
            </w:tcBorders>
            <w:vAlign w:val="center"/>
          </w:tcPr>
          <w:p w14:paraId="2519A1CB" w14:textId="77777777" w:rsidR="00A25D23" w:rsidRPr="002A1510"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6360AD61" w14:textId="77777777" w:rsidR="00A25D23" w:rsidRPr="002A1510" w:rsidRDefault="00A25D23" w:rsidP="008A0E75">
            <w:pPr>
              <w:spacing w:line="276" w:lineRule="auto"/>
              <w:jc w:val="center"/>
              <w:rPr>
                <w:sz w:val="20"/>
                <w:szCs w:val="20"/>
                <w:lang w:val="en-US"/>
              </w:rPr>
            </w:pPr>
          </w:p>
        </w:tc>
        <w:tc>
          <w:tcPr>
            <w:tcW w:w="1418" w:type="dxa"/>
            <w:gridSpan w:val="2"/>
            <w:tcBorders>
              <w:top w:val="single" w:sz="4" w:space="0" w:color="auto"/>
              <w:bottom w:val="single" w:sz="4" w:space="0" w:color="auto"/>
            </w:tcBorders>
            <w:vAlign w:val="center"/>
          </w:tcPr>
          <w:p w14:paraId="0EE84AC4" w14:textId="77777777" w:rsidR="00A25D23" w:rsidRPr="00753DE0" w:rsidRDefault="00A25D23" w:rsidP="008A0E75">
            <w:pPr>
              <w:jc w:val="center"/>
              <w:rPr>
                <w:sz w:val="20"/>
                <w:szCs w:val="20"/>
                <w:lang w:val="en-US"/>
              </w:rPr>
            </w:pPr>
          </w:p>
        </w:tc>
        <w:tc>
          <w:tcPr>
            <w:tcW w:w="1134" w:type="dxa"/>
            <w:tcBorders>
              <w:top w:val="single" w:sz="4" w:space="0" w:color="auto"/>
              <w:bottom w:val="single" w:sz="4" w:space="0" w:color="auto"/>
            </w:tcBorders>
            <w:vAlign w:val="center"/>
          </w:tcPr>
          <w:p w14:paraId="00890398" w14:textId="77777777" w:rsidR="00A25D23" w:rsidRPr="0079265C" w:rsidRDefault="00A25D23" w:rsidP="008A0E75">
            <w:pPr>
              <w:spacing w:line="276" w:lineRule="auto"/>
              <w:jc w:val="center"/>
              <w:rPr>
                <w:sz w:val="20"/>
                <w:szCs w:val="20"/>
                <w:vertAlign w:val="superscript"/>
                <w:lang w:val="en-US"/>
              </w:rPr>
            </w:pPr>
          </w:p>
        </w:tc>
        <w:tc>
          <w:tcPr>
            <w:tcW w:w="1701" w:type="dxa"/>
            <w:tcBorders>
              <w:top w:val="single" w:sz="4" w:space="0" w:color="auto"/>
              <w:bottom w:val="single" w:sz="4" w:space="0" w:color="auto"/>
            </w:tcBorders>
            <w:vAlign w:val="center"/>
          </w:tcPr>
          <w:p w14:paraId="235B8F26" w14:textId="77777777" w:rsidR="00A25D23"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p w14:paraId="0A8F6FBD"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0CFF0DAA" w14:textId="77777777" w:rsidTr="008A0E75">
        <w:trPr>
          <w:trHeight w:val="380"/>
        </w:trPr>
        <w:tc>
          <w:tcPr>
            <w:tcW w:w="1986" w:type="dxa"/>
            <w:gridSpan w:val="2"/>
            <w:tcBorders>
              <w:top w:val="single" w:sz="4" w:space="0" w:color="auto"/>
              <w:bottom w:val="single" w:sz="6" w:space="0" w:color="auto"/>
            </w:tcBorders>
            <w:vAlign w:val="center"/>
          </w:tcPr>
          <w:p w14:paraId="1016B956" w14:textId="77777777" w:rsidR="00A25D23" w:rsidRPr="007A3CBF" w:rsidRDefault="00A25D23" w:rsidP="008A0E75">
            <w:pPr>
              <w:spacing w:line="276" w:lineRule="auto"/>
              <w:jc w:val="center"/>
              <w:rPr>
                <w:sz w:val="20"/>
                <w:szCs w:val="20"/>
                <w:lang w:val="en-US"/>
              </w:rPr>
            </w:pPr>
            <w:r w:rsidRPr="002A1510">
              <w:rPr>
                <w:i/>
                <w:sz w:val="20"/>
                <w:szCs w:val="20"/>
                <w:lang w:val="en-US"/>
              </w:rPr>
              <w:t>EF</w:t>
            </w:r>
            <w:r>
              <w:rPr>
                <w:sz w:val="20"/>
                <w:szCs w:val="20"/>
                <w:lang w:val="en-US"/>
              </w:rPr>
              <w:t xml:space="preserve"> (d y</w:t>
            </w:r>
            <w:r>
              <w:rPr>
                <w:sz w:val="20"/>
                <w:szCs w:val="20"/>
                <w:vertAlign w:val="superscript"/>
                <w:lang w:val="en-US"/>
              </w:rPr>
              <w:t>-1</w:t>
            </w:r>
            <w:r>
              <w:rPr>
                <w:sz w:val="20"/>
                <w:szCs w:val="20"/>
                <w:lang w:val="en-US"/>
              </w:rPr>
              <w:t>)</w:t>
            </w:r>
          </w:p>
        </w:tc>
        <w:tc>
          <w:tcPr>
            <w:tcW w:w="11482" w:type="dxa"/>
            <w:gridSpan w:val="14"/>
            <w:tcBorders>
              <w:top w:val="single" w:sz="4" w:space="0" w:color="auto"/>
              <w:bottom w:val="single" w:sz="6" w:space="0" w:color="auto"/>
            </w:tcBorders>
            <w:vAlign w:val="center"/>
          </w:tcPr>
          <w:p w14:paraId="52D0C2A7" w14:textId="77777777" w:rsidR="00A25D23" w:rsidRPr="002A1510" w:rsidRDefault="00A25D23" w:rsidP="008A0E75">
            <w:pPr>
              <w:spacing w:line="276" w:lineRule="auto"/>
              <w:jc w:val="center"/>
              <w:rPr>
                <w:sz w:val="20"/>
                <w:szCs w:val="20"/>
                <w:lang w:val="en-US"/>
              </w:rPr>
            </w:pPr>
            <w:r w:rsidRPr="002A1510">
              <w:rPr>
                <w:sz w:val="20"/>
                <w:szCs w:val="20"/>
                <w:lang w:val="en-US"/>
              </w:rPr>
              <w:t>350 (</w:t>
            </w:r>
            <w:r>
              <w:rPr>
                <w:sz w:val="20"/>
                <w:szCs w:val="20"/>
                <w:lang w:val="en-US"/>
              </w:rPr>
              <w:t>Agricultural and r</w:t>
            </w:r>
            <w:r w:rsidRPr="002A1510">
              <w:rPr>
                <w:sz w:val="20"/>
                <w:szCs w:val="20"/>
                <w:lang w:val="en-US"/>
              </w:rPr>
              <w:t>esidential scenario)</w:t>
            </w:r>
          </w:p>
          <w:p w14:paraId="2DC8532A" w14:textId="77777777" w:rsidR="00A25D23" w:rsidRPr="002A1510" w:rsidRDefault="00A25D23" w:rsidP="008A0E75">
            <w:pPr>
              <w:spacing w:line="276" w:lineRule="auto"/>
              <w:jc w:val="center"/>
              <w:rPr>
                <w:sz w:val="20"/>
                <w:szCs w:val="20"/>
                <w:lang w:val="en-US"/>
              </w:rPr>
            </w:pPr>
            <w:r w:rsidRPr="002A1510">
              <w:rPr>
                <w:sz w:val="20"/>
                <w:szCs w:val="20"/>
                <w:lang w:val="en-US"/>
              </w:rPr>
              <w:t>250 (Worker)</w:t>
            </w:r>
          </w:p>
        </w:tc>
        <w:tc>
          <w:tcPr>
            <w:tcW w:w="1701" w:type="dxa"/>
            <w:tcBorders>
              <w:top w:val="single" w:sz="4" w:space="0" w:color="auto"/>
              <w:bottom w:val="single" w:sz="6" w:space="0" w:color="auto"/>
            </w:tcBorders>
            <w:vAlign w:val="center"/>
          </w:tcPr>
          <w:p w14:paraId="792B4B92"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4CEE5CF9" w14:textId="77777777" w:rsidTr="008A0E75">
        <w:trPr>
          <w:trHeight w:val="380"/>
        </w:trPr>
        <w:tc>
          <w:tcPr>
            <w:tcW w:w="1986" w:type="dxa"/>
            <w:gridSpan w:val="2"/>
            <w:tcBorders>
              <w:top w:val="single" w:sz="6" w:space="0" w:color="auto"/>
              <w:bottom w:val="single" w:sz="6" w:space="0" w:color="auto"/>
            </w:tcBorders>
            <w:vAlign w:val="center"/>
          </w:tcPr>
          <w:p w14:paraId="2FBBDC58" w14:textId="77777777" w:rsidR="00A25D23" w:rsidRPr="007A3CBF" w:rsidRDefault="00A25D23" w:rsidP="008A0E75">
            <w:pPr>
              <w:spacing w:line="276" w:lineRule="auto"/>
              <w:jc w:val="center"/>
              <w:rPr>
                <w:sz w:val="20"/>
                <w:szCs w:val="20"/>
                <w:lang w:val="en-US"/>
              </w:rPr>
            </w:pPr>
            <w:r w:rsidRPr="002A1510">
              <w:rPr>
                <w:i/>
                <w:sz w:val="20"/>
                <w:szCs w:val="20"/>
                <w:lang w:val="en-US"/>
              </w:rPr>
              <w:t>ET</w:t>
            </w:r>
            <w:r>
              <w:rPr>
                <w:sz w:val="20"/>
                <w:szCs w:val="20"/>
                <w:lang w:val="en-US"/>
              </w:rPr>
              <w:t xml:space="preserve"> (h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500EE8A" w14:textId="77777777" w:rsidR="00A25D23" w:rsidRPr="002A1510" w:rsidRDefault="00A25D23" w:rsidP="008A0E75">
            <w:pPr>
              <w:spacing w:line="276" w:lineRule="auto"/>
              <w:jc w:val="center"/>
              <w:rPr>
                <w:sz w:val="20"/>
                <w:szCs w:val="20"/>
                <w:lang w:val="en-US"/>
              </w:rPr>
            </w:pPr>
            <w:r w:rsidRPr="002A1510">
              <w:rPr>
                <w:sz w:val="20"/>
                <w:szCs w:val="20"/>
                <w:lang w:val="en-US"/>
              </w:rPr>
              <w:t>24 (</w:t>
            </w:r>
            <w:r>
              <w:rPr>
                <w:sz w:val="20"/>
                <w:szCs w:val="20"/>
                <w:lang w:val="en-US"/>
              </w:rPr>
              <w:t>agricultural and residential</w:t>
            </w:r>
            <w:r w:rsidRPr="002A1510">
              <w:rPr>
                <w:sz w:val="20"/>
                <w:szCs w:val="20"/>
                <w:lang w:val="en-US"/>
              </w:rPr>
              <w:t>)</w:t>
            </w:r>
          </w:p>
          <w:p w14:paraId="1FCC046B" w14:textId="77777777" w:rsidR="00A25D23" w:rsidRPr="002A1510" w:rsidRDefault="00A25D23" w:rsidP="008A0E75">
            <w:pPr>
              <w:spacing w:line="276" w:lineRule="auto"/>
              <w:jc w:val="center"/>
              <w:rPr>
                <w:sz w:val="20"/>
                <w:szCs w:val="20"/>
                <w:lang w:val="en-US"/>
              </w:rPr>
            </w:pPr>
            <w:r w:rsidRPr="002A1510">
              <w:rPr>
                <w:sz w:val="20"/>
                <w:szCs w:val="20"/>
                <w:lang w:val="en-US"/>
              </w:rPr>
              <w:t>8 (Worker)</w:t>
            </w:r>
          </w:p>
        </w:tc>
        <w:tc>
          <w:tcPr>
            <w:tcW w:w="1701" w:type="dxa"/>
            <w:tcBorders>
              <w:top w:val="single" w:sz="6" w:space="0" w:color="auto"/>
              <w:bottom w:val="single" w:sz="6" w:space="0" w:color="auto"/>
            </w:tcBorders>
            <w:vAlign w:val="center"/>
          </w:tcPr>
          <w:p w14:paraId="70D24001" w14:textId="77777777" w:rsidR="00A25D23" w:rsidRPr="002A1510" w:rsidRDefault="00A25D23" w:rsidP="008A0E75">
            <w:pPr>
              <w:spacing w:line="276" w:lineRule="auto"/>
              <w:jc w:val="center"/>
              <w:rPr>
                <w:sz w:val="20"/>
                <w:szCs w:val="20"/>
                <w:lang w:val="en-US"/>
              </w:rPr>
            </w:pPr>
            <w:r>
              <w:rPr>
                <w:sz w:val="20"/>
                <w:szCs w:val="20"/>
                <w:lang w:val="en-US"/>
              </w:rPr>
              <w:t xml:space="preserve">Health Canada </w:t>
            </w:r>
            <w:r>
              <w:rPr>
                <w:sz w:val="20"/>
                <w:szCs w:val="20"/>
                <w:lang w:val="en-US"/>
              </w:rPr>
              <w:fldChar w:fldCharType="begin" w:fldLock="1"/>
            </w:r>
            <w:r>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F950F2">
              <w:rPr>
                <w:noProof/>
                <w:sz w:val="20"/>
                <w:szCs w:val="20"/>
                <w:lang w:val="en-US"/>
              </w:rPr>
              <w:t>(2004)</w:t>
            </w:r>
            <w:r>
              <w:rPr>
                <w:sz w:val="20"/>
                <w:szCs w:val="20"/>
                <w:lang w:val="en-US"/>
              </w:rPr>
              <w:fldChar w:fldCharType="end"/>
            </w:r>
          </w:p>
        </w:tc>
      </w:tr>
      <w:tr w:rsidR="00A25D23" w:rsidRPr="0017539F" w14:paraId="37759AA7" w14:textId="77777777" w:rsidTr="008A0E75">
        <w:trPr>
          <w:trHeight w:val="380"/>
        </w:trPr>
        <w:tc>
          <w:tcPr>
            <w:tcW w:w="1986" w:type="dxa"/>
            <w:gridSpan w:val="2"/>
            <w:tcBorders>
              <w:top w:val="single" w:sz="6" w:space="0" w:color="auto"/>
              <w:bottom w:val="single" w:sz="6" w:space="0" w:color="auto"/>
            </w:tcBorders>
            <w:vAlign w:val="center"/>
          </w:tcPr>
          <w:p w14:paraId="6F71AAF9"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ET</w:t>
            </w:r>
            <w:r w:rsidRPr="002A1510">
              <w:rPr>
                <w:i/>
                <w:sz w:val="20"/>
                <w:szCs w:val="20"/>
                <w:vertAlign w:val="subscript"/>
                <w:lang w:val="en-US"/>
              </w:rPr>
              <w:t>W</w:t>
            </w:r>
            <w:r>
              <w:rPr>
                <w:sz w:val="20"/>
                <w:szCs w:val="20"/>
                <w:vertAlign w:val="subscript"/>
                <w:lang w:val="en-US"/>
              </w:rPr>
              <w:t xml:space="preserve"> </w:t>
            </w:r>
            <w:r>
              <w:rPr>
                <w:sz w:val="20"/>
                <w:szCs w:val="20"/>
                <w:lang w:val="en-US"/>
              </w:rPr>
              <w:t>(h d</w:t>
            </w:r>
            <w:r>
              <w:rPr>
                <w:sz w:val="20"/>
                <w:szCs w:val="20"/>
                <w:vertAlign w:val="superscript"/>
                <w:lang w:val="en-US"/>
              </w:rPr>
              <w:t>-1</w:t>
            </w:r>
            <w:r>
              <w:rPr>
                <w:sz w:val="20"/>
                <w:szCs w:val="20"/>
                <w:lang w:val="en-US"/>
              </w:rPr>
              <w:t>)</w:t>
            </w:r>
            <w:r>
              <w:rPr>
                <w:sz w:val="20"/>
                <w:szCs w:val="20"/>
                <w:vertAlign w:val="superscript"/>
                <w:lang w:val="en-US"/>
              </w:rPr>
              <w:t xml:space="preserve"> c</w:t>
            </w:r>
          </w:p>
        </w:tc>
        <w:tc>
          <w:tcPr>
            <w:tcW w:w="1268" w:type="dxa"/>
            <w:tcBorders>
              <w:top w:val="single" w:sz="6" w:space="0" w:color="auto"/>
              <w:bottom w:val="single" w:sz="6" w:space="0" w:color="auto"/>
            </w:tcBorders>
            <w:vAlign w:val="center"/>
          </w:tcPr>
          <w:p w14:paraId="76B90F96" w14:textId="77777777" w:rsidR="00A25D23" w:rsidRDefault="00A25D23" w:rsidP="008A0E75">
            <w:pPr>
              <w:spacing w:line="276" w:lineRule="auto"/>
              <w:jc w:val="center"/>
              <w:rPr>
                <w:sz w:val="20"/>
                <w:szCs w:val="20"/>
                <w:lang w:val="en-US"/>
              </w:rPr>
            </w:pPr>
            <w:r>
              <w:rPr>
                <w:sz w:val="20"/>
                <w:szCs w:val="20"/>
                <w:lang w:val="en-US"/>
              </w:rPr>
              <w:t>0.533</w:t>
            </w:r>
          </w:p>
        </w:tc>
        <w:tc>
          <w:tcPr>
            <w:tcW w:w="1275" w:type="dxa"/>
            <w:tcBorders>
              <w:top w:val="single" w:sz="6" w:space="0" w:color="auto"/>
              <w:bottom w:val="single" w:sz="6" w:space="0" w:color="auto"/>
            </w:tcBorders>
            <w:vAlign w:val="center"/>
          </w:tcPr>
          <w:p w14:paraId="3497D485" w14:textId="77777777" w:rsidR="00A25D23" w:rsidRDefault="00A25D23" w:rsidP="008A0E75">
            <w:pPr>
              <w:spacing w:line="276" w:lineRule="auto"/>
              <w:jc w:val="center"/>
              <w:rPr>
                <w:sz w:val="20"/>
                <w:szCs w:val="20"/>
                <w:lang w:val="en-US"/>
              </w:rPr>
            </w:pPr>
            <w:r>
              <w:rPr>
                <w:sz w:val="20"/>
                <w:szCs w:val="20"/>
                <w:lang w:val="en-US"/>
              </w:rPr>
              <w:t>0.750</w:t>
            </w:r>
          </w:p>
        </w:tc>
        <w:tc>
          <w:tcPr>
            <w:tcW w:w="1284" w:type="dxa"/>
            <w:tcBorders>
              <w:top w:val="single" w:sz="6" w:space="0" w:color="auto"/>
              <w:bottom w:val="single" w:sz="6" w:space="0" w:color="auto"/>
            </w:tcBorders>
            <w:vAlign w:val="center"/>
          </w:tcPr>
          <w:p w14:paraId="3FC0C2DD"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268" w:type="dxa"/>
            <w:tcBorders>
              <w:top w:val="single" w:sz="6" w:space="0" w:color="auto"/>
              <w:bottom w:val="single" w:sz="6" w:space="0" w:color="auto"/>
            </w:tcBorders>
            <w:vAlign w:val="center"/>
          </w:tcPr>
          <w:p w14:paraId="61007C3D" w14:textId="77777777" w:rsidR="00A25D23" w:rsidRPr="002A1510" w:rsidRDefault="00A25D23" w:rsidP="008A0E75">
            <w:pPr>
              <w:spacing w:line="276" w:lineRule="auto"/>
              <w:jc w:val="center"/>
              <w:rPr>
                <w:sz w:val="20"/>
                <w:szCs w:val="20"/>
                <w:lang w:val="en-US"/>
              </w:rPr>
            </w:pPr>
            <w:r>
              <w:rPr>
                <w:sz w:val="20"/>
                <w:szCs w:val="20"/>
                <w:lang w:val="en-US"/>
              </w:rPr>
              <w:t>0.767</w:t>
            </w:r>
          </w:p>
        </w:tc>
        <w:tc>
          <w:tcPr>
            <w:tcW w:w="1276" w:type="dxa"/>
            <w:gridSpan w:val="2"/>
            <w:tcBorders>
              <w:top w:val="single" w:sz="6" w:space="0" w:color="auto"/>
              <w:bottom w:val="single" w:sz="6" w:space="0" w:color="auto"/>
            </w:tcBorders>
            <w:vAlign w:val="center"/>
          </w:tcPr>
          <w:p w14:paraId="6AAB15D6" w14:textId="77777777" w:rsidR="00A25D23" w:rsidRPr="002A1510" w:rsidRDefault="00A25D23" w:rsidP="008A0E75">
            <w:pPr>
              <w:spacing w:line="276" w:lineRule="auto"/>
              <w:jc w:val="center"/>
              <w:rPr>
                <w:sz w:val="20"/>
                <w:szCs w:val="20"/>
                <w:lang w:val="en-US"/>
              </w:rPr>
            </w:pPr>
            <w:r>
              <w:rPr>
                <w:sz w:val="20"/>
                <w:szCs w:val="20"/>
                <w:lang w:val="en-US"/>
              </w:rPr>
              <w:t>0.717</w:t>
            </w:r>
          </w:p>
        </w:tc>
        <w:tc>
          <w:tcPr>
            <w:tcW w:w="1275" w:type="dxa"/>
            <w:gridSpan w:val="2"/>
            <w:tcBorders>
              <w:top w:val="single" w:sz="6" w:space="0" w:color="auto"/>
              <w:bottom w:val="single" w:sz="6" w:space="0" w:color="auto"/>
            </w:tcBorders>
            <w:vAlign w:val="center"/>
          </w:tcPr>
          <w:p w14:paraId="40719F3D" w14:textId="77777777" w:rsidR="00A25D23" w:rsidRDefault="00A25D23" w:rsidP="008A0E75">
            <w:pPr>
              <w:spacing w:line="276" w:lineRule="auto"/>
              <w:jc w:val="center"/>
              <w:rPr>
                <w:sz w:val="20"/>
                <w:szCs w:val="20"/>
                <w:lang w:val="en-US"/>
              </w:rPr>
            </w:pPr>
            <w:r>
              <w:rPr>
                <w:sz w:val="20"/>
                <w:szCs w:val="20"/>
                <w:lang w:val="en-US"/>
              </w:rPr>
              <w:t>1.000</w:t>
            </w:r>
          </w:p>
        </w:tc>
        <w:tc>
          <w:tcPr>
            <w:tcW w:w="1276" w:type="dxa"/>
            <w:gridSpan w:val="2"/>
            <w:tcBorders>
              <w:top w:val="single" w:sz="6" w:space="0" w:color="auto"/>
              <w:bottom w:val="single" w:sz="6" w:space="0" w:color="auto"/>
            </w:tcBorders>
            <w:vAlign w:val="center"/>
          </w:tcPr>
          <w:p w14:paraId="61F6C199"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418" w:type="dxa"/>
            <w:gridSpan w:val="2"/>
            <w:tcBorders>
              <w:top w:val="single" w:sz="6" w:space="0" w:color="auto"/>
              <w:bottom w:val="single" w:sz="6" w:space="0" w:color="auto"/>
            </w:tcBorders>
            <w:vAlign w:val="center"/>
          </w:tcPr>
          <w:p w14:paraId="526DEDA3"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142" w:type="dxa"/>
            <w:gridSpan w:val="2"/>
            <w:tcBorders>
              <w:top w:val="single" w:sz="6" w:space="0" w:color="auto"/>
              <w:bottom w:val="single" w:sz="6" w:space="0" w:color="auto"/>
            </w:tcBorders>
            <w:vAlign w:val="center"/>
          </w:tcPr>
          <w:p w14:paraId="5E4264FF"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701" w:type="dxa"/>
            <w:tcBorders>
              <w:top w:val="single" w:sz="6" w:space="0" w:color="auto"/>
              <w:bottom w:val="single" w:sz="6" w:space="0" w:color="auto"/>
            </w:tcBorders>
            <w:vAlign w:val="center"/>
          </w:tcPr>
          <w:p w14:paraId="34298239"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8F953CF" w14:textId="77777777" w:rsidTr="008A0E75">
        <w:trPr>
          <w:trHeight w:val="380"/>
        </w:trPr>
        <w:tc>
          <w:tcPr>
            <w:tcW w:w="1986" w:type="dxa"/>
            <w:gridSpan w:val="2"/>
            <w:tcBorders>
              <w:top w:val="single" w:sz="6" w:space="0" w:color="auto"/>
              <w:bottom w:val="single" w:sz="6" w:space="0" w:color="auto"/>
            </w:tcBorders>
            <w:vAlign w:val="center"/>
          </w:tcPr>
          <w:p w14:paraId="35BAB942" w14:textId="77777777" w:rsidR="00A25D23" w:rsidRPr="004C2F7C" w:rsidRDefault="00A25D23" w:rsidP="008A0E75">
            <w:pPr>
              <w:spacing w:line="276" w:lineRule="auto"/>
              <w:jc w:val="center"/>
              <w:rPr>
                <w:sz w:val="20"/>
                <w:szCs w:val="20"/>
                <w:lang w:val="en-US"/>
              </w:rPr>
            </w:pPr>
            <w:r w:rsidRPr="002A1510">
              <w:rPr>
                <w:i/>
                <w:sz w:val="20"/>
                <w:szCs w:val="20"/>
                <w:lang w:val="en-US"/>
              </w:rPr>
              <w:t>EV</w:t>
            </w:r>
            <w:r>
              <w:rPr>
                <w:sz w:val="20"/>
                <w:szCs w:val="20"/>
                <w:lang w:val="en-US"/>
              </w:rPr>
              <w:t xml:space="preserve"> (events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761E27B"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613A69CA"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2C96ECFC" w14:textId="77777777" w:rsidTr="008A0E75">
        <w:trPr>
          <w:trHeight w:val="380"/>
        </w:trPr>
        <w:tc>
          <w:tcPr>
            <w:tcW w:w="1986" w:type="dxa"/>
            <w:gridSpan w:val="2"/>
            <w:tcBorders>
              <w:top w:val="single" w:sz="6" w:space="0" w:color="auto"/>
              <w:bottom w:val="double" w:sz="4" w:space="0" w:color="auto"/>
            </w:tcBorders>
            <w:vAlign w:val="center"/>
          </w:tcPr>
          <w:p w14:paraId="3010F57B" w14:textId="77777777" w:rsidR="00A25D23" w:rsidRPr="002A1510" w:rsidRDefault="00A25D23" w:rsidP="008A0E75">
            <w:pPr>
              <w:spacing w:line="276" w:lineRule="auto"/>
              <w:jc w:val="center"/>
              <w:rPr>
                <w:i/>
                <w:sz w:val="20"/>
                <w:szCs w:val="20"/>
                <w:lang w:val="en-US"/>
              </w:rPr>
            </w:pPr>
            <w:r w:rsidRPr="002A1510">
              <w:rPr>
                <w:i/>
                <w:sz w:val="20"/>
                <w:szCs w:val="20"/>
                <w:lang w:val="en-US"/>
              </w:rPr>
              <w:t>FI</w:t>
            </w:r>
          </w:p>
        </w:tc>
        <w:tc>
          <w:tcPr>
            <w:tcW w:w="11482" w:type="dxa"/>
            <w:gridSpan w:val="14"/>
            <w:tcBorders>
              <w:top w:val="single" w:sz="6" w:space="0" w:color="auto"/>
              <w:bottom w:val="double" w:sz="4" w:space="0" w:color="auto"/>
            </w:tcBorders>
            <w:vAlign w:val="center"/>
          </w:tcPr>
          <w:p w14:paraId="15A63BE3"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255442E4"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021221F1" w14:textId="77777777" w:rsidTr="008A0E75">
        <w:trPr>
          <w:trHeight w:val="380"/>
        </w:trPr>
        <w:tc>
          <w:tcPr>
            <w:tcW w:w="15169" w:type="dxa"/>
            <w:gridSpan w:val="17"/>
            <w:tcBorders>
              <w:top w:val="double" w:sz="4" w:space="0" w:color="auto"/>
            </w:tcBorders>
            <w:vAlign w:val="center"/>
          </w:tcPr>
          <w:p w14:paraId="350E5651" w14:textId="77777777" w:rsidR="00A25D23" w:rsidRDefault="00A25D23" w:rsidP="008A0E75">
            <w:pPr>
              <w:spacing w:line="276" w:lineRule="auto"/>
              <w:jc w:val="right"/>
              <w:rPr>
                <w:sz w:val="20"/>
                <w:szCs w:val="20"/>
                <w:lang w:val="en-US"/>
              </w:rPr>
            </w:pPr>
            <w:r>
              <w:rPr>
                <w:sz w:val="20"/>
                <w:szCs w:val="20"/>
                <w:lang w:val="en-US"/>
              </w:rPr>
              <w:t>Continue</w:t>
            </w:r>
          </w:p>
        </w:tc>
      </w:tr>
      <w:tr w:rsidR="00A25D23" w:rsidRPr="00D14380" w14:paraId="5EAA7A39" w14:textId="77777777" w:rsidTr="008A0E75">
        <w:trPr>
          <w:trHeight w:val="380"/>
        </w:trPr>
        <w:tc>
          <w:tcPr>
            <w:tcW w:w="15169" w:type="dxa"/>
            <w:gridSpan w:val="17"/>
            <w:tcBorders>
              <w:bottom w:val="double" w:sz="4" w:space="0" w:color="auto"/>
            </w:tcBorders>
            <w:vAlign w:val="center"/>
          </w:tcPr>
          <w:p w14:paraId="0CACDD17" w14:textId="77777777" w:rsidR="00A25D23" w:rsidRPr="009A6880" w:rsidRDefault="00A25D23" w:rsidP="008A0E75">
            <w:pPr>
              <w:spacing w:line="276" w:lineRule="auto"/>
              <w:jc w:val="right"/>
              <w:rPr>
                <w:bCs/>
                <w:sz w:val="20"/>
                <w:szCs w:val="20"/>
                <w:lang w:val="en-US"/>
              </w:rPr>
            </w:pPr>
            <w:r w:rsidRPr="009A6880">
              <w:rPr>
                <w:bCs/>
                <w:sz w:val="20"/>
                <w:szCs w:val="20"/>
                <w:lang w:val="en-US"/>
              </w:rPr>
              <w:lastRenderedPageBreak/>
              <w:t>Continuation</w:t>
            </w:r>
          </w:p>
        </w:tc>
      </w:tr>
      <w:tr w:rsidR="00A25D23" w:rsidRPr="00D14380" w14:paraId="23709A32" w14:textId="77777777" w:rsidTr="008A0E75">
        <w:trPr>
          <w:trHeight w:val="380"/>
        </w:trPr>
        <w:tc>
          <w:tcPr>
            <w:tcW w:w="1986" w:type="dxa"/>
            <w:gridSpan w:val="2"/>
            <w:vMerge w:val="restart"/>
            <w:tcBorders>
              <w:top w:val="double" w:sz="4" w:space="0" w:color="auto"/>
            </w:tcBorders>
            <w:vAlign w:val="center"/>
          </w:tcPr>
          <w:p w14:paraId="4D1FB663"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bottom w:val="single" w:sz="4" w:space="0" w:color="auto"/>
            </w:tcBorders>
            <w:vAlign w:val="center"/>
          </w:tcPr>
          <w:p w14:paraId="54A4CEC7"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519D87D3"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D14380" w14:paraId="54961D17" w14:textId="77777777" w:rsidTr="008A0E75">
        <w:trPr>
          <w:trHeight w:val="380"/>
        </w:trPr>
        <w:tc>
          <w:tcPr>
            <w:tcW w:w="1986" w:type="dxa"/>
            <w:gridSpan w:val="2"/>
            <w:vMerge/>
            <w:tcBorders>
              <w:bottom w:val="double" w:sz="4" w:space="0" w:color="auto"/>
            </w:tcBorders>
            <w:vAlign w:val="center"/>
          </w:tcPr>
          <w:p w14:paraId="31D84343" w14:textId="77777777" w:rsidR="00A25D23" w:rsidRPr="002A1510" w:rsidRDefault="00A25D23" w:rsidP="008A0E75">
            <w:pPr>
              <w:spacing w:line="276" w:lineRule="auto"/>
              <w:jc w:val="center"/>
              <w:rPr>
                <w:i/>
                <w:sz w:val="20"/>
                <w:szCs w:val="20"/>
                <w:lang w:val="en-US"/>
              </w:rPr>
            </w:pPr>
          </w:p>
        </w:tc>
        <w:tc>
          <w:tcPr>
            <w:tcW w:w="1268" w:type="dxa"/>
            <w:tcBorders>
              <w:top w:val="single" w:sz="4" w:space="0" w:color="auto"/>
              <w:bottom w:val="double" w:sz="4" w:space="0" w:color="auto"/>
            </w:tcBorders>
            <w:vAlign w:val="center"/>
          </w:tcPr>
          <w:p w14:paraId="509925AC"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top w:val="single" w:sz="4" w:space="0" w:color="auto"/>
              <w:bottom w:val="double" w:sz="4" w:space="0" w:color="auto"/>
            </w:tcBorders>
            <w:vAlign w:val="center"/>
          </w:tcPr>
          <w:p w14:paraId="1E472A80"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top w:val="single" w:sz="4" w:space="0" w:color="auto"/>
              <w:bottom w:val="double" w:sz="4" w:space="0" w:color="auto"/>
            </w:tcBorders>
            <w:vAlign w:val="center"/>
          </w:tcPr>
          <w:p w14:paraId="2B36435F"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top w:val="single" w:sz="4" w:space="0" w:color="auto"/>
              <w:bottom w:val="double" w:sz="4" w:space="0" w:color="auto"/>
            </w:tcBorders>
            <w:vAlign w:val="center"/>
          </w:tcPr>
          <w:p w14:paraId="5BC3694E"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top w:val="single" w:sz="4" w:space="0" w:color="auto"/>
              <w:bottom w:val="double" w:sz="4" w:space="0" w:color="auto"/>
            </w:tcBorders>
            <w:vAlign w:val="center"/>
          </w:tcPr>
          <w:p w14:paraId="72ABAE59"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top w:val="single" w:sz="4" w:space="0" w:color="auto"/>
              <w:bottom w:val="double" w:sz="4" w:space="0" w:color="auto"/>
            </w:tcBorders>
            <w:vAlign w:val="center"/>
          </w:tcPr>
          <w:p w14:paraId="3F4C8471"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top w:val="single" w:sz="4" w:space="0" w:color="auto"/>
              <w:bottom w:val="double" w:sz="4" w:space="0" w:color="auto"/>
            </w:tcBorders>
            <w:vAlign w:val="center"/>
          </w:tcPr>
          <w:p w14:paraId="7581C37B"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top w:val="single" w:sz="4" w:space="0" w:color="auto"/>
              <w:bottom w:val="double" w:sz="4" w:space="0" w:color="auto"/>
            </w:tcBorders>
            <w:vAlign w:val="center"/>
          </w:tcPr>
          <w:p w14:paraId="0E353D1F"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top w:val="single" w:sz="4" w:space="0" w:color="auto"/>
              <w:bottom w:val="double" w:sz="4" w:space="0" w:color="auto"/>
            </w:tcBorders>
            <w:vAlign w:val="center"/>
          </w:tcPr>
          <w:p w14:paraId="2B76966B"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F755DA2" w14:textId="77777777" w:rsidR="00A25D23" w:rsidRPr="002A1510" w:rsidRDefault="00A25D23" w:rsidP="008A0E75">
            <w:pPr>
              <w:spacing w:line="276" w:lineRule="auto"/>
              <w:jc w:val="center"/>
              <w:rPr>
                <w:sz w:val="20"/>
                <w:szCs w:val="20"/>
                <w:lang w:val="en-US"/>
              </w:rPr>
            </w:pPr>
          </w:p>
        </w:tc>
      </w:tr>
      <w:tr w:rsidR="00A25D23" w:rsidRPr="00D14380" w14:paraId="5A0D8528" w14:textId="77777777" w:rsidTr="008A0E75">
        <w:trPr>
          <w:trHeight w:val="380"/>
        </w:trPr>
        <w:tc>
          <w:tcPr>
            <w:tcW w:w="1986" w:type="dxa"/>
            <w:gridSpan w:val="2"/>
            <w:tcBorders>
              <w:top w:val="double" w:sz="4" w:space="0" w:color="auto"/>
              <w:bottom w:val="single" w:sz="4" w:space="0" w:color="auto"/>
            </w:tcBorders>
            <w:vAlign w:val="center"/>
          </w:tcPr>
          <w:p w14:paraId="1DE6E455" w14:textId="7AF1E536"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s</w:t>
            </w:r>
          </w:p>
          <w:p w14:paraId="3DD256B6" w14:textId="77777777" w:rsidR="00A25D23" w:rsidRPr="000E1861" w:rsidRDefault="00A25D23" w:rsidP="008A0E75">
            <w:pPr>
              <w:spacing w:line="276" w:lineRule="auto"/>
              <w:jc w:val="center"/>
              <w:rPr>
                <w:sz w:val="20"/>
                <w:szCs w:val="20"/>
                <w:lang w:val="en-US"/>
              </w:rPr>
            </w:pPr>
            <w:r>
              <w:rPr>
                <w:sz w:val="20"/>
                <w:szCs w:val="20"/>
                <w:lang w:val="en-US"/>
              </w:rPr>
              <w:t>(mg d</w:t>
            </w:r>
            <w:r>
              <w:rPr>
                <w:sz w:val="20"/>
                <w:szCs w:val="20"/>
                <w:vertAlign w:val="superscript"/>
                <w:lang w:val="en-US"/>
              </w:rPr>
              <w:t>-1</w:t>
            </w:r>
            <w:r>
              <w:rPr>
                <w:sz w:val="20"/>
                <w:szCs w:val="20"/>
                <w:lang w:val="en-US"/>
              </w:rPr>
              <w:t>)</w:t>
            </w:r>
          </w:p>
        </w:tc>
        <w:tc>
          <w:tcPr>
            <w:tcW w:w="1268" w:type="dxa"/>
            <w:tcBorders>
              <w:top w:val="double" w:sz="4" w:space="0" w:color="auto"/>
              <w:bottom w:val="single" w:sz="4" w:space="0" w:color="auto"/>
            </w:tcBorders>
            <w:vAlign w:val="center"/>
          </w:tcPr>
          <w:p w14:paraId="4955690C" w14:textId="77777777" w:rsidR="00A25D23" w:rsidRDefault="00A25D23" w:rsidP="008A0E75">
            <w:pPr>
              <w:spacing w:line="276" w:lineRule="auto"/>
              <w:jc w:val="center"/>
              <w:rPr>
                <w:sz w:val="20"/>
                <w:szCs w:val="20"/>
                <w:lang w:val="en-US"/>
              </w:rPr>
            </w:pPr>
            <w:r>
              <w:rPr>
                <w:sz w:val="20"/>
                <w:szCs w:val="20"/>
                <w:lang w:val="en-US"/>
              </w:rPr>
              <w:t>100</w:t>
            </w:r>
          </w:p>
        </w:tc>
        <w:tc>
          <w:tcPr>
            <w:tcW w:w="1275" w:type="dxa"/>
            <w:tcBorders>
              <w:top w:val="double" w:sz="4" w:space="0" w:color="auto"/>
              <w:bottom w:val="single" w:sz="4" w:space="0" w:color="auto"/>
            </w:tcBorders>
            <w:vAlign w:val="center"/>
          </w:tcPr>
          <w:p w14:paraId="6CABBE88" w14:textId="77777777" w:rsidR="00A25D23" w:rsidRDefault="00A25D23" w:rsidP="008A0E75">
            <w:pPr>
              <w:spacing w:line="276" w:lineRule="auto"/>
              <w:jc w:val="center"/>
              <w:rPr>
                <w:sz w:val="20"/>
                <w:szCs w:val="20"/>
                <w:lang w:val="en-US"/>
              </w:rPr>
            </w:pPr>
            <w:r>
              <w:rPr>
                <w:sz w:val="20"/>
                <w:szCs w:val="20"/>
                <w:lang w:val="en-US"/>
              </w:rPr>
              <w:t>100</w:t>
            </w:r>
          </w:p>
        </w:tc>
        <w:tc>
          <w:tcPr>
            <w:tcW w:w="1284" w:type="dxa"/>
            <w:tcBorders>
              <w:top w:val="double" w:sz="4" w:space="0" w:color="auto"/>
              <w:bottom w:val="single" w:sz="4" w:space="0" w:color="auto"/>
            </w:tcBorders>
            <w:vAlign w:val="center"/>
          </w:tcPr>
          <w:p w14:paraId="13B96B0F" w14:textId="77777777" w:rsidR="00A25D23" w:rsidRPr="002A1510" w:rsidRDefault="00A25D23" w:rsidP="008A0E75">
            <w:pPr>
              <w:spacing w:line="276" w:lineRule="auto"/>
              <w:jc w:val="center"/>
              <w:rPr>
                <w:sz w:val="20"/>
                <w:szCs w:val="20"/>
                <w:lang w:val="en-US"/>
              </w:rPr>
            </w:pPr>
            <w:r>
              <w:rPr>
                <w:sz w:val="20"/>
                <w:szCs w:val="20"/>
                <w:lang w:val="en-US"/>
              </w:rPr>
              <w:t>200</w:t>
            </w:r>
          </w:p>
        </w:tc>
        <w:tc>
          <w:tcPr>
            <w:tcW w:w="1268" w:type="dxa"/>
            <w:tcBorders>
              <w:top w:val="double" w:sz="4" w:space="0" w:color="auto"/>
              <w:bottom w:val="single" w:sz="4" w:space="0" w:color="auto"/>
            </w:tcBorders>
            <w:vAlign w:val="center"/>
          </w:tcPr>
          <w:p w14:paraId="4B4CD778"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5DF2F933"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5" w:type="dxa"/>
            <w:gridSpan w:val="2"/>
            <w:tcBorders>
              <w:top w:val="double" w:sz="4" w:space="0" w:color="auto"/>
              <w:bottom w:val="single" w:sz="4" w:space="0" w:color="auto"/>
            </w:tcBorders>
            <w:vAlign w:val="center"/>
          </w:tcPr>
          <w:p w14:paraId="4D4EF4DD" w14:textId="77777777" w:rsidR="00A25D23"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6914AC3B"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418" w:type="dxa"/>
            <w:gridSpan w:val="2"/>
            <w:tcBorders>
              <w:top w:val="double" w:sz="4" w:space="0" w:color="auto"/>
              <w:bottom w:val="single" w:sz="4" w:space="0" w:color="auto"/>
            </w:tcBorders>
            <w:vAlign w:val="center"/>
          </w:tcPr>
          <w:p w14:paraId="59204D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142" w:type="dxa"/>
            <w:gridSpan w:val="2"/>
            <w:tcBorders>
              <w:top w:val="double" w:sz="4" w:space="0" w:color="auto"/>
              <w:bottom w:val="single" w:sz="4" w:space="0" w:color="auto"/>
            </w:tcBorders>
            <w:vAlign w:val="center"/>
          </w:tcPr>
          <w:p w14:paraId="4749B0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701" w:type="dxa"/>
            <w:tcBorders>
              <w:top w:val="double" w:sz="4" w:space="0" w:color="auto"/>
              <w:bottom w:val="single" w:sz="4" w:space="0" w:color="auto"/>
            </w:tcBorders>
            <w:vAlign w:val="center"/>
          </w:tcPr>
          <w:p w14:paraId="7104A3D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635FA19" w14:textId="77777777" w:rsidTr="008A0E75">
        <w:trPr>
          <w:trHeight w:val="380"/>
        </w:trPr>
        <w:tc>
          <w:tcPr>
            <w:tcW w:w="991" w:type="dxa"/>
            <w:vMerge w:val="restart"/>
            <w:tcBorders>
              <w:top w:val="single" w:sz="4" w:space="0" w:color="auto"/>
              <w:bottom w:val="single" w:sz="4" w:space="0" w:color="auto"/>
            </w:tcBorders>
            <w:vAlign w:val="center"/>
          </w:tcPr>
          <w:p w14:paraId="53BA2FAA" w14:textId="0E28FC00" w:rsidR="00A25D23" w:rsidRDefault="00A25D23" w:rsidP="008A0E75">
            <w:pPr>
              <w:spacing w:line="276" w:lineRule="auto"/>
              <w:jc w:val="center"/>
              <w:rPr>
                <w:sz w:val="20"/>
                <w:szCs w:val="20"/>
                <w:lang w:val="en-US"/>
              </w:rPr>
            </w:pPr>
            <w:proofErr w:type="spellStart"/>
            <w:r w:rsidRPr="002A1510">
              <w:rPr>
                <w:i/>
                <w:sz w:val="20"/>
                <w:szCs w:val="20"/>
                <w:lang w:val="en-US"/>
              </w:rPr>
              <w:t>IR</w:t>
            </w:r>
            <w:r w:rsidR="00286CF2">
              <w:rPr>
                <w:i/>
                <w:sz w:val="20"/>
                <w:szCs w:val="20"/>
                <w:vertAlign w:val="subscript"/>
                <w:lang w:val="en-US"/>
              </w:rPr>
              <w:t>f</w:t>
            </w:r>
            <w:proofErr w:type="spellEnd"/>
          </w:p>
          <w:p w14:paraId="28C36852" w14:textId="77777777" w:rsidR="00A25D23" w:rsidRPr="0079265C" w:rsidRDefault="00A25D23" w:rsidP="008A0E75">
            <w:pPr>
              <w:spacing w:line="276" w:lineRule="auto"/>
              <w:jc w:val="center"/>
              <w:rPr>
                <w:i/>
                <w:sz w:val="20"/>
                <w:szCs w:val="20"/>
                <w:vertAlign w:val="superscript"/>
                <w:lang w:val="en-US"/>
              </w:rPr>
            </w:pPr>
            <w:r>
              <w:rPr>
                <w:sz w:val="20"/>
                <w:szCs w:val="20"/>
                <w:lang w:val="en-US"/>
              </w:rPr>
              <w:t>(kg d</w:t>
            </w:r>
            <w:r>
              <w:rPr>
                <w:sz w:val="20"/>
                <w:szCs w:val="20"/>
                <w:vertAlign w:val="superscript"/>
                <w:lang w:val="en-US"/>
              </w:rPr>
              <w:t>-1</w:t>
            </w:r>
            <w:r>
              <w:rPr>
                <w:sz w:val="20"/>
                <w:szCs w:val="20"/>
                <w:lang w:val="en-US"/>
              </w:rPr>
              <w:t xml:space="preserve">) </w:t>
            </w:r>
            <w:r>
              <w:rPr>
                <w:sz w:val="20"/>
                <w:szCs w:val="20"/>
                <w:vertAlign w:val="superscript"/>
                <w:lang w:val="en-US"/>
              </w:rPr>
              <w:t>d</w:t>
            </w:r>
          </w:p>
        </w:tc>
        <w:tc>
          <w:tcPr>
            <w:tcW w:w="995" w:type="dxa"/>
            <w:tcBorders>
              <w:top w:val="single" w:sz="4" w:space="0" w:color="auto"/>
            </w:tcBorders>
            <w:vAlign w:val="center"/>
          </w:tcPr>
          <w:p w14:paraId="6B85EA47"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0B79937E" w14:textId="77777777" w:rsidR="00A25D23" w:rsidRDefault="00A25D23" w:rsidP="008A0E75">
            <w:pPr>
              <w:spacing w:line="276" w:lineRule="auto"/>
              <w:jc w:val="center"/>
              <w:rPr>
                <w:sz w:val="20"/>
                <w:szCs w:val="20"/>
                <w:lang w:val="en-US"/>
              </w:rPr>
            </w:pPr>
            <w:r>
              <w:rPr>
                <w:sz w:val="20"/>
                <w:szCs w:val="20"/>
                <w:lang w:val="en-US"/>
              </w:rPr>
              <w:t>Agricultural scenario</w:t>
            </w:r>
          </w:p>
        </w:tc>
        <w:tc>
          <w:tcPr>
            <w:tcW w:w="1701" w:type="dxa"/>
            <w:vMerge w:val="restart"/>
            <w:tcBorders>
              <w:top w:val="single" w:sz="4" w:space="0" w:color="auto"/>
              <w:bottom w:val="single" w:sz="4" w:space="0" w:color="auto"/>
            </w:tcBorders>
            <w:vAlign w:val="center"/>
          </w:tcPr>
          <w:p w14:paraId="521BF94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5394A468" w14:textId="77777777" w:rsidTr="008A0E75">
        <w:trPr>
          <w:trHeight w:val="380"/>
        </w:trPr>
        <w:tc>
          <w:tcPr>
            <w:tcW w:w="991" w:type="dxa"/>
            <w:vMerge/>
            <w:tcBorders>
              <w:bottom w:val="single" w:sz="4" w:space="0" w:color="auto"/>
            </w:tcBorders>
            <w:vAlign w:val="center"/>
          </w:tcPr>
          <w:p w14:paraId="2FC84F80" w14:textId="77777777" w:rsidR="00A25D23" w:rsidRPr="00EB03A6" w:rsidRDefault="00A25D23" w:rsidP="008A0E75">
            <w:pPr>
              <w:spacing w:line="276" w:lineRule="auto"/>
              <w:jc w:val="center"/>
              <w:rPr>
                <w:sz w:val="20"/>
                <w:szCs w:val="20"/>
                <w:lang w:val="en-US"/>
              </w:rPr>
            </w:pPr>
          </w:p>
        </w:tc>
        <w:tc>
          <w:tcPr>
            <w:tcW w:w="995" w:type="dxa"/>
            <w:tcBorders>
              <w:top w:val="single" w:sz="4" w:space="0" w:color="auto"/>
            </w:tcBorders>
            <w:vAlign w:val="center"/>
          </w:tcPr>
          <w:p w14:paraId="329EA0B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0A895831" w14:textId="77777777" w:rsidR="00A25D23" w:rsidRDefault="00A25D23" w:rsidP="008A0E75">
            <w:pPr>
              <w:spacing w:line="276" w:lineRule="auto"/>
              <w:jc w:val="center"/>
              <w:rPr>
                <w:sz w:val="20"/>
                <w:szCs w:val="20"/>
                <w:lang w:val="en-US"/>
              </w:rPr>
            </w:pPr>
            <w:r>
              <w:rPr>
                <w:sz w:val="20"/>
                <w:szCs w:val="20"/>
                <w:lang w:val="en-US"/>
              </w:rPr>
              <w:t>0.1596</w:t>
            </w:r>
          </w:p>
        </w:tc>
        <w:tc>
          <w:tcPr>
            <w:tcW w:w="1275" w:type="dxa"/>
            <w:tcBorders>
              <w:top w:val="single" w:sz="4" w:space="0" w:color="auto"/>
            </w:tcBorders>
            <w:vAlign w:val="center"/>
          </w:tcPr>
          <w:p w14:paraId="520907FF" w14:textId="77777777" w:rsidR="00A25D23" w:rsidRDefault="00A25D23" w:rsidP="008A0E75">
            <w:pPr>
              <w:spacing w:line="276" w:lineRule="auto"/>
              <w:jc w:val="center"/>
              <w:rPr>
                <w:sz w:val="20"/>
                <w:szCs w:val="20"/>
                <w:lang w:val="en-US"/>
              </w:rPr>
            </w:pPr>
            <w:r>
              <w:rPr>
                <w:sz w:val="20"/>
                <w:szCs w:val="20"/>
                <w:lang w:val="en-US"/>
              </w:rPr>
              <w:t>0.1932</w:t>
            </w:r>
          </w:p>
        </w:tc>
        <w:tc>
          <w:tcPr>
            <w:tcW w:w="1284" w:type="dxa"/>
            <w:tcBorders>
              <w:top w:val="single" w:sz="4" w:space="0" w:color="auto"/>
            </w:tcBorders>
            <w:vAlign w:val="center"/>
          </w:tcPr>
          <w:p w14:paraId="3F84A451" w14:textId="77777777" w:rsidR="00A25D23" w:rsidRDefault="00A25D23" w:rsidP="008A0E75">
            <w:pPr>
              <w:spacing w:line="276" w:lineRule="auto"/>
              <w:jc w:val="center"/>
              <w:rPr>
                <w:sz w:val="20"/>
                <w:szCs w:val="20"/>
                <w:lang w:val="en-US"/>
              </w:rPr>
            </w:pPr>
            <w:r>
              <w:rPr>
                <w:sz w:val="20"/>
                <w:szCs w:val="20"/>
                <w:lang w:val="en-US"/>
              </w:rPr>
              <w:t>0.2232</w:t>
            </w:r>
          </w:p>
        </w:tc>
        <w:tc>
          <w:tcPr>
            <w:tcW w:w="1268" w:type="dxa"/>
            <w:tcBorders>
              <w:top w:val="single" w:sz="4" w:space="0" w:color="auto"/>
            </w:tcBorders>
            <w:vAlign w:val="center"/>
          </w:tcPr>
          <w:p w14:paraId="5EA099BB" w14:textId="77777777" w:rsidR="00A25D23" w:rsidRDefault="00A25D23" w:rsidP="008A0E75">
            <w:pPr>
              <w:spacing w:line="276" w:lineRule="auto"/>
              <w:jc w:val="center"/>
              <w:rPr>
                <w:sz w:val="20"/>
                <w:szCs w:val="20"/>
                <w:lang w:val="en-US"/>
              </w:rPr>
            </w:pPr>
            <w:r>
              <w:rPr>
                <w:sz w:val="20"/>
                <w:szCs w:val="20"/>
                <w:lang w:val="en-US"/>
              </w:rPr>
              <w:t>0.2576</w:t>
            </w:r>
          </w:p>
        </w:tc>
        <w:tc>
          <w:tcPr>
            <w:tcW w:w="1276" w:type="dxa"/>
            <w:gridSpan w:val="2"/>
            <w:tcBorders>
              <w:top w:val="single" w:sz="4" w:space="0" w:color="auto"/>
            </w:tcBorders>
            <w:vAlign w:val="center"/>
          </w:tcPr>
          <w:p w14:paraId="523680C3" w14:textId="77777777" w:rsidR="00A25D23" w:rsidRDefault="00A25D23" w:rsidP="008A0E75">
            <w:pPr>
              <w:spacing w:line="276" w:lineRule="auto"/>
              <w:jc w:val="center"/>
              <w:rPr>
                <w:sz w:val="20"/>
                <w:szCs w:val="20"/>
                <w:lang w:val="en-US"/>
              </w:rPr>
            </w:pPr>
            <w:r>
              <w:rPr>
                <w:sz w:val="20"/>
                <w:szCs w:val="20"/>
                <w:lang w:val="en-US"/>
              </w:rPr>
              <w:t>0.3238</w:t>
            </w:r>
          </w:p>
        </w:tc>
        <w:tc>
          <w:tcPr>
            <w:tcW w:w="1275" w:type="dxa"/>
            <w:gridSpan w:val="2"/>
            <w:tcBorders>
              <w:top w:val="single" w:sz="4" w:space="0" w:color="auto"/>
            </w:tcBorders>
            <w:vAlign w:val="center"/>
          </w:tcPr>
          <w:p w14:paraId="0FF68CEA" w14:textId="77777777" w:rsidR="00A25D23" w:rsidRDefault="00A25D23" w:rsidP="008A0E75">
            <w:pPr>
              <w:spacing w:line="276" w:lineRule="auto"/>
              <w:jc w:val="center"/>
              <w:rPr>
                <w:sz w:val="20"/>
                <w:szCs w:val="20"/>
                <w:lang w:val="en-US"/>
              </w:rPr>
            </w:pPr>
            <w:r>
              <w:rPr>
                <w:sz w:val="20"/>
                <w:szCs w:val="20"/>
                <w:lang w:val="en-US"/>
              </w:rPr>
              <w:t>0.4081</w:t>
            </w:r>
          </w:p>
        </w:tc>
        <w:tc>
          <w:tcPr>
            <w:tcW w:w="1276" w:type="dxa"/>
            <w:gridSpan w:val="2"/>
            <w:tcBorders>
              <w:top w:val="single" w:sz="4" w:space="0" w:color="auto"/>
            </w:tcBorders>
            <w:vAlign w:val="center"/>
          </w:tcPr>
          <w:p w14:paraId="008898D8" w14:textId="77777777" w:rsidR="00A25D23" w:rsidRDefault="00A25D23" w:rsidP="008A0E75">
            <w:pPr>
              <w:spacing w:line="276" w:lineRule="auto"/>
              <w:jc w:val="center"/>
              <w:rPr>
                <w:sz w:val="20"/>
                <w:szCs w:val="20"/>
                <w:lang w:val="en-US"/>
              </w:rPr>
            </w:pPr>
            <w:r>
              <w:rPr>
                <w:sz w:val="20"/>
                <w:szCs w:val="20"/>
                <w:lang w:val="en-US"/>
              </w:rPr>
              <w:t>0.4081</w:t>
            </w:r>
          </w:p>
        </w:tc>
        <w:tc>
          <w:tcPr>
            <w:tcW w:w="1418" w:type="dxa"/>
            <w:gridSpan w:val="2"/>
            <w:tcBorders>
              <w:top w:val="single" w:sz="4" w:space="0" w:color="auto"/>
            </w:tcBorders>
            <w:vAlign w:val="center"/>
          </w:tcPr>
          <w:p w14:paraId="135C53EA" w14:textId="77777777" w:rsidR="00A25D23" w:rsidRDefault="00A25D23" w:rsidP="008A0E75">
            <w:pPr>
              <w:spacing w:line="276" w:lineRule="auto"/>
              <w:jc w:val="center"/>
              <w:rPr>
                <w:sz w:val="20"/>
                <w:szCs w:val="20"/>
                <w:lang w:val="en-US"/>
              </w:rPr>
            </w:pPr>
            <w:r>
              <w:rPr>
                <w:sz w:val="20"/>
                <w:szCs w:val="20"/>
                <w:lang w:val="en-US"/>
              </w:rPr>
              <w:t>0.4560</w:t>
            </w:r>
          </w:p>
        </w:tc>
        <w:tc>
          <w:tcPr>
            <w:tcW w:w="1142" w:type="dxa"/>
            <w:gridSpan w:val="2"/>
            <w:tcBorders>
              <w:top w:val="single" w:sz="4" w:space="0" w:color="auto"/>
            </w:tcBorders>
            <w:vAlign w:val="center"/>
          </w:tcPr>
          <w:p w14:paraId="580BE963" w14:textId="77777777" w:rsidR="00A25D23"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5C0554D7" w14:textId="77777777" w:rsidR="00A25D23" w:rsidRPr="002A1510" w:rsidRDefault="00A25D23" w:rsidP="008A0E75">
            <w:pPr>
              <w:spacing w:line="276" w:lineRule="auto"/>
              <w:jc w:val="center"/>
              <w:rPr>
                <w:sz w:val="20"/>
                <w:szCs w:val="20"/>
                <w:lang w:val="en-US"/>
              </w:rPr>
            </w:pPr>
          </w:p>
        </w:tc>
      </w:tr>
      <w:tr w:rsidR="00A25D23" w:rsidRPr="0017539F" w14:paraId="66B5649D" w14:textId="77777777" w:rsidTr="008A0E75">
        <w:trPr>
          <w:trHeight w:val="380"/>
        </w:trPr>
        <w:tc>
          <w:tcPr>
            <w:tcW w:w="991" w:type="dxa"/>
            <w:vMerge/>
            <w:tcBorders>
              <w:bottom w:val="single" w:sz="4" w:space="0" w:color="auto"/>
            </w:tcBorders>
            <w:vAlign w:val="center"/>
          </w:tcPr>
          <w:p w14:paraId="0873FDA1" w14:textId="77777777" w:rsidR="00A25D23" w:rsidRPr="00ED2534" w:rsidRDefault="00A25D23" w:rsidP="008A0E75">
            <w:pPr>
              <w:spacing w:line="276" w:lineRule="auto"/>
              <w:jc w:val="center"/>
              <w:rPr>
                <w:sz w:val="20"/>
                <w:szCs w:val="20"/>
                <w:lang w:val="en-US"/>
              </w:rPr>
            </w:pPr>
          </w:p>
        </w:tc>
        <w:tc>
          <w:tcPr>
            <w:tcW w:w="995" w:type="dxa"/>
            <w:vAlign w:val="center"/>
          </w:tcPr>
          <w:p w14:paraId="64D5C6C7"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7837B075" w14:textId="77777777" w:rsidR="00A25D23" w:rsidRDefault="00A25D23" w:rsidP="008A0E75">
            <w:pPr>
              <w:spacing w:line="276" w:lineRule="auto"/>
              <w:jc w:val="center"/>
              <w:rPr>
                <w:sz w:val="20"/>
                <w:szCs w:val="20"/>
                <w:lang w:val="en-US"/>
              </w:rPr>
            </w:pPr>
            <w:r>
              <w:rPr>
                <w:sz w:val="20"/>
                <w:szCs w:val="20"/>
                <w:lang w:val="en-US"/>
              </w:rPr>
              <w:t>0.1037</w:t>
            </w:r>
          </w:p>
        </w:tc>
        <w:tc>
          <w:tcPr>
            <w:tcW w:w="1275" w:type="dxa"/>
            <w:vAlign w:val="center"/>
          </w:tcPr>
          <w:p w14:paraId="0B79757D" w14:textId="77777777" w:rsidR="00A25D23" w:rsidRDefault="00A25D23" w:rsidP="008A0E75">
            <w:pPr>
              <w:spacing w:line="276" w:lineRule="auto"/>
              <w:jc w:val="center"/>
              <w:rPr>
                <w:sz w:val="20"/>
                <w:szCs w:val="20"/>
                <w:lang w:val="en-US"/>
              </w:rPr>
            </w:pPr>
            <w:r>
              <w:rPr>
                <w:sz w:val="20"/>
                <w:szCs w:val="20"/>
                <w:lang w:val="en-US"/>
              </w:rPr>
              <w:t>0.1256</w:t>
            </w:r>
          </w:p>
        </w:tc>
        <w:tc>
          <w:tcPr>
            <w:tcW w:w="1284" w:type="dxa"/>
            <w:vAlign w:val="center"/>
          </w:tcPr>
          <w:p w14:paraId="4D9CEEFC" w14:textId="77777777" w:rsidR="00A25D23" w:rsidRDefault="00A25D23" w:rsidP="008A0E75">
            <w:pPr>
              <w:spacing w:line="276" w:lineRule="auto"/>
              <w:jc w:val="center"/>
              <w:rPr>
                <w:sz w:val="20"/>
                <w:szCs w:val="20"/>
                <w:lang w:val="en-US"/>
              </w:rPr>
            </w:pPr>
            <w:r>
              <w:rPr>
                <w:sz w:val="20"/>
                <w:szCs w:val="20"/>
                <w:lang w:val="en-US"/>
              </w:rPr>
              <w:t>0.1265</w:t>
            </w:r>
          </w:p>
        </w:tc>
        <w:tc>
          <w:tcPr>
            <w:tcW w:w="1268" w:type="dxa"/>
            <w:vAlign w:val="center"/>
          </w:tcPr>
          <w:p w14:paraId="18892AB1" w14:textId="77777777" w:rsidR="00A25D23" w:rsidRDefault="00A25D23" w:rsidP="008A0E75">
            <w:pPr>
              <w:spacing w:line="276" w:lineRule="auto"/>
              <w:jc w:val="center"/>
              <w:rPr>
                <w:sz w:val="20"/>
                <w:szCs w:val="20"/>
                <w:lang w:val="en-US"/>
              </w:rPr>
            </w:pPr>
            <w:r>
              <w:rPr>
                <w:sz w:val="20"/>
                <w:szCs w:val="20"/>
                <w:lang w:val="en-US"/>
              </w:rPr>
              <w:t>0.1113</w:t>
            </w:r>
          </w:p>
        </w:tc>
        <w:tc>
          <w:tcPr>
            <w:tcW w:w="1276" w:type="dxa"/>
            <w:gridSpan w:val="2"/>
            <w:vAlign w:val="center"/>
          </w:tcPr>
          <w:p w14:paraId="6137866A" w14:textId="77777777" w:rsidR="00A25D23" w:rsidRDefault="00A25D23" w:rsidP="008A0E75">
            <w:pPr>
              <w:spacing w:line="276" w:lineRule="auto"/>
              <w:jc w:val="center"/>
              <w:rPr>
                <w:sz w:val="20"/>
                <w:szCs w:val="20"/>
                <w:lang w:val="en-US"/>
              </w:rPr>
            </w:pPr>
            <w:r>
              <w:rPr>
                <w:sz w:val="20"/>
                <w:szCs w:val="20"/>
                <w:lang w:val="en-US"/>
              </w:rPr>
              <w:t>0.06816</w:t>
            </w:r>
          </w:p>
        </w:tc>
        <w:tc>
          <w:tcPr>
            <w:tcW w:w="1275" w:type="dxa"/>
            <w:gridSpan w:val="2"/>
            <w:vAlign w:val="center"/>
          </w:tcPr>
          <w:p w14:paraId="2A2C809A" w14:textId="77777777" w:rsidR="00A25D23" w:rsidRDefault="00A25D23" w:rsidP="008A0E75">
            <w:pPr>
              <w:spacing w:line="276" w:lineRule="auto"/>
              <w:jc w:val="center"/>
              <w:rPr>
                <w:sz w:val="20"/>
                <w:szCs w:val="20"/>
                <w:lang w:val="en-US"/>
              </w:rPr>
            </w:pPr>
            <w:r>
              <w:rPr>
                <w:sz w:val="20"/>
                <w:szCs w:val="20"/>
                <w:lang w:val="en-US"/>
              </w:rPr>
              <w:t>0.08592</w:t>
            </w:r>
          </w:p>
        </w:tc>
        <w:tc>
          <w:tcPr>
            <w:tcW w:w="1276" w:type="dxa"/>
            <w:gridSpan w:val="2"/>
            <w:vAlign w:val="center"/>
          </w:tcPr>
          <w:p w14:paraId="084E6399" w14:textId="77777777" w:rsidR="00A25D23" w:rsidRDefault="00A25D23" w:rsidP="008A0E75">
            <w:pPr>
              <w:spacing w:line="276" w:lineRule="auto"/>
              <w:jc w:val="center"/>
              <w:rPr>
                <w:sz w:val="20"/>
                <w:szCs w:val="20"/>
                <w:lang w:val="en-US"/>
              </w:rPr>
            </w:pPr>
            <w:r>
              <w:rPr>
                <w:sz w:val="20"/>
                <w:szCs w:val="20"/>
                <w:lang w:val="en-US"/>
              </w:rPr>
              <w:t>0.08592</w:t>
            </w:r>
          </w:p>
        </w:tc>
        <w:tc>
          <w:tcPr>
            <w:tcW w:w="1418" w:type="dxa"/>
            <w:gridSpan w:val="2"/>
            <w:vAlign w:val="center"/>
          </w:tcPr>
          <w:p w14:paraId="424F9B48" w14:textId="77777777" w:rsidR="00A25D23"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0304E390" w14:textId="77777777" w:rsidR="00A25D23" w:rsidRDefault="00A25D23" w:rsidP="008A0E75">
            <w:pPr>
              <w:spacing w:line="276" w:lineRule="auto"/>
              <w:jc w:val="center"/>
              <w:rPr>
                <w:sz w:val="20"/>
                <w:szCs w:val="20"/>
                <w:lang w:val="en-US"/>
              </w:rPr>
            </w:pPr>
            <w:r>
              <w:rPr>
                <w:sz w:val="20"/>
                <w:szCs w:val="20"/>
                <w:lang w:val="en-US"/>
              </w:rPr>
              <w:t>0.1680</w:t>
            </w:r>
          </w:p>
        </w:tc>
        <w:tc>
          <w:tcPr>
            <w:tcW w:w="1701" w:type="dxa"/>
            <w:vMerge/>
            <w:tcBorders>
              <w:bottom w:val="single" w:sz="4" w:space="0" w:color="auto"/>
            </w:tcBorders>
            <w:vAlign w:val="center"/>
          </w:tcPr>
          <w:p w14:paraId="6D9ACCF2" w14:textId="77777777" w:rsidR="00A25D23" w:rsidRPr="002A1510" w:rsidRDefault="00A25D23" w:rsidP="008A0E75">
            <w:pPr>
              <w:spacing w:line="276" w:lineRule="auto"/>
              <w:jc w:val="center"/>
              <w:rPr>
                <w:sz w:val="20"/>
                <w:szCs w:val="20"/>
                <w:lang w:val="en-US"/>
              </w:rPr>
            </w:pPr>
          </w:p>
        </w:tc>
      </w:tr>
      <w:tr w:rsidR="00A25D23" w:rsidRPr="0017539F" w14:paraId="068D7A68" w14:textId="77777777" w:rsidTr="008A0E75">
        <w:trPr>
          <w:trHeight w:val="380"/>
        </w:trPr>
        <w:tc>
          <w:tcPr>
            <w:tcW w:w="991" w:type="dxa"/>
            <w:vMerge/>
            <w:tcBorders>
              <w:bottom w:val="single" w:sz="4" w:space="0" w:color="auto"/>
            </w:tcBorders>
            <w:vAlign w:val="center"/>
          </w:tcPr>
          <w:p w14:paraId="57E1BFD0" w14:textId="77777777" w:rsidR="00A25D23" w:rsidRPr="002A1510" w:rsidRDefault="00A25D23" w:rsidP="008A0E75">
            <w:pPr>
              <w:spacing w:line="276" w:lineRule="auto"/>
              <w:jc w:val="center"/>
              <w:rPr>
                <w:i/>
                <w:sz w:val="20"/>
                <w:szCs w:val="20"/>
                <w:lang w:val="en-US"/>
              </w:rPr>
            </w:pPr>
          </w:p>
        </w:tc>
        <w:tc>
          <w:tcPr>
            <w:tcW w:w="995" w:type="dxa"/>
            <w:vAlign w:val="center"/>
          </w:tcPr>
          <w:p w14:paraId="0A88742B" w14:textId="77777777" w:rsidR="00A25D23" w:rsidRPr="009B155D" w:rsidRDefault="00A25D23" w:rsidP="008A0E75">
            <w:pPr>
              <w:spacing w:line="276" w:lineRule="auto"/>
              <w:jc w:val="center"/>
              <w:rPr>
                <w:sz w:val="20"/>
                <w:szCs w:val="20"/>
                <w:vertAlign w:val="superscript"/>
                <w:lang w:val="en-US"/>
              </w:rPr>
            </w:pPr>
            <w:r>
              <w:rPr>
                <w:i/>
                <w:sz w:val="20"/>
                <w:szCs w:val="20"/>
                <w:lang w:val="en-US"/>
              </w:rPr>
              <w:t>Fish</w:t>
            </w:r>
            <w:r>
              <w:rPr>
                <w:sz w:val="20"/>
                <w:szCs w:val="20"/>
                <w:lang w:val="en-US"/>
              </w:rPr>
              <w:t xml:space="preserve"> </w:t>
            </w:r>
            <w:r>
              <w:rPr>
                <w:sz w:val="20"/>
                <w:szCs w:val="20"/>
                <w:vertAlign w:val="superscript"/>
                <w:lang w:val="en-US"/>
              </w:rPr>
              <w:t>e</w:t>
            </w:r>
          </w:p>
        </w:tc>
        <w:tc>
          <w:tcPr>
            <w:tcW w:w="1268" w:type="dxa"/>
            <w:vAlign w:val="center"/>
          </w:tcPr>
          <w:p w14:paraId="2FDD54C9" w14:textId="77777777" w:rsidR="00A25D23" w:rsidRDefault="00A25D23" w:rsidP="008A0E75">
            <w:pPr>
              <w:spacing w:line="276" w:lineRule="auto"/>
              <w:jc w:val="center"/>
              <w:rPr>
                <w:sz w:val="20"/>
                <w:szCs w:val="20"/>
                <w:lang w:val="en-US"/>
              </w:rPr>
            </w:pPr>
            <w:r>
              <w:rPr>
                <w:sz w:val="20"/>
                <w:szCs w:val="20"/>
                <w:lang w:val="en-US"/>
              </w:rPr>
              <w:t>0.01824</w:t>
            </w:r>
          </w:p>
        </w:tc>
        <w:tc>
          <w:tcPr>
            <w:tcW w:w="1275" w:type="dxa"/>
            <w:vAlign w:val="center"/>
          </w:tcPr>
          <w:p w14:paraId="590A8194" w14:textId="77777777" w:rsidR="00A25D23" w:rsidRDefault="00A25D23" w:rsidP="008A0E75">
            <w:pPr>
              <w:spacing w:line="276" w:lineRule="auto"/>
              <w:jc w:val="center"/>
              <w:rPr>
                <w:sz w:val="20"/>
                <w:szCs w:val="20"/>
                <w:lang w:val="en-US"/>
              </w:rPr>
            </w:pPr>
            <w:r>
              <w:rPr>
                <w:sz w:val="20"/>
                <w:szCs w:val="20"/>
                <w:lang w:val="en-US"/>
              </w:rPr>
              <w:t>0.02208</w:t>
            </w:r>
          </w:p>
        </w:tc>
        <w:tc>
          <w:tcPr>
            <w:tcW w:w="1284" w:type="dxa"/>
            <w:vAlign w:val="center"/>
          </w:tcPr>
          <w:p w14:paraId="0319ED73" w14:textId="77777777" w:rsidR="00A25D23" w:rsidRPr="002A1510" w:rsidRDefault="00A25D23" w:rsidP="008A0E75">
            <w:pPr>
              <w:spacing w:line="276" w:lineRule="auto"/>
              <w:jc w:val="center"/>
              <w:rPr>
                <w:sz w:val="20"/>
                <w:szCs w:val="20"/>
                <w:lang w:val="en-US"/>
              </w:rPr>
            </w:pPr>
            <w:r>
              <w:rPr>
                <w:sz w:val="20"/>
                <w:szCs w:val="20"/>
                <w:lang w:val="en-US"/>
              </w:rPr>
              <w:t>0.02976</w:t>
            </w:r>
          </w:p>
        </w:tc>
        <w:tc>
          <w:tcPr>
            <w:tcW w:w="1268" w:type="dxa"/>
            <w:vAlign w:val="center"/>
          </w:tcPr>
          <w:p w14:paraId="14B710B9" w14:textId="77777777" w:rsidR="00A25D23" w:rsidRPr="002A1510" w:rsidRDefault="00A25D23" w:rsidP="008A0E75">
            <w:pPr>
              <w:spacing w:line="276" w:lineRule="auto"/>
              <w:jc w:val="center"/>
              <w:rPr>
                <w:sz w:val="20"/>
                <w:szCs w:val="20"/>
                <w:lang w:val="en-US"/>
              </w:rPr>
            </w:pPr>
            <w:r>
              <w:rPr>
                <w:sz w:val="20"/>
                <w:szCs w:val="20"/>
                <w:lang w:val="en-US"/>
              </w:rPr>
              <w:t>0.04452</w:t>
            </w:r>
          </w:p>
        </w:tc>
        <w:tc>
          <w:tcPr>
            <w:tcW w:w="1276" w:type="dxa"/>
            <w:gridSpan w:val="2"/>
            <w:vAlign w:val="center"/>
          </w:tcPr>
          <w:p w14:paraId="4E0948AC" w14:textId="77777777" w:rsidR="00A25D23" w:rsidRPr="002A1510" w:rsidRDefault="00A25D23" w:rsidP="008A0E75">
            <w:pPr>
              <w:spacing w:line="276" w:lineRule="auto"/>
              <w:jc w:val="center"/>
              <w:rPr>
                <w:sz w:val="20"/>
                <w:szCs w:val="20"/>
                <w:lang w:val="en-US"/>
              </w:rPr>
            </w:pPr>
            <w:r>
              <w:rPr>
                <w:sz w:val="20"/>
                <w:szCs w:val="20"/>
                <w:lang w:val="en-US"/>
              </w:rPr>
              <w:t>0.05680</w:t>
            </w:r>
          </w:p>
        </w:tc>
        <w:tc>
          <w:tcPr>
            <w:tcW w:w="1275" w:type="dxa"/>
            <w:gridSpan w:val="2"/>
            <w:vAlign w:val="center"/>
          </w:tcPr>
          <w:p w14:paraId="5535D98E"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276" w:type="dxa"/>
            <w:gridSpan w:val="2"/>
            <w:vAlign w:val="center"/>
          </w:tcPr>
          <w:p w14:paraId="0DE80C15"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418" w:type="dxa"/>
            <w:gridSpan w:val="2"/>
            <w:vAlign w:val="center"/>
          </w:tcPr>
          <w:p w14:paraId="1A243FE6" w14:textId="77777777" w:rsidR="00A25D23" w:rsidRPr="002A1510"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7BB40BDB" w14:textId="77777777" w:rsidR="00A25D23" w:rsidRPr="002A1510" w:rsidRDefault="00A25D23" w:rsidP="008A0E75">
            <w:pPr>
              <w:spacing w:line="276" w:lineRule="auto"/>
              <w:jc w:val="center"/>
              <w:rPr>
                <w:sz w:val="20"/>
                <w:szCs w:val="20"/>
                <w:lang w:val="en-US"/>
              </w:rPr>
            </w:pPr>
            <w:r>
              <w:rPr>
                <w:sz w:val="20"/>
                <w:szCs w:val="20"/>
                <w:lang w:val="en-US"/>
              </w:rPr>
              <w:t>0.1120</w:t>
            </w:r>
          </w:p>
        </w:tc>
        <w:tc>
          <w:tcPr>
            <w:tcW w:w="1701" w:type="dxa"/>
            <w:vMerge/>
            <w:tcBorders>
              <w:bottom w:val="single" w:sz="4" w:space="0" w:color="auto"/>
            </w:tcBorders>
            <w:vAlign w:val="center"/>
          </w:tcPr>
          <w:p w14:paraId="4537BE54" w14:textId="77777777" w:rsidR="00A25D23" w:rsidRPr="002A1510" w:rsidRDefault="00A25D23" w:rsidP="008A0E75">
            <w:pPr>
              <w:spacing w:line="276" w:lineRule="auto"/>
              <w:jc w:val="center"/>
              <w:rPr>
                <w:sz w:val="20"/>
                <w:szCs w:val="20"/>
                <w:lang w:val="en-US"/>
              </w:rPr>
            </w:pPr>
          </w:p>
        </w:tc>
      </w:tr>
      <w:tr w:rsidR="00A25D23" w:rsidRPr="0017539F" w14:paraId="23BD04CC" w14:textId="77777777" w:rsidTr="008A0E75">
        <w:trPr>
          <w:trHeight w:val="380"/>
        </w:trPr>
        <w:tc>
          <w:tcPr>
            <w:tcW w:w="991" w:type="dxa"/>
            <w:vMerge/>
            <w:tcBorders>
              <w:bottom w:val="single" w:sz="4" w:space="0" w:color="auto"/>
            </w:tcBorders>
            <w:vAlign w:val="center"/>
          </w:tcPr>
          <w:p w14:paraId="7C9D8BBE" w14:textId="77777777" w:rsidR="00A25D23" w:rsidRPr="002A1510" w:rsidRDefault="00A25D23" w:rsidP="008A0E75">
            <w:pPr>
              <w:spacing w:line="276" w:lineRule="auto"/>
              <w:jc w:val="center"/>
              <w:rPr>
                <w:i/>
                <w:sz w:val="20"/>
                <w:szCs w:val="20"/>
                <w:lang w:val="en-US"/>
              </w:rPr>
            </w:pPr>
          </w:p>
        </w:tc>
        <w:tc>
          <w:tcPr>
            <w:tcW w:w="995" w:type="dxa"/>
            <w:vAlign w:val="center"/>
          </w:tcPr>
          <w:p w14:paraId="4306FF6B" w14:textId="77777777" w:rsidR="00A25D23" w:rsidRDefault="00A25D23" w:rsidP="008A0E75">
            <w:pPr>
              <w:spacing w:line="276" w:lineRule="auto"/>
              <w:jc w:val="center"/>
              <w:rPr>
                <w:i/>
                <w:sz w:val="20"/>
                <w:szCs w:val="20"/>
                <w:lang w:val="en-US"/>
              </w:rPr>
            </w:pPr>
            <w:r>
              <w:rPr>
                <w:i/>
                <w:sz w:val="20"/>
                <w:szCs w:val="20"/>
                <w:lang w:val="en-US"/>
              </w:rPr>
              <w:t>Meat</w:t>
            </w:r>
          </w:p>
        </w:tc>
        <w:tc>
          <w:tcPr>
            <w:tcW w:w="1268" w:type="dxa"/>
            <w:vAlign w:val="center"/>
          </w:tcPr>
          <w:p w14:paraId="7E818E66" w14:textId="77777777" w:rsidR="00A25D23" w:rsidRDefault="00A25D23" w:rsidP="008A0E75">
            <w:pPr>
              <w:spacing w:line="276" w:lineRule="auto"/>
              <w:jc w:val="center"/>
              <w:rPr>
                <w:sz w:val="20"/>
                <w:szCs w:val="20"/>
                <w:lang w:val="en-US"/>
              </w:rPr>
            </w:pPr>
            <w:r>
              <w:rPr>
                <w:sz w:val="20"/>
                <w:szCs w:val="20"/>
                <w:lang w:val="en-US"/>
              </w:rPr>
              <w:t>0.06840</w:t>
            </w:r>
          </w:p>
        </w:tc>
        <w:tc>
          <w:tcPr>
            <w:tcW w:w="1275" w:type="dxa"/>
            <w:vAlign w:val="center"/>
          </w:tcPr>
          <w:p w14:paraId="4B40D9C9" w14:textId="77777777" w:rsidR="00A25D23" w:rsidRDefault="00A25D23" w:rsidP="008A0E75">
            <w:pPr>
              <w:spacing w:line="276" w:lineRule="auto"/>
              <w:jc w:val="center"/>
              <w:rPr>
                <w:sz w:val="20"/>
                <w:szCs w:val="20"/>
                <w:lang w:val="en-US"/>
              </w:rPr>
            </w:pPr>
            <w:r>
              <w:rPr>
                <w:sz w:val="20"/>
                <w:szCs w:val="20"/>
                <w:lang w:val="en-US"/>
              </w:rPr>
              <w:t>0.08280</w:t>
            </w:r>
          </w:p>
        </w:tc>
        <w:tc>
          <w:tcPr>
            <w:tcW w:w="1284" w:type="dxa"/>
            <w:vAlign w:val="center"/>
          </w:tcPr>
          <w:p w14:paraId="11EFE23E" w14:textId="77777777" w:rsidR="00A25D23" w:rsidRPr="002A1510" w:rsidRDefault="00A25D23" w:rsidP="008A0E75">
            <w:pPr>
              <w:spacing w:line="276" w:lineRule="auto"/>
              <w:jc w:val="center"/>
              <w:rPr>
                <w:sz w:val="20"/>
                <w:szCs w:val="20"/>
                <w:lang w:val="en-US"/>
              </w:rPr>
            </w:pPr>
            <w:r>
              <w:rPr>
                <w:sz w:val="20"/>
                <w:szCs w:val="20"/>
                <w:lang w:val="en-US"/>
              </w:rPr>
              <w:t>0.1116</w:t>
            </w:r>
          </w:p>
        </w:tc>
        <w:tc>
          <w:tcPr>
            <w:tcW w:w="1268" w:type="dxa"/>
            <w:vAlign w:val="center"/>
          </w:tcPr>
          <w:p w14:paraId="3AC71F6B" w14:textId="77777777" w:rsidR="00A25D23" w:rsidRPr="002A1510" w:rsidRDefault="00A25D23" w:rsidP="008A0E75">
            <w:pPr>
              <w:spacing w:line="276" w:lineRule="auto"/>
              <w:jc w:val="center"/>
              <w:rPr>
                <w:sz w:val="20"/>
                <w:szCs w:val="20"/>
                <w:lang w:val="en-US"/>
              </w:rPr>
            </w:pPr>
            <w:r>
              <w:rPr>
                <w:sz w:val="20"/>
                <w:szCs w:val="20"/>
                <w:lang w:val="en-US"/>
              </w:rPr>
              <w:t>0.1336</w:t>
            </w:r>
          </w:p>
        </w:tc>
        <w:tc>
          <w:tcPr>
            <w:tcW w:w="1276" w:type="dxa"/>
            <w:gridSpan w:val="2"/>
            <w:vAlign w:val="center"/>
          </w:tcPr>
          <w:p w14:paraId="040D1CDF" w14:textId="77777777" w:rsidR="00A25D23" w:rsidRPr="002A1510" w:rsidRDefault="00A25D23" w:rsidP="008A0E75">
            <w:pPr>
              <w:spacing w:line="276" w:lineRule="auto"/>
              <w:jc w:val="center"/>
              <w:rPr>
                <w:sz w:val="20"/>
                <w:szCs w:val="20"/>
                <w:lang w:val="en-US"/>
              </w:rPr>
            </w:pPr>
            <w:r>
              <w:rPr>
                <w:sz w:val="20"/>
                <w:szCs w:val="20"/>
                <w:lang w:val="en-US"/>
              </w:rPr>
              <w:t>0.1761</w:t>
            </w:r>
          </w:p>
        </w:tc>
        <w:tc>
          <w:tcPr>
            <w:tcW w:w="1275" w:type="dxa"/>
            <w:gridSpan w:val="2"/>
            <w:vAlign w:val="center"/>
          </w:tcPr>
          <w:p w14:paraId="0619580E"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276" w:type="dxa"/>
            <w:gridSpan w:val="2"/>
            <w:vAlign w:val="center"/>
          </w:tcPr>
          <w:p w14:paraId="1553B7AD"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418" w:type="dxa"/>
            <w:gridSpan w:val="2"/>
            <w:vAlign w:val="center"/>
          </w:tcPr>
          <w:p w14:paraId="47BA303A" w14:textId="77777777" w:rsidR="00A25D23" w:rsidRPr="002A1510" w:rsidRDefault="00A25D23" w:rsidP="008A0E75">
            <w:pPr>
              <w:spacing w:line="276" w:lineRule="auto"/>
              <w:jc w:val="center"/>
              <w:rPr>
                <w:sz w:val="20"/>
                <w:szCs w:val="20"/>
                <w:lang w:val="en-US"/>
              </w:rPr>
            </w:pPr>
            <w:r>
              <w:rPr>
                <w:sz w:val="20"/>
                <w:szCs w:val="20"/>
                <w:lang w:val="en-US"/>
              </w:rPr>
              <w:t>0.2240</w:t>
            </w:r>
          </w:p>
        </w:tc>
        <w:tc>
          <w:tcPr>
            <w:tcW w:w="1142" w:type="dxa"/>
            <w:gridSpan w:val="2"/>
            <w:vAlign w:val="center"/>
          </w:tcPr>
          <w:p w14:paraId="4CD90CBE" w14:textId="77777777" w:rsidR="00A25D23" w:rsidRPr="002A1510" w:rsidRDefault="00A25D23" w:rsidP="008A0E75">
            <w:pPr>
              <w:spacing w:line="276" w:lineRule="auto"/>
              <w:jc w:val="center"/>
              <w:rPr>
                <w:sz w:val="20"/>
                <w:szCs w:val="20"/>
                <w:lang w:val="en-US"/>
              </w:rPr>
            </w:pPr>
            <w:r>
              <w:rPr>
                <w:sz w:val="20"/>
                <w:szCs w:val="20"/>
                <w:lang w:val="en-US"/>
              </w:rPr>
              <w:t>0.1760</w:t>
            </w:r>
          </w:p>
        </w:tc>
        <w:tc>
          <w:tcPr>
            <w:tcW w:w="1701" w:type="dxa"/>
            <w:vMerge/>
            <w:tcBorders>
              <w:bottom w:val="single" w:sz="4" w:space="0" w:color="auto"/>
            </w:tcBorders>
            <w:vAlign w:val="center"/>
          </w:tcPr>
          <w:p w14:paraId="3DCAAF8A" w14:textId="77777777" w:rsidR="00A25D23" w:rsidRPr="002A1510" w:rsidRDefault="00A25D23" w:rsidP="008A0E75">
            <w:pPr>
              <w:spacing w:line="276" w:lineRule="auto"/>
              <w:jc w:val="center"/>
              <w:rPr>
                <w:sz w:val="20"/>
                <w:szCs w:val="20"/>
                <w:lang w:val="en-US"/>
              </w:rPr>
            </w:pPr>
          </w:p>
        </w:tc>
      </w:tr>
      <w:tr w:rsidR="00A25D23" w:rsidRPr="0017539F" w14:paraId="5A70FD88" w14:textId="77777777" w:rsidTr="008A0E75">
        <w:trPr>
          <w:trHeight w:val="380"/>
        </w:trPr>
        <w:tc>
          <w:tcPr>
            <w:tcW w:w="991" w:type="dxa"/>
            <w:vMerge/>
            <w:tcBorders>
              <w:bottom w:val="single" w:sz="4" w:space="0" w:color="auto"/>
            </w:tcBorders>
            <w:vAlign w:val="center"/>
          </w:tcPr>
          <w:p w14:paraId="256DBA69" w14:textId="77777777" w:rsidR="00A25D23" w:rsidRPr="002A1510" w:rsidRDefault="00A25D23" w:rsidP="008A0E75">
            <w:pPr>
              <w:spacing w:line="276" w:lineRule="auto"/>
              <w:jc w:val="center"/>
              <w:rPr>
                <w:i/>
                <w:sz w:val="20"/>
                <w:szCs w:val="20"/>
                <w:lang w:val="en-US"/>
              </w:rPr>
            </w:pPr>
          </w:p>
        </w:tc>
        <w:tc>
          <w:tcPr>
            <w:tcW w:w="995" w:type="dxa"/>
            <w:vAlign w:val="center"/>
          </w:tcPr>
          <w:p w14:paraId="7D951FBD"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vAlign w:val="center"/>
          </w:tcPr>
          <w:p w14:paraId="5CEF8E71" w14:textId="77777777" w:rsidR="00A25D23" w:rsidRDefault="00A25D23" w:rsidP="008A0E75">
            <w:pPr>
              <w:spacing w:line="276" w:lineRule="auto"/>
              <w:jc w:val="center"/>
              <w:rPr>
                <w:sz w:val="20"/>
                <w:szCs w:val="20"/>
                <w:lang w:val="en-US"/>
              </w:rPr>
            </w:pPr>
            <w:r>
              <w:rPr>
                <w:sz w:val="20"/>
                <w:szCs w:val="20"/>
                <w:lang w:val="en-US"/>
              </w:rPr>
              <w:t>1.0488</w:t>
            </w:r>
          </w:p>
        </w:tc>
        <w:tc>
          <w:tcPr>
            <w:tcW w:w="1275" w:type="dxa"/>
            <w:vAlign w:val="center"/>
          </w:tcPr>
          <w:p w14:paraId="6D387DC2" w14:textId="77777777" w:rsidR="00A25D23" w:rsidRDefault="00A25D23" w:rsidP="008A0E75">
            <w:pPr>
              <w:spacing w:line="276" w:lineRule="auto"/>
              <w:jc w:val="center"/>
              <w:rPr>
                <w:sz w:val="20"/>
                <w:szCs w:val="20"/>
                <w:lang w:val="en-US"/>
              </w:rPr>
            </w:pPr>
            <w:r>
              <w:rPr>
                <w:sz w:val="20"/>
                <w:szCs w:val="20"/>
                <w:lang w:val="en-US"/>
              </w:rPr>
              <w:t>1.2696</w:t>
            </w:r>
          </w:p>
        </w:tc>
        <w:tc>
          <w:tcPr>
            <w:tcW w:w="1284" w:type="dxa"/>
            <w:vAlign w:val="center"/>
          </w:tcPr>
          <w:p w14:paraId="2B3D6D38" w14:textId="77777777" w:rsidR="00A25D23" w:rsidRDefault="00A25D23" w:rsidP="008A0E75">
            <w:pPr>
              <w:spacing w:line="276" w:lineRule="auto"/>
              <w:jc w:val="center"/>
              <w:rPr>
                <w:sz w:val="20"/>
                <w:szCs w:val="20"/>
                <w:lang w:val="en-US"/>
              </w:rPr>
            </w:pPr>
            <w:r>
              <w:rPr>
                <w:sz w:val="20"/>
                <w:szCs w:val="20"/>
                <w:lang w:val="en-US"/>
              </w:rPr>
              <w:t>1.0788</w:t>
            </w:r>
          </w:p>
        </w:tc>
        <w:tc>
          <w:tcPr>
            <w:tcW w:w="1268" w:type="dxa"/>
            <w:vAlign w:val="center"/>
          </w:tcPr>
          <w:p w14:paraId="6E93CCFD" w14:textId="77777777" w:rsidR="00A25D23" w:rsidRDefault="00A25D23" w:rsidP="008A0E75">
            <w:pPr>
              <w:spacing w:line="276" w:lineRule="auto"/>
              <w:jc w:val="center"/>
              <w:rPr>
                <w:sz w:val="20"/>
                <w:szCs w:val="20"/>
                <w:lang w:val="en-US"/>
              </w:rPr>
            </w:pPr>
            <w:r>
              <w:rPr>
                <w:sz w:val="20"/>
                <w:szCs w:val="20"/>
                <w:lang w:val="en-US"/>
              </w:rPr>
              <w:t>1.0812</w:t>
            </w:r>
          </w:p>
        </w:tc>
        <w:tc>
          <w:tcPr>
            <w:tcW w:w="1276" w:type="dxa"/>
            <w:gridSpan w:val="2"/>
            <w:vAlign w:val="center"/>
          </w:tcPr>
          <w:p w14:paraId="372C0956" w14:textId="77777777" w:rsidR="00A25D23" w:rsidRDefault="00A25D23" w:rsidP="008A0E75">
            <w:pPr>
              <w:spacing w:line="276" w:lineRule="auto"/>
              <w:jc w:val="center"/>
              <w:rPr>
                <w:sz w:val="20"/>
                <w:szCs w:val="20"/>
                <w:lang w:val="en-US"/>
              </w:rPr>
            </w:pPr>
            <w:r>
              <w:rPr>
                <w:sz w:val="20"/>
                <w:szCs w:val="20"/>
                <w:lang w:val="en-US"/>
              </w:rPr>
              <w:t>0.7952</w:t>
            </w:r>
          </w:p>
        </w:tc>
        <w:tc>
          <w:tcPr>
            <w:tcW w:w="1275" w:type="dxa"/>
            <w:gridSpan w:val="2"/>
            <w:vAlign w:val="center"/>
          </w:tcPr>
          <w:p w14:paraId="2F6EF2CC" w14:textId="77777777" w:rsidR="00A25D23" w:rsidRDefault="00A25D23" w:rsidP="008A0E75">
            <w:pPr>
              <w:spacing w:line="276" w:lineRule="auto"/>
              <w:jc w:val="center"/>
              <w:rPr>
                <w:sz w:val="20"/>
                <w:szCs w:val="20"/>
                <w:lang w:val="en-US"/>
              </w:rPr>
            </w:pPr>
            <w:r>
              <w:rPr>
                <w:sz w:val="20"/>
                <w:szCs w:val="20"/>
                <w:lang w:val="en-US"/>
              </w:rPr>
              <w:t>1.0024</w:t>
            </w:r>
          </w:p>
        </w:tc>
        <w:tc>
          <w:tcPr>
            <w:tcW w:w="1276" w:type="dxa"/>
            <w:gridSpan w:val="2"/>
            <w:vAlign w:val="center"/>
          </w:tcPr>
          <w:p w14:paraId="4E654BAF" w14:textId="77777777" w:rsidR="00A25D23" w:rsidRDefault="00A25D23" w:rsidP="008A0E75">
            <w:pPr>
              <w:spacing w:line="276" w:lineRule="auto"/>
              <w:jc w:val="center"/>
              <w:rPr>
                <w:sz w:val="20"/>
                <w:szCs w:val="20"/>
                <w:lang w:val="en-US"/>
              </w:rPr>
            </w:pPr>
            <w:r>
              <w:rPr>
                <w:sz w:val="20"/>
                <w:szCs w:val="20"/>
                <w:lang w:val="en-US"/>
              </w:rPr>
              <w:t>1.0024</w:t>
            </w:r>
          </w:p>
        </w:tc>
        <w:tc>
          <w:tcPr>
            <w:tcW w:w="1418" w:type="dxa"/>
            <w:gridSpan w:val="2"/>
            <w:vAlign w:val="center"/>
          </w:tcPr>
          <w:p w14:paraId="1F154EAB" w14:textId="77777777" w:rsidR="00A25D23" w:rsidRDefault="00A25D23" w:rsidP="008A0E75">
            <w:pPr>
              <w:spacing w:line="276" w:lineRule="auto"/>
              <w:jc w:val="center"/>
              <w:rPr>
                <w:sz w:val="20"/>
                <w:szCs w:val="20"/>
                <w:lang w:val="en-US"/>
              </w:rPr>
            </w:pPr>
            <w:r>
              <w:rPr>
                <w:sz w:val="20"/>
                <w:szCs w:val="20"/>
                <w:lang w:val="en-US"/>
              </w:rPr>
              <w:t>0.6640</w:t>
            </w:r>
          </w:p>
        </w:tc>
        <w:tc>
          <w:tcPr>
            <w:tcW w:w="1142" w:type="dxa"/>
            <w:gridSpan w:val="2"/>
            <w:vAlign w:val="center"/>
          </w:tcPr>
          <w:p w14:paraId="0F77C4A6" w14:textId="77777777" w:rsidR="00A25D23" w:rsidRDefault="00A25D23" w:rsidP="008A0E75">
            <w:pPr>
              <w:spacing w:line="276" w:lineRule="auto"/>
              <w:jc w:val="center"/>
              <w:rPr>
                <w:sz w:val="20"/>
                <w:szCs w:val="20"/>
                <w:lang w:val="en-US"/>
              </w:rPr>
            </w:pPr>
            <w:r>
              <w:rPr>
                <w:sz w:val="20"/>
                <w:szCs w:val="20"/>
                <w:lang w:val="en-US"/>
              </w:rPr>
              <w:t>0.6400</w:t>
            </w:r>
          </w:p>
        </w:tc>
        <w:tc>
          <w:tcPr>
            <w:tcW w:w="1701" w:type="dxa"/>
            <w:vMerge/>
            <w:tcBorders>
              <w:bottom w:val="single" w:sz="4" w:space="0" w:color="auto"/>
            </w:tcBorders>
            <w:vAlign w:val="center"/>
          </w:tcPr>
          <w:p w14:paraId="00BFD592" w14:textId="77777777" w:rsidR="00A25D23" w:rsidRPr="002A1510" w:rsidRDefault="00A25D23" w:rsidP="008A0E75">
            <w:pPr>
              <w:spacing w:line="276" w:lineRule="auto"/>
              <w:jc w:val="center"/>
              <w:rPr>
                <w:sz w:val="20"/>
                <w:szCs w:val="20"/>
                <w:lang w:val="en-US"/>
              </w:rPr>
            </w:pPr>
          </w:p>
        </w:tc>
      </w:tr>
      <w:tr w:rsidR="00A25D23" w:rsidRPr="0017539F" w14:paraId="0D6E4209" w14:textId="77777777" w:rsidTr="008A0E75">
        <w:trPr>
          <w:trHeight w:val="380"/>
        </w:trPr>
        <w:tc>
          <w:tcPr>
            <w:tcW w:w="991" w:type="dxa"/>
            <w:vMerge/>
            <w:tcBorders>
              <w:bottom w:val="single" w:sz="4" w:space="0" w:color="auto"/>
            </w:tcBorders>
            <w:vAlign w:val="center"/>
          </w:tcPr>
          <w:p w14:paraId="3BBB2CCA"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6B21348" w14:textId="77777777" w:rsidR="00A25D23" w:rsidRDefault="00A25D23" w:rsidP="008A0E75">
            <w:pPr>
              <w:spacing w:line="276" w:lineRule="auto"/>
              <w:jc w:val="center"/>
              <w:rPr>
                <w:i/>
                <w:sz w:val="20"/>
                <w:szCs w:val="20"/>
                <w:lang w:val="en-US"/>
              </w:rPr>
            </w:pPr>
            <w:r>
              <w:rPr>
                <w:i/>
                <w:sz w:val="20"/>
                <w:szCs w:val="20"/>
                <w:lang w:val="en-US"/>
              </w:rPr>
              <w:t>Grain</w:t>
            </w:r>
          </w:p>
        </w:tc>
        <w:tc>
          <w:tcPr>
            <w:tcW w:w="1268" w:type="dxa"/>
            <w:tcBorders>
              <w:bottom w:val="single" w:sz="4" w:space="0" w:color="auto"/>
            </w:tcBorders>
            <w:vAlign w:val="center"/>
          </w:tcPr>
          <w:p w14:paraId="489A7916" w14:textId="77777777" w:rsidR="00A25D23" w:rsidRDefault="00A25D23" w:rsidP="008A0E75">
            <w:pPr>
              <w:spacing w:line="276" w:lineRule="auto"/>
              <w:jc w:val="center"/>
              <w:rPr>
                <w:sz w:val="20"/>
                <w:szCs w:val="20"/>
                <w:lang w:val="en-US"/>
              </w:rPr>
            </w:pPr>
            <w:r>
              <w:rPr>
                <w:sz w:val="20"/>
                <w:szCs w:val="20"/>
                <w:lang w:val="en-US"/>
              </w:rPr>
              <w:t>0.1414</w:t>
            </w:r>
          </w:p>
        </w:tc>
        <w:tc>
          <w:tcPr>
            <w:tcW w:w="1275" w:type="dxa"/>
            <w:tcBorders>
              <w:bottom w:val="single" w:sz="4" w:space="0" w:color="auto"/>
            </w:tcBorders>
            <w:vAlign w:val="center"/>
          </w:tcPr>
          <w:p w14:paraId="69242937" w14:textId="77777777" w:rsidR="00A25D23" w:rsidRDefault="00A25D23" w:rsidP="008A0E75">
            <w:pPr>
              <w:spacing w:line="276" w:lineRule="auto"/>
              <w:jc w:val="center"/>
              <w:rPr>
                <w:sz w:val="20"/>
                <w:szCs w:val="20"/>
                <w:lang w:val="en-US"/>
              </w:rPr>
            </w:pPr>
            <w:r>
              <w:rPr>
                <w:sz w:val="20"/>
                <w:szCs w:val="20"/>
                <w:lang w:val="en-US"/>
              </w:rPr>
              <w:t>0.1711</w:t>
            </w:r>
          </w:p>
        </w:tc>
        <w:tc>
          <w:tcPr>
            <w:tcW w:w="1284" w:type="dxa"/>
            <w:tcBorders>
              <w:bottom w:val="single" w:sz="4" w:space="0" w:color="auto"/>
            </w:tcBorders>
            <w:vAlign w:val="center"/>
          </w:tcPr>
          <w:p w14:paraId="2B4E1639" w14:textId="77777777" w:rsidR="00A25D23" w:rsidRPr="002A1510" w:rsidRDefault="00A25D23" w:rsidP="008A0E75">
            <w:pPr>
              <w:spacing w:line="276" w:lineRule="auto"/>
              <w:jc w:val="center"/>
              <w:rPr>
                <w:sz w:val="20"/>
                <w:szCs w:val="20"/>
                <w:lang w:val="en-US"/>
              </w:rPr>
            </w:pPr>
            <w:r>
              <w:rPr>
                <w:sz w:val="20"/>
                <w:szCs w:val="20"/>
                <w:lang w:val="en-US"/>
              </w:rPr>
              <w:t>0.2065</w:t>
            </w:r>
          </w:p>
        </w:tc>
        <w:tc>
          <w:tcPr>
            <w:tcW w:w="1268" w:type="dxa"/>
            <w:tcBorders>
              <w:bottom w:val="single" w:sz="4" w:space="0" w:color="auto"/>
            </w:tcBorders>
            <w:vAlign w:val="center"/>
          </w:tcPr>
          <w:p w14:paraId="6DB74A1E" w14:textId="77777777" w:rsidR="00A25D23" w:rsidRPr="002A1510" w:rsidRDefault="00A25D23" w:rsidP="008A0E75">
            <w:pPr>
              <w:spacing w:line="276" w:lineRule="auto"/>
              <w:jc w:val="center"/>
              <w:rPr>
                <w:sz w:val="20"/>
                <w:szCs w:val="20"/>
                <w:lang w:val="en-US"/>
              </w:rPr>
            </w:pPr>
            <w:r>
              <w:rPr>
                <w:sz w:val="20"/>
                <w:szCs w:val="20"/>
                <w:lang w:val="en-US"/>
              </w:rPr>
              <w:t>0.2608</w:t>
            </w:r>
          </w:p>
        </w:tc>
        <w:tc>
          <w:tcPr>
            <w:tcW w:w="1276" w:type="dxa"/>
            <w:gridSpan w:val="2"/>
            <w:tcBorders>
              <w:bottom w:val="single" w:sz="4" w:space="0" w:color="auto"/>
            </w:tcBorders>
            <w:vAlign w:val="center"/>
          </w:tcPr>
          <w:p w14:paraId="2BA350B1" w14:textId="77777777" w:rsidR="00A25D23" w:rsidRPr="002A1510" w:rsidRDefault="00A25D23" w:rsidP="008A0E75">
            <w:pPr>
              <w:spacing w:line="276" w:lineRule="auto"/>
              <w:jc w:val="center"/>
              <w:rPr>
                <w:sz w:val="20"/>
                <w:szCs w:val="20"/>
                <w:lang w:val="en-US"/>
              </w:rPr>
            </w:pPr>
            <w:r>
              <w:rPr>
                <w:sz w:val="20"/>
                <w:szCs w:val="20"/>
                <w:lang w:val="en-US"/>
              </w:rPr>
              <w:t>0.2840</w:t>
            </w:r>
          </w:p>
        </w:tc>
        <w:tc>
          <w:tcPr>
            <w:tcW w:w="1275" w:type="dxa"/>
            <w:gridSpan w:val="2"/>
            <w:tcBorders>
              <w:bottom w:val="single" w:sz="4" w:space="0" w:color="auto"/>
            </w:tcBorders>
            <w:vAlign w:val="center"/>
          </w:tcPr>
          <w:p w14:paraId="335B7071"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276" w:type="dxa"/>
            <w:gridSpan w:val="2"/>
            <w:tcBorders>
              <w:bottom w:val="single" w:sz="4" w:space="0" w:color="auto"/>
            </w:tcBorders>
            <w:vAlign w:val="center"/>
          </w:tcPr>
          <w:p w14:paraId="55F5663B"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418" w:type="dxa"/>
            <w:gridSpan w:val="2"/>
            <w:tcBorders>
              <w:bottom w:val="single" w:sz="4" w:space="0" w:color="auto"/>
            </w:tcBorders>
            <w:vAlign w:val="center"/>
          </w:tcPr>
          <w:p w14:paraId="425FD4B4" w14:textId="77777777" w:rsidR="00A25D23" w:rsidRPr="002A1510" w:rsidRDefault="00A25D23" w:rsidP="008A0E75">
            <w:pPr>
              <w:spacing w:line="276" w:lineRule="auto"/>
              <w:jc w:val="center"/>
              <w:rPr>
                <w:sz w:val="20"/>
                <w:szCs w:val="20"/>
                <w:lang w:val="en-US"/>
              </w:rPr>
            </w:pPr>
            <w:r>
              <w:rPr>
                <w:sz w:val="20"/>
                <w:szCs w:val="20"/>
                <w:lang w:val="en-US"/>
              </w:rPr>
              <w:t>0.3680</w:t>
            </w:r>
          </w:p>
        </w:tc>
        <w:tc>
          <w:tcPr>
            <w:tcW w:w="1142" w:type="dxa"/>
            <w:gridSpan w:val="2"/>
            <w:tcBorders>
              <w:bottom w:val="single" w:sz="4" w:space="0" w:color="auto"/>
            </w:tcBorders>
            <w:vAlign w:val="center"/>
          </w:tcPr>
          <w:p w14:paraId="716FCD1D" w14:textId="77777777" w:rsidR="00A25D23" w:rsidRPr="002A1510" w:rsidRDefault="00A25D23" w:rsidP="008A0E75">
            <w:pPr>
              <w:spacing w:line="276" w:lineRule="auto"/>
              <w:jc w:val="center"/>
              <w:rPr>
                <w:sz w:val="20"/>
                <w:szCs w:val="20"/>
                <w:lang w:val="en-US"/>
              </w:rPr>
            </w:pPr>
            <w:r>
              <w:rPr>
                <w:sz w:val="20"/>
                <w:szCs w:val="20"/>
                <w:lang w:val="en-US"/>
              </w:rPr>
              <w:t>0.2800</w:t>
            </w:r>
          </w:p>
        </w:tc>
        <w:tc>
          <w:tcPr>
            <w:tcW w:w="1701" w:type="dxa"/>
            <w:vMerge/>
            <w:tcBorders>
              <w:bottom w:val="single" w:sz="4" w:space="0" w:color="auto"/>
            </w:tcBorders>
            <w:vAlign w:val="center"/>
          </w:tcPr>
          <w:p w14:paraId="691CB590" w14:textId="77777777" w:rsidR="00A25D23" w:rsidRPr="002A1510" w:rsidRDefault="00A25D23" w:rsidP="008A0E75">
            <w:pPr>
              <w:spacing w:line="276" w:lineRule="auto"/>
              <w:jc w:val="center"/>
              <w:rPr>
                <w:sz w:val="20"/>
                <w:szCs w:val="20"/>
                <w:lang w:val="en-US"/>
              </w:rPr>
            </w:pPr>
          </w:p>
        </w:tc>
      </w:tr>
      <w:tr w:rsidR="00A25D23" w:rsidRPr="0017539F" w14:paraId="6F2A1C88" w14:textId="77777777" w:rsidTr="008A0E75">
        <w:trPr>
          <w:trHeight w:val="380"/>
        </w:trPr>
        <w:tc>
          <w:tcPr>
            <w:tcW w:w="991" w:type="dxa"/>
            <w:vMerge/>
            <w:tcBorders>
              <w:bottom w:val="single" w:sz="4" w:space="0" w:color="auto"/>
            </w:tcBorders>
            <w:vAlign w:val="center"/>
          </w:tcPr>
          <w:p w14:paraId="59E81C40"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bottom w:val="single" w:sz="4" w:space="0" w:color="auto"/>
            </w:tcBorders>
            <w:vAlign w:val="center"/>
          </w:tcPr>
          <w:p w14:paraId="389099F1"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1E6E9276" w14:textId="77777777" w:rsidR="00A25D23" w:rsidRDefault="00A25D23" w:rsidP="008A0E75">
            <w:pPr>
              <w:spacing w:line="276" w:lineRule="auto"/>
              <w:jc w:val="center"/>
              <w:rPr>
                <w:sz w:val="20"/>
                <w:szCs w:val="20"/>
                <w:lang w:val="en-US"/>
              </w:rPr>
            </w:pPr>
            <w:r>
              <w:rPr>
                <w:sz w:val="20"/>
                <w:szCs w:val="20"/>
                <w:lang w:val="en-US"/>
              </w:rPr>
              <w:t>Residential scenario</w:t>
            </w:r>
          </w:p>
        </w:tc>
        <w:tc>
          <w:tcPr>
            <w:tcW w:w="1701" w:type="dxa"/>
            <w:vMerge/>
            <w:tcBorders>
              <w:bottom w:val="single" w:sz="4" w:space="0" w:color="auto"/>
            </w:tcBorders>
            <w:vAlign w:val="center"/>
          </w:tcPr>
          <w:p w14:paraId="12F57F87" w14:textId="77777777" w:rsidR="00A25D23" w:rsidRPr="002A1510" w:rsidRDefault="00A25D23" w:rsidP="008A0E75">
            <w:pPr>
              <w:spacing w:line="276" w:lineRule="auto"/>
              <w:jc w:val="center"/>
              <w:rPr>
                <w:sz w:val="20"/>
                <w:szCs w:val="20"/>
                <w:lang w:val="en-US"/>
              </w:rPr>
            </w:pPr>
          </w:p>
        </w:tc>
      </w:tr>
      <w:tr w:rsidR="00A25D23" w:rsidRPr="0017539F" w14:paraId="7588FC66" w14:textId="77777777" w:rsidTr="008A0E75">
        <w:trPr>
          <w:trHeight w:val="380"/>
        </w:trPr>
        <w:tc>
          <w:tcPr>
            <w:tcW w:w="991" w:type="dxa"/>
            <w:vMerge/>
            <w:tcBorders>
              <w:bottom w:val="single" w:sz="4" w:space="0" w:color="auto"/>
            </w:tcBorders>
            <w:vAlign w:val="center"/>
          </w:tcPr>
          <w:p w14:paraId="3D9579FA"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tcBorders>
            <w:vAlign w:val="center"/>
          </w:tcPr>
          <w:p w14:paraId="2A754D4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712368DF" w14:textId="77777777" w:rsidR="00A25D23" w:rsidRDefault="00A25D23" w:rsidP="008A0E75">
            <w:pPr>
              <w:spacing w:line="276" w:lineRule="auto"/>
              <w:jc w:val="center"/>
              <w:rPr>
                <w:sz w:val="20"/>
                <w:szCs w:val="20"/>
                <w:lang w:val="en-US"/>
              </w:rPr>
            </w:pPr>
            <w:r>
              <w:rPr>
                <w:sz w:val="20"/>
                <w:szCs w:val="20"/>
                <w:lang w:val="en-US"/>
              </w:rPr>
              <w:t>0.1778</w:t>
            </w:r>
          </w:p>
        </w:tc>
        <w:tc>
          <w:tcPr>
            <w:tcW w:w="1275" w:type="dxa"/>
            <w:tcBorders>
              <w:top w:val="single" w:sz="4" w:space="0" w:color="auto"/>
            </w:tcBorders>
            <w:vAlign w:val="center"/>
          </w:tcPr>
          <w:p w14:paraId="767B3469" w14:textId="77777777" w:rsidR="00A25D23" w:rsidRDefault="00A25D23" w:rsidP="008A0E75">
            <w:pPr>
              <w:spacing w:line="276" w:lineRule="auto"/>
              <w:jc w:val="center"/>
              <w:rPr>
                <w:sz w:val="20"/>
                <w:szCs w:val="20"/>
                <w:lang w:val="en-US"/>
              </w:rPr>
            </w:pPr>
            <w:r>
              <w:rPr>
                <w:sz w:val="20"/>
                <w:szCs w:val="20"/>
                <w:lang w:val="en-US"/>
              </w:rPr>
              <w:t>0.2153</w:t>
            </w:r>
          </w:p>
        </w:tc>
        <w:tc>
          <w:tcPr>
            <w:tcW w:w="1284" w:type="dxa"/>
            <w:tcBorders>
              <w:top w:val="single" w:sz="4" w:space="0" w:color="auto"/>
            </w:tcBorders>
            <w:vAlign w:val="center"/>
          </w:tcPr>
          <w:p w14:paraId="6F9694A8" w14:textId="77777777" w:rsidR="00A25D23" w:rsidRPr="002A1510" w:rsidRDefault="00A25D23" w:rsidP="008A0E75">
            <w:pPr>
              <w:spacing w:line="276" w:lineRule="auto"/>
              <w:jc w:val="center"/>
              <w:rPr>
                <w:sz w:val="20"/>
                <w:szCs w:val="20"/>
                <w:lang w:val="en-US"/>
              </w:rPr>
            </w:pPr>
            <w:r>
              <w:rPr>
                <w:sz w:val="20"/>
                <w:szCs w:val="20"/>
                <w:lang w:val="en-US"/>
              </w:rPr>
              <w:t>0.2771</w:t>
            </w:r>
          </w:p>
        </w:tc>
        <w:tc>
          <w:tcPr>
            <w:tcW w:w="1268" w:type="dxa"/>
            <w:tcBorders>
              <w:top w:val="single" w:sz="4" w:space="0" w:color="auto"/>
            </w:tcBorders>
            <w:vAlign w:val="center"/>
          </w:tcPr>
          <w:p w14:paraId="7ED1DC40" w14:textId="77777777" w:rsidR="00A25D23" w:rsidRPr="002A1510" w:rsidRDefault="00A25D23" w:rsidP="008A0E75">
            <w:pPr>
              <w:spacing w:line="276" w:lineRule="auto"/>
              <w:jc w:val="center"/>
              <w:rPr>
                <w:sz w:val="20"/>
                <w:szCs w:val="20"/>
                <w:lang w:val="en-US"/>
              </w:rPr>
            </w:pPr>
            <w:r>
              <w:rPr>
                <w:sz w:val="20"/>
                <w:szCs w:val="20"/>
                <w:lang w:val="en-US"/>
              </w:rPr>
              <w:t>0.2767</w:t>
            </w:r>
          </w:p>
        </w:tc>
        <w:tc>
          <w:tcPr>
            <w:tcW w:w="1276" w:type="dxa"/>
            <w:gridSpan w:val="2"/>
            <w:tcBorders>
              <w:top w:val="single" w:sz="4" w:space="0" w:color="auto"/>
            </w:tcBorders>
            <w:vAlign w:val="center"/>
          </w:tcPr>
          <w:p w14:paraId="53FB80C1" w14:textId="77777777" w:rsidR="00A25D23" w:rsidRPr="002A1510" w:rsidRDefault="00A25D23" w:rsidP="008A0E75">
            <w:pPr>
              <w:spacing w:line="276" w:lineRule="auto"/>
              <w:jc w:val="center"/>
              <w:rPr>
                <w:sz w:val="20"/>
                <w:szCs w:val="20"/>
                <w:lang w:val="en-US"/>
              </w:rPr>
            </w:pPr>
            <w:r>
              <w:rPr>
                <w:sz w:val="20"/>
                <w:szCs w:val="20"/>
                <w:lang w:val="en-US"/>
              </w:rPr>
              <w:t>0.1988</w:t>
            </w:r>
          </w:p>
        </w:tc>
        <w:tc>
          <w:tcPr>
            <w:tcW w:w="1275" w:type="dxa"/>
            <w:gridSpan w:val="2"/>
            <w:tcBorders>
              <w:top w:val="single" w:sz="4" w:space="0" w:color="auto"/>
            </w:tcBorders>
            <w:vAlign w:val="center"/>
          </w:tcPr>
          <w:p w14:paraId="72874F8A"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276" w:type="dxa"/>
            <w:gridSpan w:val="2"/>
            <w:tcBorders>
              <w:top w:val="single" w:sz="4" w:space="0" w:color="auto"/>
            </w:tcBorders>
            <w:vAlign w:val="center"/>
          </w:tcPr>
          <w:p w14:paraId="4C0362C2"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418" w:type="dxa"/>
            <w:gridSpan w:val="2"/>
            <w:tcBorders>
              <w:top w:val="single" w:sz="4" w:space="0" w:color="auto"/>
            </w:tcBorders>
            <w:vAlign w:val="center"/>
          </w:tcPr>
          <w:p w14:paraId="38F08F9C" w14:textId="77777777" w:rsidR="00A25D23" w:rsidRPr="002A1510" w:rsidRDefault="00A25D23" w:rsidP="008A0E75">
            <w:pPr>
              <w:spacing w:line="276" w:lineRule="auto"/>
              <w:jc w:val="center"/>
              <w:rPr>
                <w:sz w:val="20"/>
                <w:szCs w:val="20"/>
                <w:lang w:val="en-US"/>
              </w:rPr>
            </w:pPr>
            <w:r>
              <w:rPr>
                <w:sz w:val="20"/>
                <w:szCs w:val="20"/>
                <w:lang w:val="en-US"/>
              </w:rPr>
              <w:t>0.2960</w:t>
            </w:r>
          </w:p>
        </w:tc>
        <w:tc>
          <w:tcPr>
            <w:tcW w:w="1142" w:type="dxa"/>
            <w:gridSpan w:val="2"/>
            <w:tcBorders>
              <w:top w:val="single" w:sz="4" w:space="0" w:color="auto"/>
            </w:tcBorders>
            <w:vAlign w:val="center"/>
          </w:tcPr>
          <w:p w14:paraId="7FC2130F" w14:textId="77777777" w:rsidR="00A25D23" w:rsidRPr="002A1510" w:rsidRDefault="00A25D23" w:rsidP="008A0E75">
            <w:pPr>
              <w:spacing w:line="276" w:lineRule="auto"/>
              <w:jc w:val="center"/>
              <w:rPr>
                <w:sz w:val="20"/>
                <w:szCs w:val="20"/>
                <w:lang w:val="en-US"/>
              </w:rPr>
            </w:pPr>
            <w:r>
              <w:rPr>
                <w:sz w:val="20"/>
                <w:szCs w:val="20"/>
                <w:lang w:val="en-US"/>
              </w:rPr>
              <w:t>0.3520</w:t>
            </w:r>
          </w:p>
        </w:tc>
        <w:tc>
          <w:tcPr>
            <w:tcW w:w="1701" w:type="dxa"/>
            <w:vMerge/>
            <w:tcBorders>
              <w:bottom w:val="single" w:sz="4" w:space="0" w:color="auto"/>
            </w:tcBorders>
            <w:vAlign w:val="center"/>
          </w:tcPr>
          <w:p w14:paraId="536219EA" w14:textId="77777777" w:rsidR="00A25D23" w:rsidRPr="002A1510" w:rsidRDefault="00A25D23" w:rsidP="008A0E75">
            <w:pPr>
              <w:spacing w:line="276" w:lineRule="auto"/>
              <w:jc w:val="center"/>
              <w:rPr>
                <w:sz w:val="20"/>
                <w:szCs w:val="20"/>
                <w:lang w:val="en-US"/>
              </w:rPr>
            </w:pPr>
          </w:p>
        </w:tc>
      </w:tr>
      <w:tr w:rsidR="00A25D23" w:rsidRPr="0017539F" w14:paraId="4B152693" w14:textId="77777777" w:rsidTr="008A0E75">
        <w:trPr>
          <w:trHeight w:val="380"/>
        </w:trPr>
        <w:tc>
          <w:tcPr>
            <w:tcW w:w="991" w:type="dxa"/>
            <w:vMerge/>
            <w:tcBorders>
              <w:bottom w:val="single" w:sz="4" w:space="0" w:color="auto"/>
            </w:tcBorders>
            <w:vAlign w:val="center"/>
          </w:tcPr>
          <w:p w14:paraId="2347BF74" w14:textId="77777777" w:rsidR="00A25D23" w:rsidRPr="002A1510" w:rsidRDefault="00A25D23" w:rsidP="008A0E75">
            <w:pPr>
              <w:spacing w:line="276" w:lineRule="auto"/>
              <w:jc w:val="center"/>
              <w:rPr>
                <w:i/>
                <w:sz w:val="20"/>
                <w:szCs w:val="20"/>
                <w:lang w:val="en-US"/>
              </w:rPr>
            </w:pPr>
          </w:p>
        </w:tc>
        <w:tc>
          <w:tcPr>
            <w:tcW w:w="995" w:type="dxa"/>
            <w:vAlign w:val="center"/>
          </w:tcPr>
          <w:p w14:paraId="12889C49"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1DE05983" w14:textId="77777777" w:rsidR="00A25D23" w:rsidRDefault="00A25D23" w:rsidP="008A0E75">
            <w:pPr>
              <w:spacing w:line="276" w:lineRule="auto"/>
              <w:jc w:val="center"/>
              <w:rPr>
                <w:sz w:val="20"/>
                <w:szCs w:val="20"/>
                <w:lang w:val="en-US"/>
              </w:rPr>
            </w:pPr>
            <w:r>
              <w:rPr>
                <w:sz w:val="20"/>
                <w:szCs w:val="20"/>
                <w:lang w:val="en-US"/>
              </w:rPr>
              <w:t>0.2428</w:t>
            </w:r>
          </w:p>
        </w:tc>
        <w:tc>
          <w:tcPr>
            <w:tcW w:w="1275" w:type="dxa"/>
            <w:vAlign w:val="center"/>
          </w:tcPr>
          <w:p w14:paraId="42D6CAE2" w14:textId="77777777" w:rsidR="00A25D23" w:rsidRDefault="00A25D23" w:rsidP="008A0E75">
            <w:pPr>
              <w:spacing w:line="276" w:lineRule="auto"/>
              <w:jc w:val="center"/>
              <w:rPr>
                <w:sz w:val="20"/>
                <w:szCs w:val="20"/>
                <w:lang w:val="en-US"/>
              </w:rPr>
            </w:pPr>
            <w:r>
              <w:rPr>
                <w:sz w:val="20"/>
                <w:szCs w:val="20"/>
                <w:lang w:val="en-US"/>
              </w:rPr>
              <w:t>0.2939</w:t>
            </w:r>
          </w:p>
        </w:tc>
        <w:tc>
          <w:tcPr>
            <w:tcW w:w="1284" w:type="dxa"/>
            <w:vAlign w:val="center"/>
          </w:tcPr>
          <w:p w14:paraId="45322734" w14:textId="77777777" w:rsidR="00A25D23" w:rsidRPr="002A1510" w:rsidRDefault="00A25D23" w:rsidP="008A0E75">
            <w:pPr>
              <w:spacing w:line="276" w:lineRule="auto"/>
              <w:jc w:val="center"/>
              <w:rPr>
                <w:sz w:val="20"/>
                <w:szCs w:val="20"/>
                <w:lang w:val="en-US"/>
              </w:rPr>
            </w:pPr>
            <w:r>
              <w:rPr>
                <w:sz w:val="20"/>
                <w:szCs w:val="20"/>
                <w:lang w:val="en-US"/>
              </w:rPr>
              <w:t>0.2492</w:t>
            </w:r>
          </w:p>
        </w:tc>
        <w:tc>
          <w:tcPr>
            <w:tcW w:w="1268" w:type="dxa"/>
            <w:vAlign w:val="center"/>
          </w:tcPr>
          <w:p w14:paraId="3016CD55" w14:textId="77777777" w:rsidR="00A25D23" w:rsidRPr="002A1510" w:rsidRDefault="00A25D23" w:rsidP="008A0E75">
            <w:pPr>
              <w:spacing w:line="276" w:lineRule="auto"/>
              <w:jc w:val="center"/>
              <w:rPr>
                <w:sz w:val="20"/>
                <w:szCs w:val="20"/>
                <w:lang w:val="en-US"/>
              </w:rPr>
            </w:pPr>
            <w:r>
              <w:rPr>
                <w:sz w:val="20"/>
                <w:szCs w:val="20"/>
                <w:lang w:val="en-US"/>
              </w:rPr>
              <w:t>0.3307</w:t>
            </w:r>
          </w:p>
        </w:tc>
        <w:tc>
          <w:tcPr>
            <w:tcW w:w="1276" w:type="dxa"/>
            <w:gridSpan w:val="2"/>
            <w:vAlign w:val="center"/>
          </w:tcPr>
          <w:p w14:paraId="75D00EBE" w14:textId="77777777" w:rsidR="00A25D23" w:rsidRPr="002A1510" w:rsidRDefault="00A25D23" w:rsidP="008A0E75">
            <w:pPr>
              <w:spacing w:line="276" w:lineRule="auto"/>
              <w:jc w:val="center"/>
              <w:rPr>
                <w:sz w:val="20"/>
                <w:szCs w:val="20"/>
                <w:lang w:val="en-US"/>
              </w:rPr>
            </w:pPr>
            <w:r>
              <w:rPr>
                <w:sz w:val="20"/>
                <w:szCs w:val="20"/>
                <w:lang w:val="en-US"/>
              </w:rPr>
              <w:t>0.3124</w:t>
            </w:r>
          </w:p>
        </w:tc>
        <w:tc>
          <w:tcPr>
            <w:tcW w:w="1275" w:type="dxa"/>
            <w:gridSpan w:val="2"/>
            <w:vAlign w:val="center"/>
          </w:tcPr>
          <w:p w14:paraId="49D27932"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276" w:type="dxa"/>
            <w:gridSpan w:val="2"/>
            <w:vAlign w:val="center"/>
          </w:tcPr>
          <w:p w14:paraId="2A805BD7"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418" w:type="dxa"/>
            <w:gridSpan w:val="2"/>
            <w:vAlign w:val="center"/>
          </w:tcPr>
          <w:p w14:paraId="1950176E" w14:textId="77777777" w:rsidR="00A25D23" w:rsidRPr="002A1510" w:rsidRDefault="00A25D23" w:rsidP="008A0E75">
            <w:pPr>
              <w:spacing w:line="276" w:lineRule="auto"/>
              <w:jc w:val="center"/>
              <w:rPr>
                <w:sz w:val="20"/>
                <w:szCs w:val="20"/>
                <w:lang w:val="en-US"/>
              </w:rPr>
            </w:pPr>
            <w:r>
              <w:rPr>
                <w:sz w:val="20"/>
                <w:szCs w:val="20"/>
                <w:lang w:val="en-US"/>
              </w:rPr>
              <w:t>0.4720</w:t>
            </w:r>
          </w:p>
        </w:tc>
        <w:tc>
          <w:tcPr>
            <w:tcW w:w="1142" w:type="dxa"/>
            <w:gridSpan w:val="2"/>
            <w:vAlign w:val="center"/>
          </w:tcPr>
          <w:p w14:paraId="309FA603" w14:textId="77777777" w:rsidR="00A25D23" w:rsidRPr="002A1510"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77B08CC4" w14:textId="77777777" w:rsidR="00A25D23" w:rsidRPr="002A1510" w:rsidRDefault="00A25D23" w:rsidP="008A0E75">
            <w:pPr>
              <w:spacing w:line="276" w:lineRule="auto"/>
              <w:jc w:val="center"/>
              <w:rPr>
                <w:sz w:val="20"/>
                <w:szCs w:val="20"/>
                <w:lang w:val="en-US"/>
              </w:rPr>
            </w:pPr>
          </w:p>
        </w:tc>
      </w:tr>
      <w:tr w:rsidR="00A25D23" w:rsidRPr="0017539F" w14:paraId="616A80FB" w14:textId="77777777" w:rsidTr="008A0E75">
        <w:trPr>
          <w:trHeight w:val="380"/>
        </w:trPr>
        <w:tc>
          <w:tcPr>
            <w:tcW w:w="991" w:type="dxa"/>
            <w:vMerge/>
            <w:tcBorders>
              <w:bottom w:val="single" w:sz="4" w:space="0" w:color="auto"/>
            </w:tcBorders>
            <w:vAlign w:val="center"/>
          </w:tcPr>
          <w:p w14:paraId="0575BA7C" w14:textId="77777777" w:rsidR="00A25D23" w:rsidRPr="002A1510" w:rsidRDefault="00A25D23" w:rsidP="008A0E75">
            <w:pPr>
              <w:spacing w:line="276" w:lineRule="auto"/>
              <w:jc w:val="center"/>
              <w:rPr>
                <w:i/>
                <w:sz w:val="20"/>
                <w:szCs w:val="20"/>
                <w:lang w:val="en-US"/>
              </w:rPr>
            </w:pPr>
          </w:p>
        </w:tc>
        <w:tc>
          <w:tcPr>
            <w:tcW w:w="995" w:type="dxa"/>
            <w:vAlign w:val="center"/>
          </w:tcPr>
          <w:p w14:paraId="107FDBCD" w14:textId="77777777" w:rsidR="00A25D23" w:rsidRPr="009B155D" w:rsidRDefault="00A25D23" w:rsidP="008A0E75">
            <w:pPr>
              <w:spacing w:line="276" w:lineRule="auto"/>
              <w:jc w:val="center"/>
              <w:rPr>
                <w:sz w:val="20"/>
                <w:szCs w:val="20"/>
                <w:vertAlign w:val="superscript"/>
                <w:lang w:val="en-US"/>
              </w:rPr>
            </w:pPr>
            <w:r>
              <w:rPr>
                <w:i/>
                <w:sz w:val="20"/>
                <w:szCs w:val="20"/>
                <w:lang w:val="en-US"/>
              </w:rPr>
              <w:t>Meat</w:t>
            </w:r>
          </w:p>
        </w:tc>
        <w:tc>
          <w:tcPr>
            <w:tcW w:w="1268" w:type="dxa"/>
            <w:vAlign w:val="center"/>
          </w:tcPr>
          <w:p w14:paraId="141FF628" w14:textId="77777777" w:rsidR="00A25D23" w:rsidRDefault="00A25D23" w:rsidP="008A0E75">
            <w:pPr>
              <w:spacing w:line="276" w:lineRule="auto"/>
              <w:jc w:val="center"/>
              <w:rPr>
                <w:sz w:val="20"/>
                <w:szCs w:val="20"/>
                <w:lang w:val="en-US"/>
              </w:rPr>
            </w:pPr>
            <w:r>
              <w:rPr>
                <w:sz w:val="20"/>
                <w:szCs w:val="20"/>
                <w:lang w:val="en-US"/>
              </w:rPr>
              <w:t>0.1140</w:t>
            </w:r>
          </w:p>
        </w:tc>
        <w:tc>
          <w:tcPr>
            <w:tcW w:w="1275" w:type="dxa"/>
            <w:vAlign w:val="center"/>
          </w:tcPr>
          <w:p w14:paraId="2933163A" w14:textId="77777777" w:rsidR="00A25D23" w:rsidRDefault="00A25D23" w:rsidP="008A0E75">
            <w:pPr>
              <w:spacing w:line="276" w:lineRule="auto"/>
              <w:jc w:val="center"/>
              <w:rPr>
                <w:sz w:val="20"/>
                <w:szCs w:val="20"/>
                <w:lang w:val="en-US"/>
              </w:rPr>
            </w:pPr>
            <w:r>
              <w:rPr>
                <w:sz w:val="20"/>
                <w:szCs w:val="20"/>
                <w:lang w:val="en-US"/>
              </w:rPr>
              <w:t>0.1380</w:t>
            </w:r>
          </w:p>
        </w:tc>
        <w:tc>
          <w:tcPr>
            <w:tcW w:w="1284" w:type="dxa"/>
            <w:vAlign w:val="center"/>
          </w:tcPr>
          <w:p w14:paraId="27E883AB" w14:textId="77777777" w:rsidR="00A25D23" w:rsidRDefault="00A25D23" w:rsidP="008A0E75">
            <w:pPr>
              <w:spacing w:line="276" w:lineRule="auto"/>
              <w:jc w:val="center"/>
              <w:rPr>
                <w:sz w:val="20"/>
                <w:szCs w:val="20"/>
                <w:lang w:val="en-US"/>
              </w:rPr>
            </w:pPr>
            <w:r>
              <w:rPr>
                <w:sz w:val="20"/>
                <w:szCs w:val="20"/>
                <w:lang w:val="en-US"/>
              </w:rPr>
              <w:t>0.1581</w:t>
            </w:r>
          </w:p>
        </w:tc>
        <w:tc>
          <w:tcPr>
            <w:tcW w:w="1268" w:type="dxa"/>
            <w:vAlign w:val="center"/>
          </w:tcPr>
          <w:p w14:paraId="1E0FED5F" w14:textId="77777777" w:rsidR="00A25D23" w:rsidRDefault="00A25D23" w:rsidP="008A0E75">
            <w:pPr>
              <w:spacing w:line="276" w:lineRule="auto"/>
              <w:jc w:val="center"/>
              <w:rPr>
                <w:sz w:val="20"/>
                <w:szCs w:val="20"/>
                <w:lang w:val="en-US"/>
              </w:rPr>
            </w:pPr>
            <w:r>
              <w:rPr>
                <w:sz w:val="20"/>
                <w:szCs w:val="20"/>
                <w:lang w:val="en-US"/>
              </w:rPr>
              <w:t>0.2035</w:t>
            </w:r>
          </w:p>
        </w:tc>
        <w:tc>
          <w:tcPr>
            <w:tcW w:w="1276" w:type="dxa"/>
            <w:gridSpan w:val="2"/>
            <w:vAlign w:val="center"/>
          </w:tcPr>
          <w:p w14:paraId="64121C78" w14:textId="77777777" w:rsidR="00A25D23" w:rsidRDefault="00A25D23" w:rsidP="008A0E75">
            <w:pPr>
              <w:spacing w:line="276" w:lineRule="auto"/>
              <w:jc w:val="center"/>
              <w:rPr>
                <w:sz w:val="20"/>
                <w:szCs w:val="20"/>
                <w:lang w:val="en-US"/>
              </w:rPr>
            </w:pPr>
            <w:r>
              <w:rPr>
                <w:sz w:val="20"/>
                <w:szCs w:val="20"/>
                <w:lang w:val="en-US"/>
              </w:rPr>
              <w:t>0.2670</w:t>
            </w:r>
          </w:p>
        </w:tc>
        <w:tc>
          <w:tcPr>
            <w:tcW w:w="1275" w:type="dxa"/>
            <w:gridSpan w:val="2"/>
            <w:vAlign w:val="center"/>
          </w:tcPr>
          <w:p w14:paraId="25DB01F6" w14:textId="77777777" w:rsidR="00A25D23" w:rsidRDefault="00A25D23" w:rsidP="008A0E75">
            <w:pPr>
              <w:spacing w:line="276" w:lineRule="auto"/>
              <w:jc w:val="center"/>
              <w:rPr>
                <w:sz w:val="20"/>
                <w:szCs w:val="20"/>
                <w:lang w:val="en-US"/>
              </w:rPr>
            </w:pPr>
            <w:r>
              <w:rPr>
                <w:sz w:val="20"/>
                <w:szCs w:val="20"/>
                <w:lang w:val="en-US"/>
              </w:rPr>
              <w:t>0.3365</w:t>
            </w:r>
          </w:p>
        </w:tc>
        <w:tc>
          <w:tcPr>
            <w:tcW w:w="1276" w:type="dxa"/>
            <w:gridSpan w:val="2"/>
            <w:vAlign w:val="center"/>
          </w:tcPr>
          <w:p w14:paraId="5DE6F017" w14:textId="77777777" w:rsidR="00A25D23" w:rsidRDefault="00A25D23" w:rsidP="008A0E75">
            <w:pPr>
              <w:spacing w:line="276" w:lineRule="auto"/>
              <w:jc w:val="center"/>
              <w:rPr>
                <w:sz w:val="20"/>
                <w:szCs w:val="20"/>
                <w:lang w:val="en-US"/>
              </w:rPr>
            </w:pPr>
            <w:r>
              <w:rPr>
                <w:sz w:val="20"/>
                <w:szCs w:val="20"/>
                <w:lang w:val="en-US"/>
              </w:rPr>
              <w:t>0.3365</w:t>
            </w:r>
          </w:p>
        </w:tc>
        <w:tc>
          <w:tcPr>
            <w:tcW w:w="1418" w:type="dxa"/>
            <w:gridSpan w:val="2"/>
            <w:vAlign w:val="center"/>
          </w:tcPr>
          <w:p w14:paraId="7F958542" w14:textId="77777777" w:rsidR="00A25D23" w:rsidRDefault="00A25D23" w:rsidP="008A0E75">
            <w:pPr>
              <w:spacing w:line="276" w:lineRule="auto"/>
              <w:jc w:val="center"/>
              <w:rPr>
                <w:sz w:val="20"/>
                <w:szCs w:val="20"/>
                <w:lang w:val="en-US"/>
              </w:rPr>
            </w:pPr>
            <w:r>
              <w:rPr>
                <w:sz w:val="20"/>
                <w:szCs w:val="20"/>
                <w:lang w:val="en-US"/>
              </w:rPr>
              <w:t>0.3280</w:t>
            </w:r>
          </w:p>
        </w:tc>
        <w:tc>
          <w:tcPr>
            <w:tcW w:w="1142" w:type="dxa"/>
            <w:gridSpan w:val="2"/>
            <w:vAlign w:val="center"/>
          </w:tcPr>
          <w:p w14:paraId="26262C30" w14:textId="77777777" w:rsidR="00A25D23" w:rsidRDefault="00A25D23" w:rsidP="008A0E75">
            <w:pPr>
              <w:spacing w:line="276" w:lineRule="auto"/>
              <w:jc w:val="center"/>
              <w:rPr>
                <w:sz w:val="20"/>
                <w:szCs w:val="20"/>
                <w:lang w:val="en-US"/>
              </w:rPr>
            </w:pPr>
            <w:r>
              <w:rPr>
                <w:sz w:val="20"/>
                <w:szCs w:val="20"/>
                <w:lang w:val="en-US"/>
              </w:rPr>
              <w:t>0.2480</w:t>
            </w:r>
          </w:p>
        </w:tc>
        <w:tc>
          <w:tcPr>
            <w:tcW w:w="1701" w:type="dxa"/>
            <w:vMerge/>
            <w:tcBorders>
              <w:bottom w:val="single" w:sz="4" w:space="0" w:color="auto"/>
            </w:tcBorders>
            <w:vAlign w:val="center"/>
          </w:tcPr>
          <w:p w14:paraId="217A06FB" w14:textId="77777777" w:rsidR="00A25D23" w:rsidRPr="002A1510" w:rsidRDefault="00A25D23" w:rsidP="008A0E75">
            <w:pPr>
              <w:spacing w:line="276" w:lineRule="auto"/>
              <w:jc w:val="center"/>
              <w:rPr>
                <w:sz w:val="20"/>
                <w:szCs w:val="20"/>
                <w:lang w:val="en-US"/>
              </w:rPr>
            </w:pPr>
          </w:p>
        </w:tc>
      </w:tr>
      <w:tr w:rsidR="00A25D23" w:rsidRPr="0017539F" w14:paraId="28E369CE" w14:textId="77777777" w:rsidTr="008A0E75">
        <w:trPr>
          <w:trHeight w:val="380"/>
        </w:trPr>
        <w:tc>
          <w:tcPr>
            <w:tcW w:w="991" w:type="dxa"/>
            <w:vMerge/>
            <w:tcBorders>
              <w:bottom w:val="single" w:sz="4" w:space="0" w:color="auto"/>
            </w:tcBorders>
            <w:vAlign w:val="center"/>
          </w:tcPr>
          <w:p w14:paraId="4DE3070F"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992972E"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tcBorders>
              <w:bottom w:val="single" w:sz="4" w:space="0" w:color="auto"/>
            </w:tcBorders>
            <w:vAlign w:val="center"/>
          </w:tcPr>
          <w:p w14:paraId="27BE7330" w14:textId="77777777" w:rsidR="00A25D23" w:rsidRDefault="00A25D23" w:rsidP="008A0E75">
            <w:pPr>
              <w:spacing w:line="276" w:lineRule="auto"/>
              <w:jc w:val="center"/>
              <w:rPr>
                <w:sz w:val="20"/>
                <w:szCs w:val="20"/>
                <w:lang w:val="en-US"/>
              </w:rPr>
            </w:pPr>
            <w:r>
              <w:rPr>
                <w:sz w:val="20"/>
                <w:szCs w:val="20"/>
                <w:lang w:val="en-US"/>
              </w:rPr>
              <w:t>1.1138</w:t>
            </w:r>
          </w:p>
        </w:tc>
        <w:tc>
          <w:tcPr>
            <w:tcW w:w="1275" w:type="dxa"/>
            <w:tcBorders>
              <w:bottom w:val="single" w:sz="4" w:space="0" w:color="auto"/>
            </w:tcBorders>
            <w:vAlign w:val="center"/>
          </w:tcPr>
          <w:p w14:paraId="5055CA1C" w14:textId="77777777" w:rsidR="00A25D23" w:rsidRDefault="00A25D23" w:rsidP="008A0E75">
            <w:pPr>
              <w:spacing w:line="276" w:lineRule="auto"/>
              <w:jc w:val="center"/>
              <w:rPr>
                <w:sz w:val="20"/>
                <w:szCs w:val="20"/>
                <w:lang w:val="en-US"/>
              </w:rPr>
            </w:pPr>
            <w:r>
              <w:rPr>
                <w:sz w:val="20"/>
                <w:szCs w:val="20"/>
                <w:lang w:val="en-US"/>
              </w:rPr>
              <w:t>1.3483</w:t>
            </w:r>
          </w:p>
        </w:tc>
        <w:tc>
          <w:tcPr>
            <w:tcW w:w="1284" w:type="dxa"/>
            <w:tcBorders>
              <w:bottom w:val="single" w:sz="4" w:space="0" w:color="auto"/>
            </w:tcBorders>
            <w:vAlign w:val="center"/>
          </w:tcPr>
          <w:p w14:paraId="06376D91" w14:textId="77777777" w:rsidR="00A25D23" w:rsidRDefault="00A25D23" w:rsidP="008A0E75">
            <w:pPr>
              <w:spacing w:line="276" w:lineRule="auto"/>
              <w:jc w:val="center"/>
              <w:rPr>
                <w:sz w:val="20"/>
                <w:szCs w:val="20"/>
                <w:lang w:val="en-US"/>
              </w:rPr>
            </w:pPr>
            <w:r>
              <w:rPr>
                <w:sz w:val="20"/>
                <w:szCs w:val="20"/>
                <w:lang w:val="en-US"/>
              </w:rPr>
              <w:t>0.9504</w:t>
            </w:r>
          </w:p>
        </w:tc>
        <w:tc>
          <w:tcPr>
            <w:tcW w:w="1268" w:type="dxa"/>
            <w:tcBorders>
              <w:bottom w:val="single" w:sz="4" w:space="0" w:color="auto"/>
            </w:tcBorders>
            <w:vAlign w:val="center"/>
          </w:tcPr>
          <w:p w14:paraId="1772FB8A" w14:textId="77777777" w:rsidR="00A25D23" w:rsidRDefault="00A25D23" w:rsidP="008A0E75">
            <w:pPr>
              <w:spacing w:line="276" w:lineRule="auto"/>
              <w:jc w:val="center"/>
              <w:rPr>
                <w:sz w:val="20"/>
                <w:szCs w:val="20"/>
                <w:lang w:val="en-US"/>
              </w:rPr>
            </w:pPr>
            <w:r>
              <w:rPr>
                <w:sz w:val="20"/>
                <w:szCs w:val="20"/>
                <w:lang w:val="en-US"/>
              </w:rPr>
              <w:t>1.0112</w:t>
            </w:r>
          </w:p>
        </w:tc>
        <w:tc>
          <w:tcPr>
            <w:tcW w:w="1276" w:type="dxa"/>
            <w:gridSpan w:val="2"/>
            <w:tcBorders>
              <w:bottom w:val="single" w:sz="4" w:space="0" w:color="auto"/>
            </w:tcBorders>
            <w:vAlign w:val="center"/>
          </w:tcPr>
          <w:p w14:paraId="3128A8E3" w14:textId="77777777" w:rsidR="00A25D23" w:rsidRDefault="00A25D23" w:rsidP="008A0E75">
            <w:pPr>
              <w:spacing w:line="276" w:lineRule="auto"/>
              <w:jc w:val="center"/>
              <w:rPr>
                <w:sz w:val="20"/>
                <w:szCs w:val="20"/>
                <w:lang w:val="en-US"/>
              </w:rPr>
            </w:pPr>
            <w:r>
              <w:rPr>
                <w:sz w:val="20"/>
                <w:szCs w:val="20"/>
                <w:lang w:val="en-US"/>
              </w:rPr>
              <w:t>0.9315</w:t>
            </w:r>
          </w:p>
        </w:tc>
        <w:tc>
          <w:tcPr>
            <w:tcW w:w="1275" w:type="dxa"/>
            <w:gridSpan w:val="2"/>
            <w:tcBorders>
              <w:bottom w:val="single" w:sz="4" w:space="0" w:color="auto"/>
            </w:tcBorders>
            <w:vAlign w:val="center"/>
          </w:tcPr>
          <w:p w14:paraId="7FE3D870" w14:textId="77777777" w:rsidR="00A25D23" w:rsidRDefault="00A25D23" w:rsidP="008A0E75">
            <w:pPr>
              <w:spacing w:line="276" w:lineRule="auto"/>
              <w:jc w:val="center"/>
              <w:rPr>
                <w:sz w:val="20"/>
                <w:szCs w:val="20"/>
                <w:lang w:val="en-US"/>
              </w:rPr>
            </w:pPr>
            <w:r>
              <w:rPr>
                <w:sz w:val="20"/>
                <w:szCs w:val="20"/>
                <w:lang w:val="en-US"/>
              </w:rPr>
              <w:t>1.1742</w:t>
            </w:r>
          </w:p>
        </w:tc>
        <w:tc>
          <w:tcPr>
            <w:tcW w:w="1276" w:type="dxa"/>
            <w:gridSpan w:val="2"/>
            <w:tcBorders>
              <w:bottom w:val="single" w:sz="4" w:space="0" w:color="auto"/>
            </w:tcBorders>
            <w:vAlign w:val="center"/>
          </w:tcPr>
          <w:p w14:paraId="62F347EE" w14:textId="77777777" w:rsidR="00A25D23" w:rsidRDefault="00A25D23" w:rsidP="008A0E75">
            <w:pPr>
              <w:spacing w:line="276" w:lineRule="auto"/>
              <w:jc w:val="center"/>
              <w:rPr>
                <w:sz w:val="20"/>
                <w:szCs w:val="20"/>
                <w:lang w:val="en-US"/>
              </w:rPr>
            </w:pPr>
            <w:r>
              <w:rPr>
                <w:sz w:val="20"/>
                <w:szCs w:val="20"/>
                <w:lang w:val="en-US"/>
              </w:rPr>
              <w:t>1.1742</w:t>
            </w:r>
          </w:p>
        </w:tc>
        <w:tc>
          <w:tcPr>
            <w:tcW w:w="1418" w:type="dxa"/>
            <w:gridSpan w:val="2"/>
            <w:tcBorders>
              <w:bottom w:val="single" w:sz="4" w:space="0" w:color="auto"/>
            </w:tcBorders>
            <w:vAlign w:val="center"/>
          </w:tcPr>
          <w:p w14:paraId="2A1B706C" w14:textId="77777777" w:rsidR="00A25D23" w:rsidRDefault="00A25D23" w:rsidP="008A0E75">
            <w:pPr>
              <w:spacing w:line="276" w:lineRule="auto"/>
              <w:jc w:val="center"/>
              <w:rPr>
                <w:sz w:val="20"/>
                <w:szCs w:val="20"/>
                <w:lang w:val="en-US"/>
              </w:rPr>
            </w:pPr>
            <w:r>
              <w:rPr>
                <w:sz w:val="20"/>
                <w:szCs w:val="20"/>
                <w:lang w:val="en-US"/>
              </w:rPr>
              <w:t>0.8240</w:t>
            </w:r>
          </w:p>
        </w:tc>
        <w:tc>
          <w:tcPr>
            <w:tcW w:w="1142" w:type="dxa"/>
            <w:gridSpan w:val="2"/>
            <w:tcBorders>
              <w:bottom w:val="single" w:sz="4" w:space="0" w:color="auto"/>
            </w:tcBorders>
            <w:vAlign w:val="center"/>
          </w:tcPr>
          <w:p w14:paraId="79B4957B" w14:textId="77777777" w:rsidR="00A25D23" w:rsidRDefault="00A25D23" w:rsidP="008A0E75">
            <w:pPr>
              <w:spacing w:line="276" w:lineRule="auto"/>
              <w:jc w:val="center"/>
              <w:rPr>
                <w:sz w:val="20"/>
                <w:szCs w:val="20"/>
                <w:lang w:val="en-US"/>
              </w:rPr>
            </w:pPr>
            <w:r>
              <w:rPr>
                <w:sz w:val="20"/>
                <w:szCs w:val="20"/>
                <w:lang w:val="en-US"/>
              </w:rPr>
              <w:t>0.7680</w:t>
            </w:r>
          </w:p>
        </w:tc>
        <w:tc>
          <w:tcPr>
            <w:tcW w:w="1701" w:type="dxa"/>
            <w:vMerge/>
            <w:tcBorders>
              <w:bottom w:val="single" w:sz="4" w:space="0" w:color="auto"/>
            </w:tcBorders>
            <w:vAlign w:val="center"/>
          </w:tcPr>
          <w:p w14:paraId="1FD77D02" w14:textId="77777777" w:rsidR="00A25D23" w:rsidRPr="002A1510" w:rsidRDefault="00A25D23" w:rsidP="008A0E75">
            <w:pPr>
              <w:spacing w:line="276" w:lineRule="auto"/>
              <w:jc w:val="center"/>
              <w:rPr>
                <w:sz w:val="20"/>
                <w:szCs w:val="20"/>
                <w:lang w:val="en-US"/>
              </w:rPr>
            </w:pPr>
          </w:p>
        </w:tc>
      </w:tr>
      <w:tr w:rsidR="00A25D23" w:rsidRPr="0017539F" w14:paraId="106613F1" w14:textId="77777777" w:rsidTr="008A0E75">
        <w:trPr>
          <w:trHeight w:val="380"/>
        </w:trPr>
        <w:tc>
          <w:tcPr>
            <w:tcW w:w="1986" w:type="dxa"/>
            <w:gridSpan w:val="2"/>
            <w:tcBorders>
              <w:bottom w:val="single" w:sz="4" w:space="0" w:color="auto"/>
            </w:tcBorders>
            <w:vAlign w:val="center"/>
          </w:tcPr>
          <w:p w14:paraId="375EC087" w14:textId="356E1E28" w:rsidR="00A25D23" w:rsidRPr="00041D92" w:rsidRDefault="00A25D23" w:rsidP="008A0E75">
            <w:pPr>
              <w:spacing w:line="276" w:lineRule="auto"/>
              <w:jc w:val="center"/>
              <w:rPr>
                <w:sz w:val="20"/>
                <w:szCs w:val="20"/>
                <w:lang w:val="en-US"/>
              </w:rPr>
            </w:pPr>
            <w:proofErr w:type="spellStart"/>
            <w:r w:rsidRPr="002A1510">
              <w:rPr>
                <w:i/>
                <w:sz w:val="20"/>
                <w:szCs w:val="20"/>
                <w:lang w:val="en-US"/>
              </w:rPr>
              <w:t>IR</w:t>
            </w:r>
            <w:r w:rsidR="00286CF2">
              <w:rPr>
                <w:i/>
                <w:sz w:val="20"/>
                <w:szCs w:val="20"/>
                <w:vertAlign w:val="subscript"/>
                <w:lang w:val="en-US"/>
              </w:rPr>
              <w:t>w</w:t>
            </w:r>
            <w:proofErr w:type="spellEnd"/>
            <w:r>
              <w:rPr>
                <w:sz w:val="20"/>
                <w:szCs w:val="20"/>
                <w:lang w:val="en-US"/>
              </w:rPr>
              <w:t xml:space="preserve"> (L d</w:t>
            </w:r>
            <w:r>
              <w:rPr>
                <w:sz w:val="20"/>
                <w:szCs w:val="20"/>
                <w:vertAlign w:val="superscript"/>
                <w:lang w:val="en-US"/>
              </w:rPr>
              <w:t>-1</w:t>
            </w:r>
            <w:r>
              <w:rPr>
                <w:sz w:val="20"/>
                <w:szCs w:val="20"/>
                <w:lang w:val="en-US"/>
              </w:rPr>
              <w:t>)</w:t>
            </w:r>
          </w:p>
        </w:tc>
        <w:tc>
          <w:tcPr>
            <w:tcW w:w="1268" w:type="dxa"/>
            <w:tcBorders>
              <w:bottom w:val="single" w:sz="4" w:space="0" w:color="auto"/>
            </w:tcBorders>
            <w:vAlign w:val="center"/>
          </w:tcPr>
          <w:p w14:paraId="490CD9D4" w14:textId="77777777" w:rsidR="00A25D23" w:rsidRDefault="00A25D23" w:rsidP="008A0E75">
            <w:pPr>
              <w:spacing w:line="276" w:lineRule="auto"/>
              <w:jc w:val="center"/>
              <w:rPr>
                <w:sz w:val="20"/>
                <w:szCs w:val="20"/>
                <w:lang w:val="en-US"/>
              </w:rPr>
            </w:pPr>
            <w:r>
              <w:rPr>
                <w:sz w:val="20"/>
                <w:szCs w:val="20"/>
                <w:lang w:val="en-US"/>
              </w:rPr>
              <w:t>0.837</w:t>
            </w:r>
          </w:p>
        </w:tc>
        <w:tc>
          <w:tcPr>
            <w:tcW w:w="1275" w:type="dxa"/>
            <w:tcBorders>
              <w:bottom w:val="single" w:sz="4" w:space="0" w:color="auto"/>
            </w:tcBorders>
            <w:vAlign w:val="center"/>
          </w:tcPr>
          <w:p w14:paraId="0D0D6B3E" w14:textId="77777777" w:rsidR="00A25D23" w:rsidRDefault="00A25D23" w:rsidP="008A0E75">
            <w:pPr>
              <w:spacing w:line="276" w:lineRule="auto"/>
              <w:jc w:val="center"/>
              <w:rPr>
                <w:sz w:val="20"/>
                <w:szCs w:val="20"/>
                <w:lang w:val="en-US"/>
              </w:rPr>
            </w:pPr>
            <w:r>
              <w:rPr>
                <w:sz w:val="20"/>
                <w:szCs w:val="20"/>
                <w:lang w:val="en-US"/>
              </w:rPr>
              <w:t>0.877</w:t>
            </w:r>
          </w:p>
        </w:tc>
        <w:tc>
          <w:tcPr>
            <w:tcW w:w="1284" w:type="dxa"/>
            <w:tcBorders>
              <w:bottom w:val="single" w:sz="4" w:space="0" w:color="auto"/>
            </w:tcBorders>
            <w:vAlign w:val="center"/>
          </w:tcPr>
          <w:p w14:paraId="56D7D91A" w14:textId="77777777" w:rsidR="00A25D23" w:rsidRDefault="00A25D23" w:rsidP="008A0E75">
            <w:pPr>
              <w:spacing w:line="276" w:lineRule="auto"/>
              <w:jc w:val="center"/>
              <w:rPr>
                <w:sz w:val="20"/>
                <w:szCs w:val="20"/>
                <w:lang w:val="en-US"/>
              </w:rPr>
            </w:pPr>
            <w:r>
              <w:rPr>
                <w:sz w:val="20"/>
                <w:szCs w:val="20"/>
                <w:lang w:val="en-US"/>
              </w:rPr>
              <w:t>0.959</w:t>
            </w:r>
          </w:p>
        </w:tc>
        <w:tc>
          <w:tcPr>
            <w:tcW w:w="1268" w:type="dxa"/>
            <w:tcBorders>
              <w:bottom w:val="single" w:sz="4" w:space="0" w:color="auto"/>
            </w:tcBorders>
            <w:vAlign w:val="center"/>
          </w:tcPr>
          <w:p w14:paraId="31B0A166" w14:textId="77777777" w:rsidR="00A25D23" w:rsidRDefault="00A25D23" w:rsidP="008A0E75">
            <w:pPr>
              <w:spacing w:line="276" w:lineRule="auto"/>
              <w:jc w:val="center"/>
              <w:rPr>
                <w:sz w:val="20"/>
                <w:szCs w:val="20"/>
                <w:lang w:val="en-US"/>
              </w:rPr>
            </w:pPr>
            <w:r>
              <w:rPr>
                <w:sz w:val="20"/>
                <w:szCs w:val="20"/>
                <w:lang w:val="en-US"/>
              </w:rPr>
              <w:t>1.316</w:t>
            </w:r>
          </w:p>
        </w:tc>
        <w:tc>
          <w:tcPr>
            <w:tcW w:w="1276" w:type="dxa"/>
            <w:gridSpan w:val="2"/>
            <w:tcBorders>
              <w:bottom w:val="single" w:sz="4" w:space="0" w:color="auto"/>
            </w:tcBorders>
            <w:vAlign w:val="center"/>
          </w:tcPr>
          <w:p w14:paraId="602C8F8F" w14:textId="77777777" w:rsidR="00A25D23" w:rsidRDefault="00A25D23" w:rsidP="008A0E75">
            <w:pPr>
              <w:spacing w:line="276" w:lineRule="auto"/>
              <w:jc w:val="center"/>
              <w:rPr>
                <w:sz w:val="20"/>
                <w:szCs w:val="20"/>
                <w:lang w:val="en-US"/>
              </w:rPr>
            </w:pPr>
            <w:r>
              <w:rPr>
                <w:sz w:val="20"/>
                <w:szCs w:val="20"/>
                <w:lang w:val="en-US"/>
              </w:rPr>
              <w:t>1.821</w:t>
            </w:r>
          </w:p>
        </w:tc>
        <w:tc>
          <w:tcPr>
            <w:tcW w:w="1275" w:type="dxa"/>
            <w:gridSpan w:val="2"/>
            <w:tcBorders>
              <w:bottom w:val="single" w:sz="4" w:space="0" w:color="auto"/>
            </w:tcBorders>
            <w:vAlign w:val="center"/>
          </w:tcPr>
          <w:p w14:paraId="288C420F" w14:textId="77777777" w:rsidR="00A25D23" w:rsidRDefault="00A25D23" w:rsidP="008A0E75">
            <w:pPr>
              <w:spacing w:line="276" w:lineRule="auto"/>
              <w:jc w:val="center"/>
              <w:rPr>
                <w:sz w:val="20"/>
                <w:szCs w:val="20"/>
                <w:lang w:val="en-US"/>
              </w:rPr>
            </w:pPr>
            <w:r>
              <w:rPr>
                <w:sz w:val="20"/>
                <w:szCs w:val="20"/>
                <w:lang w:val="en-US"/>
              </w:rPr>
              <w:t>1.783</w:t>
            </w:r>
          </w:p>
        </w:tc>
        <w:tc>
          <w:tcPr>
            <w:tcW w:w="1276" w:type="dxa"/>
            <w:gridSpan w:val="2"/>
            <w:tcBorders>
              <w:bottom w:val="single" w:sz="4" w:space="0" w:color="auto"/>
            </w:tcBorders>
            <w:vAlign w:val="center"/>
          </w:tcPr>
          <w:p w14:paraId="27CEFC83" w14:textId="77777777" w:rsidR="00A25D23" w:rsidRDefault="00A25D23" w:rsidP="008A0E75">
            <w:pPr>
              <w:spacing w:line="276" w:lineRule="auto"/>
              <w:jc w:val="center"/>
              <w:rPr>
                <w:sz w:val="20"/>
                <w:szCs w:val="20"/>
                <w:lang w:val="en-US"/>
              </w:rPr>
            </w:pPr>
            <w:r>
              <w:rPr>
                <w:sz w:val="20"/>
                <w:szCs w:val="20"/>
                <w:lang w:val="en-US"/>
              </w:rPr>
              <w:t>2.368</w:t>
            </w:r>
          </w:p>
        </w:tc>
        <w:tc>
          <w:tcPr>
            <w:tcW w:w="1418" w:type="dxa"/>
            <w:gridSpan w:val="2"/>
            <w:tcBorders>
              <w:bottom w:val="single" w:sz="4" w:space="0" w:color="auto"/>
            </w:tcBorders>
            <w:vAlign w:val="center"/>
          </w:tcPr>
          <w:p w14:paraId="4AB9F6DF" w14:textId="77777777" w:rsidR="00A25D23" w:rsidRDefault="00A25D23" w:rsidP="008A0E75">
            <w:pPr>
              <w:spacing w:line="276" w:lineRule="auto"/>
              <w:jc w:val="center"/>
              <w:rPr>
                <w:sz w:val="20"/>
                <w:szCs w:val="20"/>
                <w:lang w:val="en-US"/>
              </w:rPr>
            </w:pPr>
            <w:r>
              <w:rPr>
                <w:sz w:val="20"/>
                <w:szCs w:val="20"/>
                <w:lang w:val="en-US"/>
              </w:rPr>
              <w:t>2.958</w:t>
            </w:r>
          </w:p>
        </w:tc>
        <w:tc>
          <w:tcPr>
            <w:tcW w:w="1142" w:type="dxa"/>
            <w:gridSpan w:val="2"/>
            <w:tcBorders>
              <w:bottom w:val="single" w:sz="4" w:space="0" w:color="auto"/>
            </w:tcBorders>
            <w:vAlign w:val="center"/>
          </w:tcPr>
          <w:p w14:paraId="5B409536" w14:textId="77777777" w:rsidR="00A25D23" w:rsidRDefault="00A25D23" w:rsidP="008A0E75">
            <w:pPr>
              <w:spacing w:line="276" w:lineRule="auto"/>
              <w:jc w:val="center"/>
              <w:rPr>
                <w:sz w:val="20"/>
                <w:szCs w:val="20"/>
                <w:lang w:val="en-US"/>
              </w:rPr>
            </w:pPr>
            <w:r>
              <w:rPr>
                <w:sz w:val="20"/>
                <w:szCs w:val="20"/>
                <w:lang w:val="en-US"/>
              </w:rPr>
              <w:t>2.730</w:t>
            </w:r>
          </w:p>
        </w:tc>
        <w:tc>
          <w:tcPr>
            <w:tcW w:w="1701" w:type="dxa"/>
            <w:tcBorders>
              <w:top w:val="single" w:sz="4" w:space="0" w:color="auto"/>
              <w:bottom w:val="single" w:sz="4" w:space="0" w:color="auto"/>
            </w:tcBorders>
            <w:vAlign w:val="center"/>
          </w:tcPr>
          <w:p w14:paraId="57A92E67"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6BF5736C" w14:textId="77777777" w:rsidTr="008A0E75">
        <w:trPr>
          <w:trHeight w:val="380"/>
        </w:trPr>
        <w:tc>
          <w:tcPr>
            <w:tcW w:w="1986" w:type="dxa"/>
            <w:gridSpan w:val="2"/>
            <w:tcBorders>
              <w:top w:val="single" w:sz="4" w:space="0" w:color="auto"/>
              <w:bottom w:val="single" w:sz="6" w:space="0" w:color="auto"/>
            </w:tcBorders>
            <w:vAlign w:val="center"/>
          </w:tcPr>
          <w:p w14:paraId="3717B4F5" w14:textId="77777777" w:rsidR="00A25D23" w:rsidRPr="009A78EE" w:rsidRDefault="00A25D23" w:rsidP="008A0E75">
            <w:pPr>
              <w:spacing w:line="276" w:lineRule="auto"/>
              <w:jc w:val="center"/>
              <w:rPr>
                <w:sz w:val="20"/>
                <w:szCs w:val="20"/>
                <w:lang w:val="en-US"/>
              </w:rPr>
            </w:pPr>
            <w:r w:rsidRPr="002A1510">
              <w:rPr>
                <w:i/>
                <w:sz w:val="20"/>
                <w:szCs w:val="20"/>
                <w:lang w:val="en-US"/>
              </w:rPr>
              <w:t>PC</w:t>
            </w:r>
            <w:r>
              <w:rPr>
                <w:sz w:val="20"/>
                <w:szCs w:val="20"/>
                <w:lang w:val="en-US"/>
              </w:rPr>
              <w:t xml:space="preserve"> </w:t>
            </w:r>
            <w:r w:rsidRPr="009A78EE">
              <w:rPr>
                <w:sz w:val="20"/>
                <w:szCs w:val="20"/>
              </w:rPr>
              <w:t>(cm h</w:t>
            </w:r>
            <w:r w:rsidRPr="009A78EE">
              <w:rPr>
                <w:sz w:val="20"/>
                <w:szCs w:val="20"/>
                <w:vertAlign w:val="superscript"/>
              </w:rPr>
              <w:t>-1</w:t>
            </w:r>
            <w:r w:rsidRPr="009A78EE">
              <w:rPr>
                <w:sz w:val="20"/>
                <w:szCs w:val="20"/>
              </w:rPr>
              <w:t>)</w:t>
            </w:r>
          </w:p>
        </w:tc>
        <w:tc>
          <w:tcPr>
            <w:tcW w:w="11482" w:type="dxa"/>
            <w:gridSpan w:val="14"/>
            <w:tcBorders>
              <w:top w:val="single" w:sz="4" w:space="0" w:color="auto"/>
              <w:bottom w:val="single" w:sz="6" w:space="0" w:color="auto"/>
            </w:tcBorders>
            <w:vAlign w:val="center"/>
          </w:tcPr>
          <w:p w14:paraId="2385DB85"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single" w:sz="4" w:space="0" w:color="auto"/>
            </w:tcBorders>
            <w:vAlign w:val="center"/>
          </w:tcPr>
          <w:p w14:paraId="61433FDA" w14:textId="77777777" w:rsidR="00A25D23" w:rsidRPr="002A1510" w:rsidRDefault="00A25D23" w:rsidP="008A0E75">
            <w:pPr>
              <w:spacing w:line="276" w:lineRule="auto"/>
              <w:jc w:val="center"/>
              <w:rPr>
                <w:sz w:val="20"/>
                <w:szCs w:val="20"/>
                <w:lang w:val="en-US"/>
              </w:rPr>
            </w:pPr>
            <w:r>
              <w:rPr>
                <w:sz w:val="20"/>
                <w:szCs w:val="20"/>
                <w:lang w:val="en-US"/>
              </w:rPr>
              <w:t>Page 28</w:t>
            </w:r>
          </w:p>
        </w:tc>
      </w:tr>
      <w:tr w:rsidR="00A25D23" w:rsidRPr="0017539F" w14:paraId="62799B1F" w14:textId="77777777" w:rsidTr="008A0E75">
        <w:trPr>
          <w:trHeight w:val="380"/>
        </w:trPr>
        <w:tc>
          <w:tcPr>
            <w:tcW w:w="1986" w:type="dxa"/>
            <w:gridSpan w:val="2"/>
            <w:tcBorders>
              <w:top w:val="single" w:sz="6" w:space="0" w:color="auto"/>
              <w:bottom w:val="single" w:sz="6" w:space="0" w:color="auto"/>
            </w:tcBorders>
            <w:vAlign w:val="center"/>
          </w:tcPr>
          <w:p w14:paraId="4259DF49" w14:textId="41FFF6CB" w:rsidR="00A25D23" w:rsidRPr="00FA29B7" w:rsidRDefault="00A25D23" w:rsidP="008A0E75">
            <w:pPr>
              <w:spacing w:line="276" w:lineRule="auto"/>
              <w:jc w:val="center"/>
              <w:rPr>
                <w:sz w:val="20"/>
                <w:szCs w:val="20"/>
                <w:vertAlign w:val="superscript"/>
                <w:lang w:val="en-US"/>
              </w:rPr>
            </w:pPr>
            <w:r w:rsidRPr="002A1510">
              <w:rPr>
                <w:i/>
                <w:sz w:val="20"/>
                <w:szCs w:val="20"/>
                <w:lang w:val="en-US"/>
              </w:rPr>
              <w:t>SA</w:t>
            </w:r>
            <w:r w:rsidR="00286CF2">
              <w:rPr>
                <w:i/>
                <w:sz w:val="20"/>
                <w:szCs w:val="20"/>
                <w:vertAlign w:val="subscript"/>
                <w:lang w:val="en-US"/>
              </w:rPr>
              <w:t>s</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single" w:sz="6" w:space="0" w:color="auto"/>
            </w:tcBorders>
            <w:vAlign w:val="center"/>
          </w:tcPr>
          <w:p w14:paraId="0CD7C079"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single" w:sz="6" w:space="0" w:color="auto"/>
            </w:tcBorders>
            <w:vAlign w:val="center"/>
          </w:tcPr>
          <w:p w14:paraId="4BFFAA56"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single" w:sz="6" w:space="0" w:color="auto"/>
            </w:tcBorders>
            <w:vAlign w:val="center"/>
          </w:tcPr>
          <w:p w14:paraId="2A3690EA"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single" w:sz="6" w:space="0" w:color="auto"/>
            </w:tcBorders>
            <w:vAlign w:val="center"/>
          </w:tcPr>
          <w:p w14:paraId="0A623B86"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single" w:sz="6" w:space="0" w:color="auto"/>
            </w:tcBorders>
            <w:vAlign w:val="center"/>
          </w:tcPr>
          <w:p w14:paraId="75924756"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single" w:sz="6" w:space="0" w:color="auto"/>
            </w:tcBorders>
            <w:vAlign w:val="center"/>
          </w:tcPr>
          <w:p w14:paraId="07C7AF46"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single" w:sz="6" w:space="0" w:color="auto"/>
            </w:tcBorders>
            <w:vAlign w:val="center"/>
          </w:tcPr>
          <w:p w14:paraId="129BBBD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single" w:sz="6" w:space="0" w:color="auto"/>
            </w:tcBorders>
            <w:vAlign w:val="center"/>
          </w:tcPr>
          <w:p w14:paraId="7B80FAEB"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single" w:sz="6" w:space="0" w:color="auto"/>
            </w:tcBorders>
            <w:vAlign w:val="center"/>
          </w:tcPr>
          <w:p w14:paraId="1E26F9D7"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single" w:sz="6" w:space="0" w:color="auto"/>
            </w:tcBorders>
            <w:vAlign w:val="center"/>
          </w:tcPr>
          <w:p w14:paraId="584B794E"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41EF2FB3" w14:textId="77777777" w:rsidTr="008A0E75">
        <w:trPr>
          <w:trHeight w:val="380"/>
        </w:trPr>
        <w:tc>
          <w:tcPr>
            <w:tcW w:w="1986" w:type="dxa"/>
            <w:gridSpan w:val="2"/>
            <w:tcBorders>
              <w:top w:val="single" w:sz="6" w:space="0" w:color="auto"/>
              <w:bottom w:val="double" w:sz="4" w:space="0" w:color="auto"/>
            </w:tcBorders>
            <w:vAlign w:val="center"/>
          </w:tcPr>
          <w:p w14:paraId="6E40E2C7" w14:textId="5E5CF728" w:rsidR="00A25D23" w:rsidRPr="00710012" w:rsidRDefault="00A25D23" w:rsidP="008A0E75">
            <w:pPr>
              <w:spacing w:line="276" w:lineRule="auto"/>
              <w:jc w:val="center"/>
              <w:rPr>
                <w:sz w:val="20"/>
                <w:szCs w:val="20"/>
                <w:lang w:val="en-US"/>
              </w:rPr>
            </w:pPr>
            <w:proofErr w:type="spellStart"/>
            <w:r w:rsidRPr="002A1510">
              <w:rPr>
                <w:i/>
                <w:sz w:val="20"/>
                <w:szCs w:val="20"/>
                <w:lang w:val="en-US"/>
              </w:rPr>
              <w:t>SA</w:t>
            </w:r>
            <w:r w:rsidR="00286CF2">
              <w:rPr>
                <w:i/>
                <w:sz w:val="20"/>
                <w:szCs w:val="20"/>
                <w:vertAlign w:val="subscript"/>
                <w:lang w:val="en-US"/>
              </w:rPr>
              <w:t>w</w:t>
            </w:r>
            <w:proofErr w:type="spellEnd"/>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double" w:sz="4" w:space="0" w:color="auto"/>
            </w:tcBorders>
            <w:vAlign w:val="center"/>
          </w:tcPr>
          <w:p w14:paraId="4A48E96C"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double" w:sz="4" w:space="0" w:color="auto"/>
            </w:tcBorders>
            <w:vAlign w:val="center"/>
          </w:tcPr>
          <w:p w14:paraId="6A2FBB42"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double" w:sz="4" w:space="0" w:color="auto"/>
            </w:tcBorders>
            <w:vAlign w:val="center"/>
          </w:tcPr>
          <w:p w14:paraId="442FC9D0"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double" w:sz="4" w:space="0" w:color="auto"/>
            </w:tcBorders>
            <w:vAlign w:val="center"/>
          </w:tcPr>
          <w:p w14:paraId="785E0D8C"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double" w:sz="4" w:space="0" w:color="auto"/>
            </w:tcBorders>
            <w:vAlign w:val="center"/>
          </w:tcPr>
          <w:p w14:paraId="4B3A9DA8"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double" w:sz="4" w:space="0" w:color="auto"/>
            </w:tcBorders>
            <w:vAlign w:val="center"/>
          </w:tcPr>
          <w:p w14:paraId="22BF2228"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double" w:sz="4" w:space="0" w:color="auto"/>
            </w:tcBorders>
            <w:vAlign w:val="center"/>
          </w:tcPr>
          <w:p w14:paraId="198E102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double" w:sz="4" w:space="0" w:color="auto"/>
            </w:tcBorders>
            <w:vAlign w:val="center"/>
          </w:tcPr>
          <w:p w14:paraId="7A0D9348"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double" w:sz="4" w:space="0" w:color="auto"/>
            </w:tcBorders>
            <w:vAlign w:val="center"/>
          </w:tcPr>
          <w:p w14:paraId="75D8346D"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double" w:sz="4" w:space="0" w:color="auto"/>
            </w:tcBorders>
            <w:vAlign w:val="center"/>
          </w:tcPr>
          <w:p w14:paraId="026042CC"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bl>
    <w:p w14:paraId="49399DD4" w14:textId="4FC20103" w:rsidR="00522189" w:rsidRDefault="00A25D23" w:rsidP="00A25D23">
      <w:pPr>
        <w:spacing w:after="0" w:line="276" w:lineRule="auto"/>
        <w:jc w:val="both"/>
        <w:rPr>
          <w:rStyle w:val="tlid-translation"/>
          <w:sz w:val="20"/>
          <w:szCs w:val="20"/>
          <w:lang w:val="en"/>
        </w:rPr>
      </w:pPr>
      <w:r w:rsidRPr="00137E76">
        <w:rPr>
          <w:rStyle w:val="tlid-translation"/>
          <w:sz w:val="20"/>
          <w:szCs w:val="20"/>
          <w:lang w:val="en"/>
        </w:rPr>
        <w:t xml:space="preserve">All values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Pr>
          <w:sz w:val="20"/>
          <w:szCs w:val="20"/>
          <w:lang w:val="en-US"/>
        </w:rPr>
        <w:t xml:space="preserve"> </w:t>
      </w:r>
      <w:r w:rsidRPr="00137E76">
        <w:rPr>
          <w:rStyle w:val="tlid-translation"/>
          <w:sz w:val="20"/>
          <w:szCs w:val="20"/>
          <w:lang w:val="en"/>
        </w:rPr>
        <w:t>are "per capita, 95</w:t>
      </w:r>
      <w:r w:rsidRPr="00137E76">
        <w:rPr>
          <w:rStyle w:val="tlid-translation"/>
          <w:sz w:val="20"/>
          <w:szCs w:val="20"/>
          <w:vertAlign w:val="superscript"/>
          <w:lang w:val="en"/>
        </w:rPr>
        <w:t>th</w:t>
      </w:r>
      <w:r>
        <w:rPr>
          <w:rStyle w:val="tlid-translation"/>
          <w:sz w:val="20"/>
          <w:szCs w:val="20"/>
          <w:lang w:val="en"/>
        </w:rPr>
        <w:t xml:space="preserve"> p</w:t>
      </w:r>
      <w:r w:rsidRPr="00137E76">
        <w:rPr>
          <w:rStyle w:val="tlid-translation"/>
          <w:sz w:val="20"/>
          <w:szCs w:val="20"/>
          <w:lang w:val="en"/>
        </w:rPr>
        <w:t>ercentile"</w:t>
      </w:r>
      <w:r>
        <w:rPr>
          <w:rStyle w:val="tlid-translation"/>
          <w:lang w:val="en"/>
        </w:rPr>
        <w:t xml:space="preserve">; </w:t>
      </w:r>
      <w:r w:rsidRPr="00000642">
        <w:rPr>
          <w:sz w:val="20"/>
          <w:szCs w:val="20"/>
          <w:vertAlign w:val="superscript"/>
          <w:lang w:val="en-US"/>
        </w:rPr>
        <w:t>a</w:t>
      </w:r>
      <w:r>
        <w:rPr>
          <w:sz w:val="20"/>
          <w:szCs w:val="20"/>
          <w:lang w:val="en-US"/>
        </w:rPr>
        <w:t xml:space="preserve"> </w:t>
      </w:r>
      <w:r>
        <w:rPr>
          <w:rStyle w:val="tlid-translation"/>
          <w:sz w:val="20"/>
          <w:lang w:val="en"/>
        </w:rPr>
        <w:t>–</w:t>
      </w:r>
      <w:r>
        <w:rPr>
          <w:sz w:val="20"/>
          <w:szCs w:val="20"/>
          <w:lang w:val="en-US"/>
        </w:rPr>
        <w:t xml:space="preserve"> </w:t>
      </w:r>
      <w:r w:rsidRPr="002A1510">
        <w:rPr>
          <w:rStyle w:val="tlid-translation"/>
          <w:sz w:val="20"/>
          <w:lang w:val="en"/>
        </w:rPr>
        <w:t>Sum of skin area of face, arms, hands, legs and feet</w:t>
      </w:r>
      <w:r>
        <w:rPr>
          <w:rStyle w:val="tlid-translation"/>
          <w:sz w:val="20"/>
          <w:lang w:val="en"/>
        </w:rPr>
        <w:t xml:space="preserve">; </w:t>
      </w:r>
      <w:r>
        <w:rPr>
          <w:rStyle w:val="tlid-translation"/>
          <w:sz w:val="20"/>
          <w:vertAlign w:val="superscript"/>
          <w:lang w:val="en"/>
        </w:rPr>
        <w:t>b</w:t>
      </w:r>
      <w:r>
        <w:rPr>
          <w:rStyle w:val="tlid-translation"/>
          <w:sz w:val="20"/>
          <w:lang w:val="en"/>
        </w:rPr>
        <w:t xml:space="preserve"> – </w:t>
      </w:r>
      <w:r w:rsidRPr="0079265C">
        <w:rPr>
          <w:rStyle w:val="tlid-translation"/>
          <w:sz w:val="20"/>
          <w:szCs w:val="20"/>
          <w:lang w:val="en"/>
        </w:rPr>
        <w:t>Until reach average life expectancy</w:t>
      </w:r>
      <w:r>
        <w:rPr>
          <w:rStyle w:val="tlid-translation"/>
          <w:sz w:val="20"/>
          <w:szCs w:val="20"/>
          <w:lang w:val="en"/>
        </w:rPr>
        <w:t>;</w:t>
      </w:r>
      <w:r w:rsidR="00542602">
        <w:rPr>
          <w:rStyle w:val="tlid-translation"/>
          <w:sz w:val="20"/>
          <w:szCs w:val="20"/>
          <w:lang w:val="en"/>
        </w:rPr>
        <w:t xml:space="preserve"> </w:t>
      </w:r>
      <w:r>
        <w:rPr>
          <w:rStyle w:val="tlid-translation"/>
          <w:sz w:val="20"/>
          <w:vertAlign w:val="superscript"/>
          <w:lang w:val="en"/>
        </w:rPr>
        <w:t>c</w:t>
      </w:r>
      <w:r>
        <w:rPr>
          <w:rStyle w:val="tlid-translation"/>
          <w:sz w:val="20"/>
          <w:lang w:val="en"/>
        </w:rPr>
        <w:t xml:space="preserve"> – Bathing time; </w:t>
      </w:r>
      <w:r>
        <w:rPr>
          <w:rStyle w:val="tlid-translation"/>
          <w:sz w:val="20"/>
          <w:vertAlign w:val="superscript"/>
          <w:lang w:val="en"/>
        </w:rPr>
        <w:t>d</w:t>
      </w:r>
      <w:r>
        <w:rPr>
          <w:rStyle w:val="tlid-translation"/>
          <w:sz w:val="20"/>
          <w:lang w:val="en"/>
        </w:rPr>
        <w:t xml:space="preserve"> </w:t>
      </w:r>
      <w:r w:rsidRPr="009B155D">
        <w:rPr>
          <w:rStyle w:val="tlid-translation"/>
          <w:sz w:val="20"/>
          <w:lang w:val="en-US"/>
        </w:rPr>
        <w:t>– Intake rate in mg kg</w:t>
      </w:r>
      <w:r w:rsidRPr="009B155D">
        <w:rPr>
          <w:rStyle w:val="tlid-translation"/>
          <w:sz w:val="20"/>
          <w:vertAlign w:val="superscript"/>
          <w:lang w:val="en-US"/>
        </w:rPr>
        <w:t>-1</w:t>
      </w:r>
      <w:r w:rsidRPr="009B155D">
        <w:rPr>
          <w:rStyle w:val="tlid-translation"/>
          <w:sz w:val="20"/>
          <w:lang w:val="en-US"/>
        </w:rPr>
        <w:t xml:space="preserve"> day</w:t>
      </w:r>
      <w:r w:rsidRPr="009B155D">
        <w:rPr>
          <w:rStyle w:val="tlid-translation"/>
          <w:sz w:val="20"/>
          <w:vertAlign w:val="superscript"/>
          <w:lang w:val="en-US"/>
        </w:rPr>
        <w:t>-1</w:t>
      </w:r>
      <w:r w:rsidRPr="009B155D">
        <w:rPr>
          <w:rStyle w:val="tlid-translation"/>
          <w:sz w:val="20"/>
          <w:lang w:val="en-US"/>
        </w:rPr>
        <w:t xml:space="preserve"> multiplied by the weight of each age category. Both values were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sidRPr="009B155D">
        <w:rPr>
          <w:rStyle w:val="tlid-translation"/>
          <w:sz w:val="16"/>
          <w:lang w:val="en-US"/>
        </w:rPr>
        <w:t>;</w:t>
      </w:r>
      <w:r>
        <w:rPr>
          <w:rStyle w:val="tlid-translation"/>
          <w:sz w:val="20"/>
          <w:lang w:val="en"/>
        </w:rPr>
        <w:t xml:space="preserve"> </w:t>
      </w:r>
      <w:r>
        <w:rPr>
          <w:rStyle w:val="tlid-translation"/>
          <w:sz w:val="20"/>
          <w:szCs w:val="20"/>
          <w:vertAlign w:val="superscript"/>
          <w:lang w:val="en-US"/>
        </w:rPr>
        <w:t>e</w:t>
      </w:r>
      <w:r w:rsidRPr="009B155D">
        <w:rPr>
          <w:rStyle w:val="tlid-translation"/>
          <w:sz w:val="20"/>
          <w:szCs w:val="20"/>
          <w:lang w:val="en-US"/>
        </w:rPr>
        <w:t xml:space="preserve"> – Intake rate of </w:t>
      </w:r>
      <w:r w:rsidRPr="009B155D">
        <w:rPr>
          <w:sz w:val="20"/>
          <w:szCs w:val="20"/>
          <w:lang w:val="en-US"/>
        </w:rPr>
        <w:t>Fin fish and Shell fish</w:t>
      </w:r>
      <w:r>
        <w:rPr>
          <w:sz w:val="20"/>
          <w:szCs w:val="20"/>
          <w:lang w:val="en-US"/>
        </w:rPr>
        <w:t>;</w:t>
      </w:r>
      <w:r>
        <w:rPr>
          <w:sz w:val="20"/>
          <w:lang w:val="en"/>
        </w:rPr>
        <w:t xml:space="preserve"> </w:t>
      </w:r>
      <w:r>
        <w:rPr>
          <w:sz w:val="20"/>
          <w:szCs w:val="20"/>
          <w:vertAlign w:val="superscript"/>
          <w:lang w:val="en-US"/>
        </w:rPr>
        <w:t>f</w:t>
      </w:r>
      <w:r>
        <w:rPr>
          <w:sz w:val="20"/>
          <w:szCs w:val="20"/>
          <w:lang w:val="en-US"/>
        </w:rPr>
        <w:t xml:space="preserve"> – According to U.S. EPA (2011), </w:t>
      </w:r>
      <w:r w:rsidRPr="00FA29B7">
        <w:rPr>
          <w:rStyle w:val="tlid-translation"/>
          <w:sz w:val="20"/>
          <w:szCs w:val="20"/>
          <w:lang w:val="en"/>
        </w:rPr>
        <w:t xml:space="preserve">100% of skin area should be considered </w:t>
      </w:r>
      <w:r>
        <w:rPr>
          <w:rStyle w:val="tlid-translation"/>
          <w:sz w:val="20"/>
          <w:szCs w:val="20"/>
          <w:lang w:val="en"/>
        </w:rPr>
        <w:t xml:space="preserve">for contact with soil and water; </w:t>
      </w:r>
      <w:r>
        <w:rPr>
          <w:rStyle w:val="tlid-translation"/>
          <w:sz w:val="20"/>
          <w:szCs w:val="20"/>
          <w:vertAlign w:val="superscript"/>
          <w:lang w:val="en"/>
        </w:rPr>
        <w:t>g</w:t>
      </w:r>
      <w:r>
        <w:rPr>
          <w:rStyle w:val="tlid-translation"/>
          <w:sz w:val="20"/>
          <w:szCs w:val="20"/>
          <w:lang w:val="en"/>
        </w:rPr>
        <w:t xml:space="preserve"> – </w:t>
      </w:r>
      <w:r>
        <w:rPr>
          <w:rStyle w:val="tlid-translation"/>
          <w:sz w:val="20"/>
          <w:lang w:val="en"/>
        </w:rPr>
        <w:t>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for adults and women between 21 and 60 years</w:t>
      </w:r>
      <w:r>
        <w:rPr>
          <w:rStyle w:val="tlid-translation"/>
          <w:sz w:val="20"/>
          <w:lang w:val="en"/>
        </w:rPr>
        <w:t xml:space="preserve">; </w:t>
      </w:r>
      <w:r>
        <w:rPr>
          <w:rStyle w:val="tlid-translation"/>
          <w:sz w:val="20"/>
          <w:vertAlign w:val="superscript"/>
          <w:lang w:val="en"/>
        </w:rPr>
        <w:t>h</w:t>
      </w:r>
      <w:r>
        <w:rPr>
          <w:rStyle w:val="tlid-translation"/>
          <w:sz w:val="20"/>
          <w:lang w:val="en"/>
        </w:rPr>
        <w:t xml:space="preserve"> – 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 xml:space="preserve">for adults and women </w:t>
      </w:r>
      <w:r w:rsidRPr="006B5B63">
        <w:rPr>
          <w:rStyle w:val="tlid-translation"/>
          <w:sz w:val="20"/>
          <w:szCs w:val="20"/>
          <w:lang w:val="en"/>
        </w:rPr>
        <w:t>over 60 years</w:t>
      </w:r>
      <w:r w:rsidR="00522189">
        <w:rPr>
          <w:rStyle w:val="tlid-translation"/>
          <w:sz w:val="20"/>
          <w:szCs w:val="20"/>
          <w:lang w:val="en"/>
        </w:rPr>
        <w:t>.</w:t>
      </w:r>
      <w:r w:rsidR="00522189">
        <w:rPr>
          <w:rStyle w:val="tlid-translation"/>
          <w:sz w:val="20"/>
          <w:szCs w:val="20"/>
          <w:lang w:val="en"/>
        </w:rPr>
        <w:br w:type="page"/>
      </w:r>
    </w:p>
    <w:p w14:paraId="4F56FA5A" w14:textId="77777777" w:rsidR="00522189" w:rsidRDefault="00522189" w:rsidP="00A25D23">
      <w:pPr>
        <w:spacing w:after="0" w:line="276" w:lineRule="auto"/>
        <w:jc w:val="both"/>
        <w:rPr>
          <w:rStyle w:val="tlid-translation"/>
          <w:sz w:val="20"/>
          <w:szCs w:val="20"/>
          <w:lang w:val="en"/>
        </w:rPr>
        <w:sectPr w:rsidR="00522189" w:rsidSect="00CC68E6">
          <w:type w:val="continuous"/>
          <w:pgSz w:w="16838" w:h="11906" w:orient="landscape"/>
          <w:pgMar w:top="720" w:right="720" w:bottom="720" w:left="720" w:header="709" w:footer="709" w:gutter="0"/>
          <w:cols w:space="708"/>
          <w:docGrid w:linePitch="360"/>
        </w:sectPr>
      </w:pPr>
    </w:p>
    <w:p w14:paraId="36165AC0" w14:textId="060DCCBB"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7</w:t>
      </w:r>
      <w:r>
        <w:rPr>
          <w:sz w:val="28"/>
          <w:lang w:val="en-US"/>
        </w:rPr>
        <w:t xml:space="preserve"> – Some </w:t>
      </w:r>
      <w:r w:rsidRPr="00BB6B15">
        <w:rPr>
          <w:color w:val="000000"/>
          <w:sz w:val="28"/>
          <w:lang w:val="en-US"/>
        </w:rPr>
        <w:t>recommended</w:t>
      </w:r>
      <w:r>
        <w:rPr>
          <w:color w:val="000000"/>
          <w:sz w:val="28"/>
          <w:lang w:val="en-US"/>
        </w:rPr>
        <w:t xml:space="preserve"> values of</w:t>
      </w:r>
      <w:r w:rsidRPr="00BB6B15">
        <w:rPr>
          <w:color w:val="000000"/>
          <w:sz w:val="28"/>
          <w:lang w:val="en-US"/>
        </w:rPr>
        <w:t xml:space="preserve"> </w:t>
      </w:r>
      <w:r>
        <w:rPr>
          <w:rStyle w:val="tlid-translation"/>
          <w:sz w:val="28"/>
          <w:szCs w:val="32"/>
          <w:lang w:val="en"/>
        </w:rPr>
        <w:t>dermal absorption fraction</w:t>
      </w:r>
      <w:r>
        <w:rPr>
          <w:sz w:val="28"/>
          <w:lang w:val="en-US"/>
        </w:rPr>
        <w:t xml:space="preserve"> (</w:t>
      </w:r>
      <w:r w:rsidRPr="00BB6B15">
        <w:rPr>
          <w:i/>
          <w:iCs/>
          <w:sz w:val="28"/>
          <w:lang w:val="en-US"/>
        </w:rPr>
        <w:t>ABS</w:t>
      </w:r>
      <w:r>
        <w:rPr>
          <w:sz w:val="28"/>
          <w:lang w:val="en-US"/>
        </w:rPr>
        <w:t>)</w:t>
      </w:r>
      <w:r>
        <w:rPr>
          <w:i/>
          <w:iCs/>
          <w:sz w:val="28"/>
          <w:lang w:val="en-US"/>
        </w:rPr>
        <w:t xml:space="preserve"> </w:t>
      </w:r>
      <w:r>
        <w:rPr>
          <w:sz w:val="28"/>
          <w:lang w:val="en-US"/>
        </w:rPr>
        <w:t>from soil</w:t>
      </w:r>
      <w:r w:rsidRPr="0017539F">
        <w:rPr>
          <w:sz w:val="28"/>
          <w:lang w:val="en-US"/>
        </w:rPr>
        <w:t xml:space="preserve"> used </w:t>
      </w:r>
      <w:r>
        <w:rPr>
          <w:sz w:val="28"/>
          <w:lang w:val="en-US"/>
        </w:rPr>
        <w:t>for dose calculations</w:t>
      </w:r>
    </w:p>
    <w:tbl>
      <w:tblPr>
        <w:tblStyle w:val="Tabelacomgrade"/>
        <w:tblW w:w="9955" w:type="dxa"/>
        <w:jc w:val="center"/>
        <w:tblLook w:val="04A0" w:firstRow="1" w:lastRow="0" w:firstColumn="1" w:lastColumn="0" w:noHBand="0" w:noVBand="1"/>
      </w:tblPr>
      <w:tblGrid>
        <w:gridCol w:w="3318"/>
        <w:gridCol w:w="3318"/>
        <w:gridCol w:w="3319"/>
      </w:tblGrid>
      <w:tr w:rsidR="00522189" w:rsidRPr="00442F54" w14:paraId="5EBCBB54" w14:textId="77777777" w:rsidTr="00D877B6">
        <w:trPr>
          <w:trHeight w:val="333"/>
          <w:jc w:val="center"/>
        </w:trPr>
        <w:tc>
          <w:tcPr>
            <w:tcW w:w="3318" w:type="dxa"/>
            <w:vAlign w:val="center"/>
          </w:tcPr>
          <w:p w14:paraId="12A44B99" w14:textId="33BAD2E8" w:rsidR="00522189" w:rsidRPr="00522189" w:rsidRDefault="00D877B6" w:rsidP="00D877B6">
            <w:pPr>
              <w:pStyle w:val="Default"/>
              <w:spacing w:line="276" w:lineRule="auto"/>
              <w:jc w:val="center"/>
              <w:rPr>
                <w:sz w:val="20"/>
                <w:szCs w:val="20"/>
                <w:lang w:val="en-US"/>
              </w:rPr>
            </w:pPr>
            <w:r w:rsidRPr="00A358DB">
              <w:rPr>
                <w:b/>
                <w:sz w:val="20"/>
                <w:szCs w:val="20"/>
                <w:lang w:val="en-US"/>
              </w:rPr>
              <w:t>Chemical species</w:t>
            </w:r>
          </w:p>
        </w:tc>
        <w:tc>
          <w:tcPr>
            <w:tcW w:w="3318" w:type="dxa"/>
            <w:vAlign w:val="center"/>
          </w:tcPr>
          <w:p w14:paraId="43F4E9E0"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Dermal Absorption Fraction (ABS)</w:t>
            </w:r>
            <w:r w:rsidRPr="00522189">
              <w:rPr>
                <w:b/>
                <w:bCs/>
                <w:sz w:val="20"/>
                <w:szCs w:val="20"/>
                <w:vertAlign w:val="superscript"/>
                <w:lang w:val="en-US"/>
              </w:rPr>
              <w:t>1</w:t>
            </w:r>
          </w:p>
        </w:tc>
        <w:tc>
          <w:tcPr>
            <w:tcW w:w="3319" w:type="dxa"/>
            <w:vAlign w:val="center"/>
          </w:tcPr>
          <w:p w14:paraId="25BD002E"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Reference</w:t>
            </w:r>
          </w:p>
        </w:tc>
      </w:tr>
      <w:tr w:rsidR="00522189" w:rsidRPr="00442F54" w14:paraId="1C326E06" w14:textId="77777777" w:rsidTr="00D877B6">
        <w:trPr>
          <w:trHeight w:val="313"/>
          <w:jc w:val="center"/>
        </w:trPr>
        <w:tc>
          <w:tcPr>
            <w:tcW w:w="3318" w:type="dxa"/>
            <w:vAlign w:val="center"/>
          </w:tcPr>
          <w:p w14:paraId="096B5E7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Aluminum</w:t>
            </w:r>
          </w:p>
        </w:tc>
        <w:tc>
          <w:tcPr>
            <w:tcW w:w="3318" w:type="dxa"/>
            <w:vAlign w:val="center"/>
          </w:tcPr>
          <w:p w14:paraId="771379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4120A3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442F54" w14:paraId="0490D12B" w14:textId="77777777" w:rsidTr="00D877B6">
        <w:trPr>
          <w:trHeight w:val="313"/>
          <w:jc w:val="center"/>
        </w:trPr>
        <w:tc>
          <w:tcPr>
            <w:tcW w:w="3318" w:type="dxa"/>
            <w:vAlign w:val="center"/>
          </w:tcPr>
          <w:p w14:paraId="55B38C6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Antimony</w:t>
            </w:r>
          </w:p>
        </w:tc>
        <w:tc>
          <w:tcPr>
            <w:tcW w:w="3318" w:type="dxa"/>
            <w:vAlign w:val="center"/>
          </w:tcPr>
          <w:p w14:paraId="641F57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2163967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E90906" w14:paraId="06FB43C7" w14:textId="77777777" w:rsidTr="00D877B6">
        <w:trPr>
          <w:trHeight w:val="313"/>
          <w:jc w:val="center"/>
        </w:trPr>
        <w:tc>
          <w:tcPr>
            <w:tcW w:w="3318" w:type="dxa"/>
            <w:vAlign w:val="center"/>
          </w:tcPr>
          <w:p w14:paraId="42B501F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Arsenic</w:t>
            </w:r>
          </w:p>
        </w:tc>
        <w:tc>
          <w:tcPr>
            <w:tcW w:w="3318" w:type="dxa"/>
            <w:vAlign w:val="center"/>
          </w:tcPr>
          <w:p w14:paraId="351A168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0.03</w:t>
            </w:r>
          </w:p>
        </w:tc>
        <w:tc>
          <w:tcPr>
            <w:tcW w:w="3319" w:type="dxa"/>
            <w:vAlign w:val="center"/>
          </w:tcPr>
          <w:p w14:paraId="44E049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r w:rsidRPr="00522189">
              <w:rPr>
                <w:sz w:val="20"/>
                <w:szCs w:val="20"/>
                <w:lang w:val="en-US"/>
              </w:rPr>
              <w:t xml:space="preserve">; </w:t>
            </w:r>
          </w:p>
          <w:p w14:paraId="6B5DC27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4E1FF5C" w14:textId="77777777" w:rsidTr="00D877B6">
        <w:trPr>
          <w:trHeight w:val="313"/>
          <w:jc w:val="center"/>
        </w:trPr>
        <w:tc>
          <w:tcPr>
            <w:tcW w:w="3318" w:type="dxa"/>
            <w:vAlign w:val="center"/>
          </w:tcPr>
          <w:p w14:paraId="7063E1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Barium</w:t>
            </w:r>
          </w:p>
        </w:tc>
        <w:tc>
          <w:tcPr>
            <w:tcW w:w="3318" w:type="dxa"/>
            <w:vAlign w:val="center"/>
          </w:tcPr>
          <w:p w14:paraId="42C5BB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36B6262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B3B21C3" w14:textId="77777777" w:rsidTr="00D877B6">
        <w:trPr>
          <w:trHeight w:val="333"/>
          <w:jc w:val="center"/>
        </w:trPr>
        <w:tc>
          <w:tcPr>
            <w:tcW w:w="3318" w:type="dxa"/>
            <w:vAlign w:val="center"/>
          </w:tcPr>
          <w:p w14:paraId="6D0E1C7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Cadmium</w:t>
            </w:r>
          </w:p>
        </w:tc>
        <w:tc>
          <w:tcPr>
            <w:tcW w:w="3318" w:type="dxa"/>
            <w:vAlign w:val="center"/>
          </w:tcPr>
          <w:p w14:paraId="5166522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0.14</w:t>
            </w:r>
          </w:p>
        </w:tc>
        <w:tc>
          <w:tcPr>
            <w:tcW w:w="3319" w:type="dxa"/>
            <w:vMerge/>
            <w:vAlign w:val="center"/>
          </w:tcPr>
          <w:p w14:paraId="5D6B5F7D" w14:textId="77777777" w:rsidR="00522189" w:rsidRPr="00522189" w:rsidRDefault="00522189" w:rsidP="00D877B6">
            <w:pPr>
              <w:pStyle w:val="Default"/>
              <w:spacing w:line="276" w:lineRule="auto"/>
              <w:jc w:val="center"/>
              <w:rPr>
                <w:sz w:val="20"/>
                <w:szCs w:val="20"/>
                <w:lang w:val="en-US"/>
              </w:rPr>
            </w:pPr>
          </w:p>
        </w:tc>
      </w:tr>
      <w:tr w:rsidR="00522189" w:rsidRPr="005E2C22" w14:paraId="62661CB3" w14:textId="77777777" w:rsidTr="00D877B6">
        <w:trPr>
          <w:trHeight w:val="333"/>
          <w:jc w:val="center"/>
        </w:trPr>
        <w:tc>
          <w:tcPr>
            <w:tcW w:w="3318" w:type="dxa"/>
            <w:vAlign w:val="center"/>
          </w:tcPr>
          <w:p w14:paraId="268B308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(III)</w:t>
            </w:r>
          </w:p>
        </w:tc>
        <w:tc>
          <w:tcPr>
            <w:tcW w:w="3318" w:type="dxa"/>
            <w:vAlign w:val="center"/>
          </w:tcPr>
          <w:p w14:paraId="44D05F5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0.04</w:t>
            </w:r>
          </w:p>
        </w:tc>
        <w:tc>
          <w:tcPr>
            <w:tcW w:w="3319" w:type="dxa"/>
            <w:vMerge/>
            <w:vAlign w:val="center"/>
          </w:tcPr>
          <w:p w14:paraId="08E55E7A" w14:textId="77777777" w:rsidR="00522189" w:rsidRPr="00522189" w:rsidRDefault="00522189" w:rsidP="00D877B6">
            <w:pPr>
              <w:pStyle w:val="Default"/>
              <w:spacing w:line="276" w:lineRule="auto"/>
              <w:jc w:val="center"/>
              <w:rPr>
                <w:sz w:val="20"/>
                <w:szCs w:val="20"/>
                <w:lang w:val="en-US"/>
              </w:rPr>
            </w:pPr>
          </w:p>
        </w:tc>
      </w:tr>
      <w:tr w:rsidR="00522189" w:rsidRPr="005E2C22" w14:paraId="0A15DC29" w14:textId="77777777" w:rsidTr="00D877B6">
        <w:trPr>
          <w:trHeight w:val="333"/>
          <w:jc w:val="center"/>
        </w:trPr>
        <w:tc>
          <w:tcPr>
            <w:tcW w:w="3318" w:type="dxa"/>
            <w:vAlign w:val="center"/>
          </w:tcPr>
          <w:p w14:paraId="0267E9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(VI)</w:t>
            </w:r>
          </w:p>
        </w:tc>
        <w:tc>
          <w:tcPr>
            <w:tcW w:w="3318" w:type="dxa"/>
            <w:vAlign w:val="center"/>
          </w:tcPr>
          <w:p w14:paraId="677891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1771F6CD" w14:textId="77777777" w:rsidR="00522189" w:rsidRPr="00522189" w:rsidRDefault="00522189" w:rsidP="00D877B6">
            <w:pPr>
              <w:pStyle w:val="Default"/>
              <w:spacing w:line="276" w:lineRule="auto"/>
              <w:jc w:val="center"/>
              <w:rPr>
                <w:sz w:val="20"/>
                <w:szCs w:val="20"/>
                <w:lang w:val="en-US"/>
              </w:rPr>
            </w:pPr>
          </w:p>
        </w:tc>
      </w:tr>
      <w:tr w:rsidR="00522189" w:rsidRPr="005E2C22" w14:paraId="6AEB61D3" w14:textId="77777777" w:rsidTr="00D877B6">
        <w:trPr>
          <w:trHeight w:val="333"/>
          <w:jc w:val="center"/>
        </w:trPr>
        <w:tc>
          <w:tcPr>
            <w:tcW w:w="3318" w:type="dxa"/>
            <w:vAlign w:val="center"/>
          </w:tcPr>
          <w:p w14:paraId="03ABC18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Cobalt</w:t>
            </w:r>
          </w:p>
        </w:tc>
        <w:tc>
          <w:tcPr>
            <w:tcW w:w="3318" w:type="dxa"/>
            <w:vAlign w:val="center"/>
          </w:tcPr>
          <w:p w14:paraId="6F2C071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719269F" w14:textId="77777777" w:rsidR="00522189" w:rsidRPr="00522189" w:rsidRDefault="00522189" w:rsidP="00D877B6">
            <w:pPr>
              <w:pStyle w:val="Default"/>
              <w:spacing w:line="276" w:lineRule="auto"/>
              <w:jc w:val="center"/>
              <w:rPr>
                <w:sz w:val="20"/>
                <w:szCs w:val="20"/>
                <w:lang w:val="en-US"/>
              </w:rPr>
            </w:pPr>
          </w:p>
        </w:tc>
      </w:tr>
      <w:tr w:rsidR="00522189" w:rsidRPr="005E2C22" w14:paraId="4DFA9A45" w14:textId="77777777" w:rsidTr="00D877B6">
        <w:trPr>
          <w:trHeight w:val="333"/>
          <w:jc w:val="center"/>
        </w:trPr>
        <w:tc>
          <w:tcPr>
            <w:tcW w:w="3318" w:type="dxa"/>
            <w:vAlign w:val="center"/>
          </w:tcPr>
          <w:p w14:paraId="6314C1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Copper</w:t>
            </w:r>
          </w:p>
        </w:tc>
        <w:tc>
          <w:tcPr>
            <w:tcW w:w="3318" w:type="dxa"/>
            <w:vAlign w:val="center"/>
          </w:tcPr>
          <w:p w14:paraId="2E41008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EBEEF9A" w14:textId="77777777" w:rsidR="00522189" w:rsidRPr="00522189" w:rsidRDefault="00522189" w:rsidP="00D877B6">
            <w:pPr>
              <w:pStyle w:val="Default"/>
              <w:spacing w:line="276" w:lineRule="auto"/>
              <w:jc w:val="center"/>
              <w:rPr>
                <w:sz w:val="20"/>
                <w:szCs w:val="20"/>
                <w:lang w:val="en-US"/>
              </w:rPr>
            </w:pPr>
          </w:p>
        </w:tc>
      </w:tr>
      <w:tr w:rsidR="00522189" w:rsidRPr="005E2C22" w14:paraId="344C2622" w14:textId="77777777" w:rsidTr="00D877B6">
        <w:trPr>
          <w:trHeight w:val="333"/>
          <w:jc w:val="center"/>
        </w:trPr>
        <w:tc>
          <w:tcPr>
            <w:tcW w:w="3318" w:type="dxa"/>
            <w:vAlign w:val="center"/>
          </w:tcPr>
          <w:p w14:paraId="21FD332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Iron</w:t>
            </w:r>
          </w:p>
        </w:tc>
        <w:tc>
          <w:tcPr>
            <w:tcW w:w="3318" w:type="dxa"/>
            <w:vAlign w:val="center"/>
          </w:tcPr>
          <w:p w14:paraId="09A0B3E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7521FF4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010F86F5" w14:textId="77777777" w:rsidTr="00D877B6">
        <w:trPr>
          <w:trHeight w:val="333"/>
          <w:jc w:val="center"/>
        </w:trPr>
        <w:tc>
          <w:tcPr>
            <w:tcW w:w="3318" w:type="dxa"/>
            <w:vAlign w:val="center"/>
          </w:tcPr>
          <w:p w14:paraId="685FB5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Lead</w:t>
            </w:r>
          </w:p>
        </w:tc>
        <w:tc>
          <w:tcPr>
            <w:tcW w:w="3318" w:type="dxa"/>
            <w:vAlign w:val="center"/>
          </w:tcPr>
          <w:p w14:paraId="3AB93C5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0.006</w:t>
            </w:r>
          </w:p>
        </w:tc>
        <w:tc>
          <w:tcPr>
            <w:tcW w:w="3319" w:type="dxa"/>
            <w:vAlign w:val="center"/>
          </w:tcPr>
          <w:p w14:paraId="6F4D3C4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20F9DE46" w14:textId="77777777" w:rsidTr="00D877B6">
        <w:trPr>
          <w:trHeight w:val="333"/>
          <w:jc w:val="center"/>
        </w:trPr>
        <w:tc>
          <w:tcPr>
            <w:tcW w:w="3318" w:type="dxa"/>
            <w:vAlign w:val="center"/>
          </w:tcPr>
          <w:p w14:paraId="4BB919F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Lithium</w:t>
            </w:r>
          </w:p>
        </w:tc>
        <w:tc>
          <w:tcPr>
            <w:tcW w:w="3318" w:type="dxa"/>
            <w:vAlign w:val="center"/>
          </w:tcPr>
          <w:p w14:paraId="172675C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3980E5B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4184A3A5" w14:textId="77777777" w:rsidTr="00D877B6">
        <w:trPr>
          <w:trHeight w:val="333"/>
          <w:jc w:val="center"/>
        </w:trPr>
        <w:tc>
          <w:tcPr>
            <w:tcW w:w="3318" w:type="dxa"/>
            <w:vAlign w:val="center"/>
          </w:tcPr>
          <w:p w14:paraId="2CD0E4C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Manganese</w:t>
            </w:r>
          </w:p>
        </w:tc>
        <w:tc>
          <w:tcPr>
            <w:tcW w:w="3318" w:type="dxa"/>
            <w:vAlign w:val="center"/>
          </w:tcPr>
          <w:p w14:paraId="64E51C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w:t>
            </w:r>
          </w:p>
        </w:tc>
        <w:tc>
          <w:tcPr>
            <w:tcW w:w="3319" w:type="dxa"/>
            <w:vAlign w:val="center"/>
          </w:tcPr>
          <w:p w14:paraId="447116C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D51121" w:rsidRPr="005E2C22" w14:paraId="53B75D36" w14:textId="77777777" w:rsidTr="00D877B6">
        <w:trPr>
          <w:trHeight w:val="333"/>
          <w:jc w:val="center"/>
        </w:trPr>
        <w:tc>
          <w:tcPr>
            <w:tcW w:w="3318" w:type="dxa"/>
            <w:vAlign w:val="center"/>
          </w:tcPr>
          <w:p w14:paraId="1886BD5F"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Mercury</w:t>
            </w:r>
          </w:p>
        </w:tc>
        <w:tc>
          <w:tcPr>
            <w:tcW w:w="3318" w:type="dxa"/>
            <w:vAlign w:val="center"/>
          </w:tcPr>
          <w:p w14:paraId="041BA3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0.05</w:t>
            </w:r>
          </w:p>
        </w:tc>
        <w:tc>
          <w:tcPr>
            <w:tcW w:w="3319" w:type="dxa"/>
            <w:vMerge w:val="restart"/>
            <w:vAlign w:val="center"/>
          </w:tcPr>
          <w:p w14:paraId="335B617A"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59C9E93" w14:textId="77777777" w:rsidTr="00D877B6">
        <w:trPr>
          <w:trHeight w:val="333"/>
          <w:jc w:val="center"/>
        </w:trPr>
        <w:tc>
          <w:tcPr>
            <w:tcW w:w="3318" w:type="dxa"/>
            <w:vAlign w:val="center"/>
          </w:tcPr>
          <w:p w14:paraId="3C7FBCEE"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Nickel</w:t>
            </w:r>
          </w:p>
        </w:tc>
        <w:tc>
          <w:tcPr>
            <w:tcW w:w="3318" w:type="dxa"/>
            <w:vAlign w:val="center"/>
          </w:tcPr>
          <w:p w14:paraId="0B7FC7E9"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0.35</w:t>
            </w:r>
          </w:p>
        </w:tc>
        <w:tc>
          <w:tcPr>
            <w:tcW w:w="3319" w:type="dxa"/>
            <w:vMerge/>
            <w:vAlign w:val="center"/>
          </w:tcPr>
          <w:p w14:paraId="4024FA21" w14:textId="77777777" w:rsidR="00D51121" w:rsidRPr="00522189" w:rsidRDefault="00D51121" w:rsidP="00D877B6">
            <w:pPr>
              <w:pStyle w:val="Default"/>
              <w:spacing w:line="276" w:lineRule="auto"/>
              <w:jc w:val="center"/>
              <w:rPr>
                <w:sz w:val="20"/>
                <w:szCs w:val="20"/>
                <w:lang w:val="en-US"/>
              </w:rPr>
            </w:pPr>
          </w:p>
        </w:tc>
      </w:tr>
      <w:tr w:rsidR="00D51121" w:rsidRPr="005E2C22" w14:paraId="5F79DE9D" w14:textId="77777777" w:rsidTr="00D877B6">
        <w:trPr>
          <w:trHeight w:val="333"/>
          <w:jc w:val="center"/>
        </w:trPr>
        <w:tc>
          <w:tcPr>
            <w:tcW w:w="3318" w:type="dxa"/>
            <w:vAlign w:val="center"/>
          </w:tcPr>
          <w:p w14:paraId="447C5E65"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Silver</w:t>
            </w:r>
          </w:p>
        </w:tc>
        <w:tc>
          <w:tcPr>
            <w:tcW w:w="3318" w:type="dxa"/>
            <w:vAlign w:val="center"/>
          </w:tcPr>
          <w:p w14:paraId="723E1F3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0.25</w:t>
            </w:r>
          </w:p>
        </w:tc>
        <w:tc>
          <w:tcPr>
            <w:tcW w:w="3319" w:type="dxa"/>
            <w:vMerge/>
            <w:vAlign w:val="center"/>
          </w:tcPr>
          <w:p w14:paraId="544112C4" w14:textId="77777777" w:rsidR="00D51121" w:rsidRPr="00522189" w:rsidRDefault="00D51121" w:rsidP="00D877B6">
            <w:pPr>
              <w:pStyle w:val="Default"/>
              <w:spacing w:line="276" w:lineRule="auto"/>
              <w:jc w:val="center"/>
              <w:rPr>
                <w:sz w:val="20"/>
                <w:szCs w:val="20"/>
                <w:lang w:val="en-US"/>
              </w:rPr>
            </w:pPr>
          </w:p>
        </w:tc>
      </w:tr>
      <w:tr w:rsidR="00D51121" w:rsidRPr="005E2C22" w14:paraId="064B8F79" w14:textId="77777777" w:rsidTr="00D877B6">
        <w:trPr>
          <w:trHeight w:val="333"/>
          <w:jc w:val="center"/>
        </w:trPr>
        <w:tc>
          <w:tcPr>
            <w:tcW w:w="3318" w:type="dxa"/>
            <w:vAlign w:val="center"/>
          </w:tcPr>
          <w:p w14:paraId="615E1F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Selenium</w:t>
            </w:r>
          </w:p>
        </w:tc>
        <w:tc>
          <w:tcPr>
            <w:tcW w:w="3318" w:type="dxa"/>
            <w:vAlign w:val="center"/>
          </w:tcPr>
          <w:p w14:paraId="72DB0746" w14:textId="2629A9E6" w:rsidR="00D51121" w:rsidRPr="00522189" w:rsidRDefault="00D51121" w:rsidP="00D877B6">
            <w:pPr>
              <w:pStyle w:val="Default"/>
              <w:spacing w:line="276" w:lineRule="auto"/>
              <w:jc w:val="center"/>
              <w:rPr>
                <w:sz w:val="20"/>
                <w:szCs w:val="20"/>
                <w:lang w:val="en-US"/>
              </w:rPr>
            </w:pPr>
            <w:r w:rsidRPr="00522189">
              <w:rPr>
                <w:sz w:val="20"/>
                <w:szCs w:val="20"/>
                <w:lang w:val="en-US"/>
              </w:rPr>
              <w:t>0.002</w:t>
            </w:r>
          </w:p>
        </w:tc>
        <w:tc>
          <w:tcPr>
            <w:tcW w:w="3319" w:type="dxa"/>
            <w:vMerge/>
            <w:vAlign w:val="center"/>
          </w:tcPr>
          <w:p w14:paraId="57B2ED6F" w14:textId="77777777" w:rsidR="00D51121" w:rsidRPr="00522189" w:rsidRDefault="00D51121" w:rsidP="00D877B6">
            <w:pPr>
              <w:pStyle w:val="Default"/>
              <w:spacing w:line="276" w:lineRule="auto"/>
              <w:jc w:val="center"/>
              <w:rPr>
                <w:sz w:val="20"/>
                <w:szCs w:val="20"/>
                <w:lang w:val="en-US"/>
              </w:rPr>
            </w:pPr>
          </w:p>
        </w:tc>
      </w:tr>
      <w:tr w:rsidR="00D51121" w:rsidRPr="00994501" w14:paraId="51769056" w14:textId="77777777" w:rsidTr="00D877B6">
        <w:trPr>
          <w:trHeight w:val="333"/>
          <w:jc w:val="center"/>
        </w:trPr>
        <w:tc>
          <w:tcPr>
            <w:tcW w:w="3318" w:type="dxa"/>
            <w:vAlign w:val="center"/>
          </w:tcPr>
          <w:p w14:paraId="7B63E17A" w14:textId="3D1EF0AB" w:rsidR="00D51121" w:rsidRPr="00522189" w:rsidRDefault="00D51121" w:rsidP="00D877B6">
            <w:pPr>
              <w:pStyle w:val="Default"/>
              <w:spacing w:line="276" w:lineRule="auto"/>
              <w:jc w:val="center"/>
              <w:rPr>
                <w:sz w:val="20"/>
                <w:szCs w:val="20"/>
                <w:lang w:val="en-US"/>
              </w:rPr>
            </w:pPr>
            <w:r>
              <w:rPr>
                <w:sz w:val="20"/>
                <w:szCs w:val="20"/>
                <w:lang w:val="en-US"/>
              </w:rPr>
              <w:t>Uranium</w:t>
            </w:r>
          </w:p>
        </w:tc>
        <w:tc>
          <w:tcPr>
            <w:tcW w:w="3318" w:type="dxa"/>
            <w:vAlign w:val="center"/>
          </w:tcPr>
          <w:p w14:paraId="41CE10E9" w14:textId="13994B09" w:rsidR="00D51121" w:rsidRPr="00522189" w:rsidRDefault="00D51121" w:rsidP="00D877B6">
            <w:pPr>
              <w:pStyle w:val="Default"/>
              <w:spacing w:line="276" w:lineRule="auto"/>
              <w:jc w:val="center"/>
              <w:rPr>
                <w:sz w:val="20"/>
                <w:szCs w:val="20"/>
                <w:lang w:val="en-US"/>
              </w:rPr>
            </w:pPr>
            <w:r w:rsidRPr="00522189">
              <w:rPr>
                <w:sz w:val="20"/>
                <w:szCs w:val="20"/>
                <w:lang w:val="en-US"/>
              </w:rPr>
              <w:t>0.00</w:t>
            </w:r>
            <w:r>
              <w:rPr>
                <w:sz w:val="20"/>
                <w:szCs w:val="20"/>
                <w:lang w:val="en-US"/>
              </w:rPr>
              <w:t>1</w:t>
            </w:r>
          </w:p>
        </w:tc>
        <w:tc>
          <w:tcPr>
            <w:tcW w:w="3319" w:type="dxa"/>
            <w:vAlign w:val="center"/>
          </w:tcPr>
          <w:p w14:paraId="196BA3C6" w14:textId="308C9EDA" w:rsidR="00D51121" w:rsidRPr="00522189" w:rsidRDefault="00994501" w:rsidP="00D877B6">
            <w:pPr>
              <w:pStyle w:val="Default"/>
              <w:spacing w:line="276" w:lineRule="auto"/>
              <w:jc w:val="center"/>
              <w:rPr>
                <w:sz w:val="20"/>
                <w:szCs w:val="20"/>
                <w:lang w:val="en-US"/>
              </w:rPr>
            </w:pPr>
            <w:r>
              <w:rPr>
                <w:sz w:val="20"/>
                <w:szCs w:val="20"/>
                <w:lang w:val="en-US"/>
              </w:rPr>
              <w:t xml:space="preserve">Craft et al. </w:t>
            </w:r>
            <w:r>
              <w:rPr>
                <w:sz w:val="20"/>
                <w:szCs w:val="20"/>
                <w:lang w:val="en-US"/>
              </w:rPr>
              <w:fldChar w:fldCharType="begin" w:fldLock="1"/>
            </w:r>
            <w:r w:rsidR="00633F70">
              <w:rPr>
                <w:sz w:val="20"/>
                <w:szCs w:val="20"/>
                <w:lang w:val="en-US"/>
              </w:rPr>
              <w:instrText>ADDIN CSL_CITATION {"citationItems":[{"id":"ITEM-1","itemData":{"DOI":"10.1080/10937400490452714","ISSN":"1093-7404","abstract":"Depleted uranium (DU) is a by-product from the chemical enrichment of naturally occurring uranium. Natural uranium is comprised of three radioactive isotopes: 238U, 235U, and 234U. This enrichment process reduces the radioactivity of DU to roughly 30% of that of natural uranium. Nonmilitary uses of DU include counterweights in airplanes, shields against radiation in medical radiotherapy units and transport of radioactive isotopes. DU has also been used during wartime in heavy tank armor, armor-piercing bullets, and missiles, due to its desirable chemical properties coupled with its decreased radioactivity. DU weapons are used unreservedly by the armed forces. Chemically and toxicologically, DU behaves similarly to natural uranium metal. Although the effects of DU on human health are not easily discerned, they may be produced by both its chemical and radiological properties. DU can be toxic to many bodily systems, as presented in this review. Most importantly, normal functioning of the kidney, brain, liver, and heart can be affected by DU exposure. Numerous other systems can also be affected by DU exposure, and these are also reviewed. Despite the prevalence of DU usage in many applications, limited data exist regarding the toxicological consequences on human health. This review focuses on the chemistry, pharmacokinetics, and toxicological effects of depleted and natural uranium on several systems in the mammalian body. A section on risk assessment concludes the review.","author":[{"dropping-particle":"","family":"Craft","given":"Elena S.","non-dropping-particle":"","parse-names":false,"suffix":""},{"dropping-particle":"","family":"Abu-Qare","given":"Aquel W.","non-dropping-particle":"","parse-names":false,"suffix":""},{"dropping-particle":"","family":"Flaherty","given":"Meghan M.","non-dropping-particle":"","parse-names":false,"suffix":""},{"dropping-particle":"","family":"Garofolo","given":"Melissa C.","non-dropping-particle":"","parse-names":false,"suffix":""},{"dropping-particle":"","family":"Rincavage","given":"Heather L.","non-dropping-particle":"","parse-names":false,"suffix":""},{"dropping-particle":"","family":"Abou-Donia","given":"Mohamed B.","non-dropping-particle":"","parse-names":false,"suffix":""}],"container-title":"Journal of Toxicology and Environmental Health, Part B","id":"ITEM-1","issue":"4","issued":{"date-parts":[["2004","7"]]},"page":"297-317","title":"Depleted and natural uranium: chemistry and toxicological effects","type":"article-journal","volume":"7"},"suppress-author":1,"uris":["http://www.mendeley.com/documents/?uuid=68724036-b6f2-4cfc-abdc-0f7ba9e66531"]}],"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994501">
              <w:rPr>
                <w:noProof/>
                <w:sz w:val="20"/>
                <w:szCs w:val="20"/>
                <w:lang w:val="en-US"/>
              </w:rPr>
              <w:t>(2004)</w:t>
            </w:r>
            <w:r>
              <w:rPr>
                <w:sz w:val="20"/>
                <w:szCs w:val="20"/>
                <w:lang w:val="en-US"/>
              </w:rPr>
              <w:fldChar w:fldCharType="end"/>
            </w:r>
          </w:p>
        </w:tc>
      </w:tr>
      <w:tr w:rsidR="00D51121" w:rsidRPr="005E2C22" w14:paraId="5F8D0BF1" w14:textId="77777777" w:rsidTr="00D877B6">
        <w:trPr>
          <w:trHeight w:val="333"/>
          <w:jc w:val="center"/>
        </w:trPr>
        <w:tc>
          <w:tcPr>
            <w:tcW w:w="3318" w:type="dxa"/>
            <w:vAlign w:val="center"/>
          </w:tcPr>
          <w:p w14:paraId="1BCBC7C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Vanadium</w:t>
            </w:r>
          </w:p>
        </w:tc>
        <w:tc>
          <w:tcPr>
            <w:tcW w:w="3318" w:type="dxa"/>
            <w:vAlign w:val="center"/>
          </w:tcPr>
          <w:p w14:paraId="73BB3D2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71262602" w14:textId="79997BB2"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2C11B68" w14:textId="77777777" w:rsidTr="00D877B6">
        <w:trPr>
          <w:trHeight w:val="333"/>
          <w:jc w:val="center"/>
        </w:trPr>
        <w:tc>
          <w:tcPr>
            <w:tcW w:w="3318" w:type="dxa"/>
            <w:vAlign w:val="center"/>
          </w:tcPr>
          <w:p w14:paraId="411008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Zinc</w:t>
            </w:r>
          </w:p>
        </w:tc>
        <w:tc>
          <w:tcPr>
            <w:tcW w:w="3318" w:type="dxa"/>
            <w:vAlign w:val="center"/>
          </w:tcPr>
          <w:p w14:paraId="1F128D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CA7396" w14:textId="77777777" w:rsidR="00D51121" w:rsidRPr="00522189" w:rsidRDefault="00D51121" w:rsidP="00D877B6">
            <w:pPr>
              <w:pStyle w:val="Default"/>
              <w:spacing w:line="276" w:lineRule="auto"/>
              <w:jc w:val="center"/>
              <w:rPr>
                <w:sz w:val="20"/>
                <w:szCs w:val="20"/>
                <w:lang w:val="en-US"/>
              </w:rPr>
            </w:pPr>
          </w:p>
        </w:tc>
      </w:tr>
      <w:tr w:rsidR="00D51121" w:rsidRPr="005E2C22" w14:paraId="05BBA98A" w14:textId="77777777" w:rsidTr="00D877B6">
        <w:trPr>
          <w:trHeight w:val="313"/>
          <w:jc w:val="center"/>
        </w:trPr>
        <w:tc>
          <w:tcPr>
            <w:tcW w:w="3318" w:type="dxa"/>
            <w:vAlign w:val="center"/>
          </w:tcPr>
          <w:p w14:paraId="25453D6C" w14:textId="77777777" w:rsidR="00D51121" w:rsidRPr="00522189" w:rsidRDefault="00D51121"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Acenaphthene</w:t>
            </w:r>
          </w:p>
        </w:tc>
        <w:tc>
          <w:tcPr>
            <w:tcW w:w="3318" w:type="dxa"/>
            <w:vAlign w:val="center"/>
          </w:tcPr>
          <w:p w14:paraId="6C522D80"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7A87C77" w14:textId="77777777" w:rsidR="00D51121" w:rsidRPr="00522189" w:rsidRDefault="00D51121" w:rsidP="00D877B6">
            <w:pPr>
              <w:pStyle w:val="Default"/>
              <w:spacing w:line="276" w:lineRule="auto"/>
              <w:jc w:val="center"/>
              <w:rPr>
                <w:sz w:val="20"/>
                <w:szCs w:val="20"/>
                <w:lang w:val="en-US"/>
              </w:rPr>
            </w:pPr>
          </w:p>
        </w:tc>
      </w:tr>
      <w:tr w:rsidR="00D51121" w:rsidRPr="005E2C22" w14:paraId="63176A0C" w14:textId="77777777" w:rsidTr="00D877B6">
        <w:trPr>
          <w:trHeight w:val="313"/>
          <w:jc w:val="center"/>
        </w:trPr>
        <w:tc>
          <w:tcPr>
            <w:tcW w:w="3318" w:type="dxa"/>
            <w:vAlign w:val="center"/>
          </w:tcPr>
          <w:p w14:paraId="0B63D17A" w14:textId="77777777" w:rsidR="00D51121" w:rsidRPr="00522189" w:rsidRDefault="00D51121" w:rsidP="00D877B6">
            <w:pPr>
              <w:pStyle w:val="Default"/>
              <w:spacing w:line="276" w:lineRule="auto"/>
              <w:jc w:val="center"/>
              <w:rPr>
                <w:sz w:val="20"/>
                <w:szCs w:val="20"/>
                <w:lang w:val="en-US"/>
              </w:rPr>
            </w:pPr>
            <w:r w:rsidRPr="00522189">
              <w:rPr>
                <w:rFonts w:ascii="TimesNewRoman" w:hAnsi="TimesNewRoman" w:cs="TimesNewRoman"/>
                <w:sz w:val="20"/>
                <w:szCs w:val="20"/>
                <w:lang w:val="en-US"/>
              </w:rPr>
              <w:t>Acenaphthylene</w:t>
            </w:r>
          </w:p>
        </w:tc>
        <w:tc>
          <w:tcPr>
            <w:tcW w:w="3318" w:type="dxa"/>
            <w:vAlign w:val="center"/>
          </w:tcPr>
          <w:p w14:paraId="0F67ED9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2112A382" w14:textId="77777777" w:rsidR="00D51121" w:rsidRPr="00522189" w:rsidRDefault="00D51121" w:rsidP="00D877B6">
            <w:pPr>
              <w:pStyle w:val="Default"/>
              <w:spacing w:line="276" w:lineRule="auto"/>
              <w:jc w:val="center"/>
              <w:rPr>
                <w:sz w:val="20"/>
                <w:szCs w:val="20"/>
                <w:lang w:val="en-US"/>
              </w:rPr>
            </w:pPr>
          </w:p>
        </w:tc>
      </w:tr>
      <w:tr w:rsidR="00522189" w:rsidRPr="005E2C22" w14:paraId="614A8E0D" w14:textId="77777777" w:rsidTr="00D877B6">
        <w:trPr>
          <w:trHeight w:val="313"/>
          <w:jc w:val="center"/>
        </w:trPr>
        <w:tc>
          <w:tcPr>
            <w:tcW w:w="3318" w:type="dxa"/>
            <w:vAlign w:val="center"/>
          </w:tcPr>
          <w:p w14:paraId="144C349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Acetophenone</w:t>
            </w:r>
          </w:p>
        </w:tc>
        <w:tc>
          <w:tcPr>
            <w:tcW w:w="3318" w:type="dxa"/>
            <w:vAlign w:val="center"/>
          </w:tcPr>
          <w:p w14:paraId="4A8948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0FBD03E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2A31AAE7" w14:textId="77777777" w:rsidTr="00D877B6">
        <w:trPr>
          <w:trHeight w:val="313"/>
          <w:jc w:val="center"/>
        </w:trPr>
        <w:tc>
          <w:tcPr>
            <w:tcW w:w="3318" w:type="dxa"/>
            <w:vAlign w:val="center"/>
          </w:tcPr>
          <w:p w14:paraId="04387539"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Anthracene</w:t>
            </w:r>
          </w:p>
        </w:tc>
        <w:tc>
          <w:tcPr>
            <w:tcW w:w="3318" w:type="dxa"/>
            <w:vAlign w:val="center"/>
          </w:tcPr>
          <w:p w14:paraId="04F5BF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0.29</w:t>
            </w:r>
          </w:p>
        </w:tc>
        <w:tc>
          <w:tcPr>
            <w:tcW w:w="3319" w:type="dxa"/>
            <w:vMerge w:val="restart"/>
            <w:vAlign w:val="center"/>
          </w:tcPr>
          <w:p w14:paraId="62CB3EB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339E511" w14:textId="77777777" w:rsidTr="00D877B6">
        <w:trPr>
          <w:trHeight w:val="313"/>
          <w:jc w:val="center"/>
        </w:trPr>
        <w:tc>
          <w:tcPr>
            <w:tcW w:w="3318" w:type="dxa"/>
            <w:vAlign w:val="center"/>
          </w:tcPr>
          <w:p w14:paraId="4E763124"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Benzo[</w:t>
            </w:r>
            <w:r w:rsidRPr="00522189">
              <w:rPr>
                <w:rFonts w:ascii="TimesNewRoman" w:hAnsi="TimesNewRoman" w:cs="TimesNewRoman"/>
                <w:i/>
                <w:sz w:val="20"/>
                <w:szCs w:val="20"/>
                <w:lang w:val="en-US"/>
              </w:rPr>
              <w:t>a</w:t>
            </w:r>
            <w:r w:rsidRPr="00522189">
              <w:rPr>
                <w:rFonts w:ascii="TimesNewRoman" w:hAnsi="TimesNewRoman" w:cs="TimesNewRoman"/>
                <w:sz w:val="20"/>
                <w:szCs w:val="20"/>
                <w:lang w:val="en-US"/>
              </w:rPr>
              <w:t>]anthracene</w:t>
            </w:r>
          </w:p>
        </w:tc>
        <w:tc>
          <w:tcPr>
            <w:tcW w:w="3318" w:type="dxa"/>
            <w:vAlign w:val="center"/>
          </w:tcPr>
          <w:p w14:paraId="2748080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11688EC5" w14:textId="77777777" w:rsidR="00522189" w:rsidRPr="00522189" w:rsidRDefault="00522189" w:rsidP="00D877B6">
            <w:pPr>
              <w:pStyle w:val="Default"/>
              <w:spacing w:line="276" w:lineRule="auto"/>
              <w:jc w:val="center"/>
              <w:rPr>
                <w:sz w:val="20"/>
                <w:szCs w:val="20"/>
                <w:lang w:val="en-US"/>
              </w:rPr>
            </w:pPr>
          </w:p>
        </w:tc>
      </w:tr>
      <w:tr w:rsidR="00522189" w:rsidRPr="005E2C22" w14:paraId="006B1A2B" w14:textId="77777777" w:rsidTr="00D877B6">
        <w:trPr>
          <w:trHeight w:val="313"/>
          <w:jc w:val="center"/>
        </w:trPr>
        <w:tc>
          <w:tcPr>
            <w:tcW w:w="3318" w:type="dxa"/>
            <w:vAlign w:val="center"/>
          </w:tcPr>
          <w:p w14:paraId="0F15C4A6"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318" w:type="dxa"/>
            <w:vAlign w:val="center"/>
          </w:tcPr>
          <w:p w14:paraId="5125D75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33C3FA6E" w14:textId="77777777" w:rsidR="00522189" w:rsidRPr="00522189" w:rsidRDefault="00522189" w:rsidP="00D877B6">
            <w:pPr>
              <w:pStyle w:val="Default"/>
              <w:spacing w:line="276" w:lineRule="auto"/>
              <w:jc w:val="center"/>
              <w:rPr>
                <w:sz w:val="20"/>
                <w:szCs w:val="20"/>
                <w:lang w:val="en-US"/>
              </w:rPr>
            </w:pPr>
          </w:p>
        </w:tc>
      </w:tr>
      <w:tr w:rsidR="00522189" w:rsidRPr="005E2C22" w14:paraId="7853670D" w14:textId="77777777" w:rsidTr="00D877B6">
        <w:trPr>
          <w:trHeight w:val="313"/>
          <w:jc w:val="center"/>
        </w:trPr>
        <w:tc>
          <w:tcPr>
            <w:tcW w:w="3318" w:type="dxa"/>
            <w:vAlign w:val="center"/>
          </w:tcPr>
          <w:p w14:paraId="27D78CA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 and other PAHs</w:t>
            </w:r>
          </w:p>
        </w:tc>
        <w:tc>
          <w:tcPr>
            <w:tcW w:w="3318" w:type="dxa"/>
            <w:vAlign w:val="center"/>
          </w:tcPr>
          <w:p w14:paraId="133CDD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0.13</w:t>
            </w:r>
          </w:p>
        </w:tc>
        <w:tc>
          <w:tcPr>
            <w:tcW w:w="3319" w:type="dxa"/>
            <w:vAlign w:val="center"/>
          </w:tcPr>
          <w:p w14:paraId="2113313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12B1B83B" w14:textId="77777777" w:rsidTr="00D877B6">
        <w:trPr>
          <w:trHeight w:val="313"/>
          <w:jc w:val="center"/>
        </w:trPr>
        <w:tc>
          <w:tcPr>
            <w:tcW w:w="3318" w:type="dxa"/>
            <w:vAlign w:val="center"/>
          </w:tcPr>
          <w:p w14:paraId="32A5470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318" w:type="dxa"/>
            <w:vAlign w:val="center"/>
          </w:tcPr>
          <w:p w14:paraId="09A2F6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restart"/>
            <w:vAlign w:val="center"/>
          </w:tcPr>
          <w:p w14:paraId="4BD057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5F5288EA" w14:textId="77777777" w:rsidTr="00D877B6">
        <w:trPr>
          <w:trHeight w:val="313"/>
          <w:jc w:val="center"/>
        </w:trPr>
        <w:tc>
          <w:tcPr>
            <w:tcW w:w="3318" w:type="dxa"/>
            <w:vAlign w:val="center"/>
          </w:tcPr>
          <w:p w14:paraId="46F57D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proofErr w:type="spellStart"/>
            <w:r w:rsidRPr="00522189">
              <w:rPr>
                <w:i/>
                <w:sz w:val="20"/>
                <w:szCs w:val="20"/>
                <w:lang w:val="en-US"/>
              </w:rPr>
              <w:t>ghi</w:t>
            </w:r>
            <w:proofErr w:type="spellEnd"/>
            <w:r w:rsidRPr="00522189">
              <w:rPr>
                <w:sz w:val="20"/>
                <w:szCs w:val="20"/>
                <w:lang w:val="en-US"/>
              </w:rPr>
              <w:t>]perylene</w:t>
            </w:r>
          </w:p>
        </w:tc>
        <w:tc>
          <w:tcPr>
            <w:tcW w:w="3318" w:type="dxa"/>
            <w:vAlign w:val="center"/>
          </w:tcPr>
          <w:p w14:paraId="52CB892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655A96A8" w14:textId="77777777" w:rsidR="00522189" w:rsidRPr="00522189" w:rsidRDefault="00522189" w:rsidP="00D877B6">
            <w:pPr>
              <w:pStyle w:val="Default"/>
              <w:spacing w:line="276" w:lineRule="auto"/>
              <w:jc w:val="center"/>
              <w:rPr>
                <w:sz w:val="20"/>
                <w:szCs w:val="20"/>
                <w:lang w:val="en-US"/>
              </w:rPr>
            </w:pPr>
          </w:p>
        </w:tc>
      </w:tr>
      <w:tr w:rsidR="00522189" w:rsidRPr="005E2C22" w14:paraId="7F78CF8D" w14:textId="77777777" w:rsidTr="00D877B6">
        <w:trPr>
          <w:trHeight w:val="313"/>
          <w:jc w:val="center"/>
        </w:trPr>
        <w:tc>
          <w:tcPr>
            <w:tcW w:w="3318" w:type="dxa"/>
            <w:vAlign w:val="center"/>
          </w:tcPr>
          <w:p w14:paraId="7C5B69B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318" w:type="dxa"/>
            <w:vAlign w:val="center"/>
          </w:tcPr>
          <w:p w14:paraId="59F2D9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547DF6FB" w14:textId="77777777" w:rsidR="00522189" w:rsidRPr="00522189" w:rsidRDefault="00522189" w:rsidP="00D877B6">
            <w:pPr>
              <w:pStyle w:val="Default"/>
              <w:spacing w:line="276" w:lineRule="auto"/>
              <w:jc w:val="center"/>
              <w:rPr>
                <w:sz w:val="20"/>
                <w:szCs w:val="20"/>
                <w:lang w:val="en-US"/>
              </w:rPr>
            </w:pPr>
          </w:p>
        </w:tc>
      </w:tr>
      <w:tr w:rsidR="00522189" w:rsidRPr="005E2C22" w14:paraId="0DD8A28E" w14:textId="77777777" w:rsidTr="00D877B6">
        <w:trPr>
          <w:trHeight w:val="313"/>
          <w:jc w:val="center"/>
        </w:trPr>
        <w:tc>
          <w:tcPr>
            <w:tcW w:w="3318" w:type="dxa"/>
            <w:vAlign w:val="center"/>
          </w:tcPr>
          <w:p w14:paraId="58BF42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318" w:type="dxa"/>
            <w:vAlign w:val="center"/>
          </w:tcPr>
          <w:p w14:paraId="3C5F0AA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2815CA" w14:textId="77777777" w:rsidR="00522189" w:rsidRPr="00522189" w:rsidRDefault="00522189" w:rsidP="00D877B6">
            <w:pPr>
              <w:pStyle w:val="Default"/>
              <w:spacing w:line="276" w:lineRule="auto"/>
              <w:jc w:val="center"/>
              <w:rPr>
                <w:sz w:val="20"/>
                <w:szCs w:val="20"/>
                <w:lang w:val="en-US"/>
              </w:rPr>
            </w:pPr>
          </w:p>
        </w:tc>
      </w:tr>
      <w:tr w:rsidR="00522189" w:rsidRPr="005E2C22" w14:paraId="5E73061C" w14:textId="77777777" w:rsidTr="00D877B6">
        <w:trPr>
          <w:trHeight w:val="313"/>
          <w:jc w:val="center"/>
        </w:trPr>
        <w:tc>
          <w:tcPr>
            <w:tcW w:w="3318" w:type="dxa"/>
            <w:vAlign w:val="center"/>
          </w:tcPr>
          <w:p w14:paraId="4AE0CF9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Dibenzo[</w:t>
            </w:r>
            <w:proofErr w:type="spellStart"/>
            <w:proofErr w:type="gramStart"/>
            <w:r w:rsidRPr="00522189">
              <w:rPr>
                <w:i/>
                <w:sz w:val="20"/>
                <w:szCs w:val="20"/>
                <w:lang w:val="en-US"/>
              </w:rPr>
              <w:t>a</w:t>
            </w:r>
            <w:r w:rsidRPr="00522189">
              <w:rPr>
                <w:sz w:val="20"/>
                <w:szCs w:val="20"/>
                <w:lang w:val="en-US"/>
              </w:rPr>
              <w:t>,</w:t>
            </w:r>
            <w:r w:rsidRPr="00522189">
              <w:rPr>
                <w:i/>
                <w:sz w:val="20"/>
                <w:szCs w:val="20"/>
                <w:lang w:val="en-US"/>
              </w:rPr>
              <w:t>h</w:t>
            </w:r>
            <w:proofErr w:type="spellEnd"/>
            <w:proofErr w:type="gramEnd"/>
            <w:r w:rsidRPr="00522189">
              <w:rPr>
                <w:sz w:val="20"/>
                <w:szCs w:val="20"/>
                <w:lang w:val="en-US"/>
              </w:rPr>
              <w:t>]anthracene</w:t>
            </w:r>
          </w:p>
        </w:tc>
        <w:tc>
          <w:tcPr>
            <w:tcW w:w="3318" w:type="dxa"/>
            <w:vAlign w:val="center"/>
          </w:tcPr>
          <w:p w14:paraId="2D88C1E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7284746A" w14:textId="77777777" w:rsidR="00522189" w:rsidRPr="00522189" w:rsidRDefault="00522189" w:rsidP="00D877B6">
            <w:pPr>
              <w:pStyle w:val="Default"/>
              <w:spacing w:line="276" w:lineRule="auto"/>
              <w:jc w:val="center"/>
              <w:rPr>
                <w:sz w:val="20"/>
                <w:szCs w:val="20"/>
                <w:lang w:val="en-US"/>
              </w:rPr>
            </w:pPr>
          </w:p>
        </w:tc>
      </w:tr>
      <w:tr w:rsidR="00522189" w:rsidRPr="005E2C22" w14:paraId="13FB5847" w14:textId="77777777" w:rsidTr="00D877B6">
        <w:trPr>
          <w:trHeight w:val="313"/>
          <w:jc w:val="center"/>
        </w:trPr>
        <w:tc>
          <w:tcPr>
            <w:tcW w:w="3318" w:type="dxa"/>
            <w:vAlign w:val="center"/>
          </w:tcPr>
          <w:p w14:paraId="7DBE46E5"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Fluoranthene</w:t>
            </w:r>
          </w:p>
        </w:tc>
        <w:tc>
          <w:tcPr>
            <w:tcW w:w="3318" w:type="dxa"/>
            <w:vAlign w:val="center"/>
          </w:tcPr>
          <w:p w14:paraId="07B2C08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6F907592" w14:textId="77777777" w:rsidR="00522189" w:rsidRPr="00522189" w:rsidRDefault="00522189" w:rsidP="00D877B6">
            <w:pPr>
              <w:pStyle w:val="Default"/>
              <w:spacing w:line="276" w:lineRule="auto"/>
              <w:jc w:val="center"/>
              <w:rPr>
                <w:sz w:val="20"/>
                <w:szCs w:val="20"/>
                <w:lang w:val="en-US"/>
              </w:rPr>
            </w:pPr>
          </w:p>
        </w:tc>
      </w:tr>
      <w:tr w:rsidR="00522189" w:rsidRPr="005E2C22" w14:paraId="60DF31A4" w14:textId="77777777" w:rsidTr="00D877B6">
        <w:trPr>
          <w:trHeight w:val="313"/>
          <w:jc w:val="center"/>
        </w:trPr>
        <w:tc>
          <w:tcPr>
            <w:tcW w:w="3318" w:type="dxa"/>
            <w:vAlign w:val="center"/>
          </w:tcPr>
          <w:p w14:paraId="2C76678C"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Fluorene</w:t>
            </w:r>
          </w:p>
        </w:tc>
        <w:tc>
          <w:tcPr>
            <w:tcW w:w="3318" w:type="dxa"/>
            <w:vAlign w:val="center"/>
          </w:tcPr>
          <w:p w14:paraId="556F31D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D7BFA0" w14:textId="77777777" w:rsidR="00522189" w:rsidRPr="00522189" w:rsidRDefault="00522189" w:rsidP="00D877B6">
            <w:pPr>
              <w:pStyle w:val="Default"/>
              <w:spacing w:line="276" w:lineRule="auto"/>
              <w:jc w:val="center"/>
              <w:rPr>
                <w:sz w:val="20"/>
                <w:szCs w:val="20"/>
                <w:lang w:val="en-US"/>
              </w:rPr>
            </w:pPr>
          </w:p>
        </w:tc>
      </w:tr>
      <w:tr w:rsidR="00522189" w:rsidRPr="005E2C22" w14:paraId="0B555F4E" w14:textId="77777777" w:rsidTr="00D877B6">
        <w:trPr>
          <w:trHeight w:val="313"/>
          <w:jc w:val="center"/>
        </w:trPr>
        <w:tc>
          <w:tcPr>
            <w:tcW w:w="3318" w:type="dxa"/>
            <w:vAlign w:val="center"/>
          </w:tcPr>
          <w:p w14:paraId="537460F7"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proofErr w:type="spellStart"/>
            <w:r w:rsidRPr="00522189">
              <w:rPr>
                <w:rFonts w:ascii="TimesNewRoman" w:hAnsi="TimesNewRoman" w:cs="TimesNewRoman"/>
                <w:sz w:val="20"/>
                <w:szCs w:val="20"/>
                <w:lang w:val="en-US"/>
              </w:rPr>
              <w:t>Indeno</w:t>
            </w:r>
            <w:proofErr w:type="spellEnd"/>
            <w:r w:rsidRPr="00522189">
              <w:rPr>
                <w:rFonts w:ascii="TimesNewRoman" w:hAnsi="TimesNewRoman" w:cs="TimesNewRoman"/>
                <w:sz w:val="20"/>
                <w:szCs w:val="20"/>
                <w:lang w:val="en-US"/>
              </w:rPr>
              <w:t>[1,2,3-</w:t>
            </w:r>
            <w:proofErr w:type="gramStart"/>
            <w:r w:rsidRPr="00522189">
              <w:rPr>
                <w:rFonts w:ascii="TimesNewRoman" w:hAnsi="TimesNewRoman" w:cs="TimesNewRoman"/>
                <w:i/>
                <w:sz w:val="20"/>
                <w:szCs w:val="20"/>
                <w:lang w:val="en-US"/>
              </w:rPr>
              <w:t>cd</w:t>
            </w:r>
            <w:r w:rsidRPr="00522189">
              <w:rPr>
                <w:rFonts w:ascii="TimesNewRoman" w:hAnsi="TimesNewRoman" w:cs="TimesNewRoman"/>
                <w:sz w:val="20"/>
                <w:szCs w:val="20"/>
                <w:lang w:val="en-US"/>
              </w:rPr>
              <w:t>]pyrene</w:t>
            </w:r>
            <w:proofErr w:type="gramEnd"/>
          </w:p>
        </w:tc>
        <w:tc>
          <w:tcPr>
            <w:tcW w:w="3318" w:type="dxa"/>
            <w:vAlign w:val="center"/>
          </w:tcPr>
          <w:p w14:paraId="32B8D5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Align w:val="center"/>
          </w:tcPr>
          <w:p w14:paraId="77EAF21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62242D71" w14:textId="77777777" w:rsidTr="00D877B6">
        <w:trPr>
          <w:trHeight w:val="313"/>
          <w:jc w:val="center"/>
        </w:trPr>
        <w:tc>
          <w:tcPr>
            <w:tcW w:w="3318" w:type="dxa"/>
            <w:vAlign w:val="center"/>
          </w:tcPr>
          <w:p w14:paraId="6535E0D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Naphthalene</w:t>
            </w:r>
          </w:p>
        </w:tc>
        <w:tc>
          <w:tcPr>
            <w:tcW w:w="3318" w:type="dxa"/>
            <w:vAlign w:val="center"/>
          </w:tcPr>
          <w:p w14:paraId="5EFE95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67BD3EE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CB042A0" w14:textId="77777777" w:rsidTr="00D877B6">
        <w:trPr>
          <w:trHeight w:val="313"/>
          <w:jc w:val="center"/>
        </w:trPr>
        <w:tc>
          <w:tcPr>
            <w:tcW w:w="3318" w:type="dxa"/>
            <w:vAlign w:val="center"/>
          </w:tcPr>
          <w:p w14:paraId="20F020F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318" w:type="dxa"/>
            <w:vAlign w:val="center"/>
          </w:tcPr>
          <w:p w14:paraId="372E7B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0D338634" w14:textId="77777777" w:rsidR="00522189" w:rsidRPr="00522189" w:rsidRDefault="00522189" w:rsidP="00D877B6">
            <w:pPr>
              <w:pStyle w:val="Default"/>
              <w:spacing w:line="276" w:lineRule="auto"/>
              <w:jc w:val="center"/>
              <w:rPr>
                <w:sz w:val="20"/>
                <w:szCs w:val="20"/>
                <w:lang w:val="en-US"/>
              </w:rPr>
            </w:pPr>
          </w:p>
        </w:tc>
      </w:tr>
      <w:tr w:rsidR="00522189" w:rsidRPr="005E2C22" w14:paraId="195C3609" w14:textId="77777777" w:rsidTr="00D877B6">
        <w:trPr>
          <w:trHeight w:val="313"/>
          <w:jc w:val="center"/>
        </w:trPr>
        <w:tc>
          <w:tcPr>
            <w:tcW w:w="3318" w:type="dxa"/>
            <w:vAlign w:val="center"/>
          </w:tcPr>
          <w:p w14:paraId="60F89D6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318" w:type="dxa"/>
            <w:vAlign w:val="center"/>
          </w:tcPr>
          <w:p w14:paraId="3CBBA23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054A95A9" w14:textId="77777777" w:rsidR="00522189" w:rsidRPr="00522189" w:rsidRDefault="00522189" w:rsidP="00D877B6">
            <w:pPr>
              <w:pStyle w:val="Default"/>
              <w:spacing w:line="276" w:lineRule="auto"/>
              <w:jc w:val="center"/>
              <w:rPr>
                <w:sz w:val="20"/>
                <w:szCs w:val="20"/>
                <w:lang w:val="en-US"/>
              </w:rPr>
            </w:pPr>
          </w:p>
        </w:tc>
      </w:tr>
      <w:tr w:rsidR="00522189" w:rsidRPr="005E2C22" w14:paraId="20BAA0F6" w14:textId="77777777" w:rsidTr="00D877B6">
        <w:trPr>
          <w:trHeight w:val="313"/>
          <w:jc w:val="center"/>
        </w:trPr>
        <w:tc>
          <w:tcPr>
            <w:tcW w:w="3318" w:type="dxa"/>
            <w:vAlign w:val="center"/>
          </w:tcPr>
          <w:p w14:paraId="0191AF3F"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Semivolatile</w:t>
            </w:r>
            <w:proofErr w:type="spellEnd"/>
            <w:r w:rsidRPr="00522189">
              <w:rPr>
                <w:sz w:val="20"/>
                <w:szCs w:val="20"/>
                <w:lang w:val="en-US"/>
              </w:rPr>
              <w:t xml:space="preserve"> organic compounds</w:t>
            </w:r>
          </w:p>
        </w:tc>
        <w:tc>
          <w:tcPr>
            <w:tcW w:w="3318" w:type="dxa"/>
            <w:vAlign w:val="center"/>
          </w:tcPr>
          <w:p w14:paraId="4CFCAB4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144471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bl>
    <w:p w14:paraId="32BDD3FC" w14:textId="77777777" w:rsidR="00522189" w:rsidRDefault="00522189" w:rsidP="00522189">
      <w:pPr>
        <w:widowControl w:val="0"/>
        <w:autoSpaceDE w:val="0"/>
        <w:autoSpaceDN w:val="0"/>
        <w:adjustRightInd w:val="0"/>
        <w:spacing w:line="276" w:lineRule="auto"/>
        <w:ind w:left="993" w:hanging="993"/>
        <w:rPr>
          <w:sz w:val="20"/>
          <w:szCs w:val="20"/>
          <w:lang w:val="en-US"/>
        </w:rPr>
      </w:pPr>
      <w:r w:rsidRPr="00954D60">
        <w:rPr>
          <w:position w:val="8"/>
          <w:sz w:val="20"/>
          <w:szCs w:val="20"/>
          <w:vertAlign w:val="superscript"/>
          <w:lang w:val="en-US"/>
        </w:rPr>
        <w:t xml:space="preserve">1 </w:t>
      </w:r>
      <w:r w:rsidRPr="00954D60">
        <w:rPr>
          <w:sz w:val="20"/>
          <w:szCs w:val="20"/>
          <w:lang w:val="en-US"/>
        </w:rPr>
        <w:t>The values presented are experimental mean values.</w:t>
      </w:r>
    </w:p>
    <w:p w14:paraId="377A437D" w14:textId="77777777" w:rsidR="00522189" w:rsidRDefault="00522189" w:rsidP="00522189">
      <w:pPr>
        <w:widowControl w:val="0"/>
        <w:autoSpaceDE w:val="0"/>
        <w:autoSpaceDN w:val="0"/>
        <w:adjustRightInd w:val="0"/>
        <w:spacing w:line="276" w:lineRule="auto"/>
        <w:ind w:left="993" w:hanging="993"/>
        <w:rPr>
          <w:sz w:val="20"/>
          <w:szCs w:val="20"/>
          <w:lang w:val="en-US"/>
        </w:rPr>
      </w:pPr>
    </w:p>
    <w:p w14:paraId="687BDD30" w14:textId="77777777" w:rsidR="00522189" w:rsidRPr="00522189" w:rsidRDefault="00522189" w:rsidP="00522189">
      <w:pPr>
        <w:widowControl w:val="0"/>
        <w:autoSpaceDE w:val="0"/>
        <w:autoSpaceDN w:val="0"/>
        <w:adjustRightInd w:val="0"/>
        <w:spacing w:line="360" w:lineRule="auto"/>
        <w:ind w:firstLine="567"/>
        <w:jc w:val="both"/>
        <w:rPr>
          <w:rStyle w:val="tlid-translation"/>
          <w:bCs/>
          <w:sz w:val="28"/>
          <w:szCs w:val="32"/>
          <w:lang w:val="en"/>
        </w:rPr>
      </w:pPr>
      <w:r w:rsidRPr="00522189">
        <w:rPr>
          <w:rStyle w:val="tlid-translation"/>
          <w:bCs/>
          <w:sz w:val="28"/>
          <w:szCs w:val="32"/>
          <w:lang w:val="en"/>
        </w:rPr>
        <w:t>The chemical species present in the database and not considered in the table, their values were considered as 0.13 if they are PAH (</w:t>
      </w:r>
      <w:r w:rsidRPr="00522189">
        <w:rPr>
          <w:bCs/>
          <w:sz w:val="28"/>
          <w:szCs w:val="32"/>
          <w:lang w:val="en-US"/>
        </w:rPr>
        <w:t xml:space="preserve">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 xml:space="preserve"> or 0.10 if they are PAH derivatives (considered as </w:t>
      </w:r>
      <w:proofErr w:type="spellStart"/>
      <w:r w:rsidRPr="00522189">
        <w:rPr>
          <w:bCs/>
          <w:sz w:val="28"/>
          <w:szCs w:val="32"/>
          <w:lang w:val="en-US"/>
        </w:rPr>
        <w:t>Semivolatile</w:t>
      </w:r>
      <w:proofErr w:type="spellEnd"/>
      <w:r w:rsidRPr="00522189">
        <w:rPr>
          <w:bCs/>
          <w:sz w:val="28"/>
          <w:szCs w:val="32"/>
          <w:lang w:val="en-US"/>
        </w:rPr>
        <w:t xml:space="preserve"> organic compounds, 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w:t>
      </w:r>
    </w:p>
    <w:p w14:paraId="72E15EEA" w14:textId="77777777" w:rsidR="00522189" w:rsidRDefault="00522189" w:rsidP="00522189">
      <w:pPr>
        <w:widowControl w:val="0"/>
        <w:autoSpaceDE w:val="0"/>
        <w:autoSpaceDN w:val="0"/>
        <w:adjustRightInd w:val="0"/>
        <w:spacing w:line="360" w:lineRule="auto"/>
        <w:jc w:val="center"/>
        <w:rPr>
          <w:rStyle w:val="tlid-translation"/>
          <w:b/>
          <w:lang w:val="en"/>
        </w:rPr>
      </w:pPr>
    </w:p>
    <w:p w14:paraId="4B03271A" w14:textId="77777777" w:rsidR="00522189" w:rsidRPr="00C42A68" w:rsidRDefault="00522189" w:rsidP="00522189">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52FFE018" w14:textId="77777777" w:rsidR="00522189" w:rsidRPr="000818FB" w:rsidRDefault="00522189" w:rsidP="00522189">
      <w:pPr>
        <w:widowControl w:val="0"/>
        <w:autoSpaceDE w:val="0"/>
        <w:autoSpaceDN w:val="0"/>
        <w:adjustRightInd w:val="0"/>
        <w:spacing w:line="360" w:lineRule="auto"/>
        <w:jc w:val="center"/>
        <w:rPr>
          <w:rStyle w:val="tlid-translation"/>
          <w:b/>
          <w:lang w:val="en-US"/>
        </w:rPr>
      </w:pPr>
    </w:p>
    <w:p w14:paraId="3D44D5C8" w14:textId="77777777" w:rsidR="00522189" w:rsidRDefault="00522189" w:rsidP="00522189">
      <w:pPr>
        <w:widowControl w:val="0"/>
        <w:autoSpaceDE w:val="0"/>
        <w:autoSpaceDN w:val="0"/>
        <w:adjustRightInd w:val="0"/>
        <w:spacing w:line="276" w:lineRule="auto"/>
        <w:rPr>
          <w:sz w:val="20"/>
          <w:szCs w:val="20"/>
          <w:lang w:val="en-US"/>
        </w:rPr>
      </w:pPr>
      <w:r>
        <w:rPr>
          <w:sz w:val="20"/>
          <w:szCs w:val="20"/>
          <w:lang w:val="en-US"/>
        </w:rPr>
        <w:br w:type="page"/>
      </w:r>
    </w:p>
    <w:p w14:paraId="63439E48" w14:textId="61C5D34F"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8</w:t>
      </w:r>
      <w:r>
        <w:rPr>
          <w:sz w:val="28"/>
          <w:lang w:val="en-US"/>
        </w:rPr>
        <w:t xml:space="preserve"> – Some </w:t>
      </w:r>
      <w:r>
        <w:rPr>
          <w:rStyle w:val="tlid-translation"/>
          <w:sz w:val="28"/>
          <w:szCs w:val="32"/>
          <w:lang w:val="en"/>
        </w:rPr>
        <w:t>permeability coefficients</w:t>
      </w:r>
      <w:r>
        <w:rPr>
          <w:sz w:val="28"/>
          <w:lang w:val="en-US"/>
        </w:rPr>
        <w:t xml:space="preserve"> (</w:t>
      </w:r>
      <w:r>
        <w:rPr>
          <w:i/>
          <w:iCs/>
          <w:sz w:val="28"/>
          <w:lang w:val="en-US"/>
        </w:rPr>
        <w:t>PC</w:t>
      </w:r>
      <w:r>
        <w:rPr>
          <w:sz w:val="28"/>
          <w:lang w:val="en-US"/>
        </w:rPr>
        <w:t>)</w:t>
      </w:r>
      <w:r w:rsidRPr="0017539F">
        <w:rPr>
          <w:sz w:val="28"/>
          <w:lang w:val="en-US"/>
        </w:rPr>
        <w:t xml:space="preserve"> </w:t>
      </w:r>
      <w:r>
        <w:rPr>
          <w:color w:val="000000"/>
          <w:sz w:val="28"/>
          <w:lang w:val="en-US"/>
        </w:rPr>
        <w:t>values</w:t>
      </w:r>
      <w:r w:rsidRPr="0017539F">
        <w:rPr>
          <w:sz w:val="28"/>
          <w:lang w:val="en-US"/>
        </w:rPr>
        <w:t xml:space="preserve"> used </w:t>
      </w:r>
      <w:r>
        <w:rPr>
          <w:sz w:val="28"/>
          <w:lang w:val="en-US"/>
        </w:rPr>
        <w:t>for dose calculations</w:t>
      </w:r>
    </w:p>
    <w:tbl>
      <w:tblPr>
        <w:tblStyle w:val="Tabelacomgrade"/>
        <w:tblW w:w="9736" w:type="dxa"/>
        <w:jc w:val="center"/>
        <w:tblLook w:val="04A0" w:firstRow="1" w:lastRow="0" w:firstColumn="1" w:lastColumn="0" w:noHBand="0" w:noVBand="1"/>
      </w:tblPr>
      <w:tblGrid>
        <w:gridCol w:w="3256"/>
        <w:gridCol w:w="3695"/>
        <w:gridCol w:w="2785"/>
      </w:tblGrid>
      <w:tr w:rsidR="00522189" w:rsidRPr="005053D9" w14:paraId="78BC3A40" w14:textId="77777777" w:rsidTr="00D877B6">
        <w:trPr>
          <w:trHeight w:val="303"/>
          <w:jc w:val="center"/>
        </w:trPr>
        <w:tc>
          <w:tcPr>
            <w:tcW w:w="3256" w:type="dxa"/>
            <w:vAlign w:val="center"/>
          </w:tcPr>
          <w:p w14:paraId="341C1815" w14:textId="2AC45D83" w:rsidR="00522189" w:rsidRPr="00522189" w:rsidRDefault="00D877B6" w:rsidP="00D877B6">
            <w:pPr>
              <w:pStyle w:val="Default"/>
              <w:spacing w:line="276" w:lineRule="auto"/>
              <w:jc w:val="center"/>
              <w:rPr>
                <w:b/>
                <w:sz w:val="20"/>
                <w:szCs w:val="20"/>
              </w:rPr>
            </w:pPr>
            <w:r w:rsidRPr="00A358DB">
              <w:rPr>
                <w:b/>
                <w:sz w:val="20"/>
                <w:szCs w:val="20"/>
                <w:lang w:val="en-US"/>
              </w:rPr>
              <w:t>Chemical species</w:t>
            </w:r>
          </w:p>
        </w:tc>
        <w:tc>
          <w:tcPr>
            <w:tcW w:w="3695" w:type="dxa"/>
            <w:vAlign w:val="center"/>
          </w:tcPr>
          <w:p w14:paraId="34D4B4FF"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Permeability Coefficient CP</w:t>
            </w:r>
          </w:p>
          <w:p w14:paraId="5F306C88"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(cm hr</w:t>
            </w:r>
            <w:r w:rsidRPr="00522189">
              <w:rPr>
                <w:b/>
                <w:sz w:val="20"/>
                <w:szCs w:val="20"/>
                <w:vertAlign w:val="superscript"/>
                <w:lang w:val="en-US"/>
              </w:rPr>
              <w:t>-1</w:t>
            </w:r>
            <w:r w:rsidRPr="00522189">
              <w:rPr>
                <w:b/>
                <w:sz w:val="20"/>
                <w:szCs w:val="20"/>
                <w:lang w:val="en-US"/>
              </w:rPr>
              <w:t>)</w:t>
            </w:r>
          </w:p>
        </w:tc>
        <w:tc>
          <w:tcPr>
            <w:tcW w:w="2785" w:type="dxa"/>
            <w:vAlign w:val="center"/>
          </w:tcPr>
          <w:p w14:paraId="5FC08BB3"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Reference</w:t>
            </w:r>
          </w:p>
        </w:tc>
      </w:tr>
      <w:tr w:rsidR="0028368A" w:rsidRPr="005053D9" w14:paraId="3DF104CF" w14:textId="77777777" w:rsidTr="00D877B6">
        <w:trPr>
          <w:trHeight w:val="303"/>
          <w:jc w:val="center"/>
        </w:trPr>
        <w:tc>
          <w:tcPr>
            <w:tcW w:w="9736" w:type="dxa"/>
            <w:gridSpan w:val="3"/>
            <w:vAlign w:val="center"/>
          </w:tcPr>
          <w:p w14:paraId="0D66DB20" w14:textId="5014C9BD" w:rsidR="0028368A" w:rsidRPr="0028368A" w:rsidRDefault="0028368A" w:rsidP="00D877B6">
            <w:pPr>
              <w:pStyle w:val="Default"/>
              <w:spacing w:line="276" w:lineRule="auto"/>
              <w:jc w:val="center"/>
              <w:rPr>
                <w:b/>
                <w:bCs/>
                <w:sz w:val="20"/>
                <w:szCs w:val="20"/>
                <w:lang w:val="en-US"/>
              </w:rPr>
            </w:pPr>
            <w:r w:rsidRPr="0028368A">
              <w:rPr>
                <w:rStyle w:val="tlid-translation"/>
                <w:b/>
                <w:bCs/>
                <w:sz w:val="20"/>
                <w:szCs w:val="20"/>
                <w:lang w:val="en"/>
              </w:rPr>
              <w:t>Inorganic chemical species</w:t>
            </w:r>
          </w:p>
        </w:tc>
      </w:tr>
      <w:tr w:rsidR="00522189" w:rsidRPr="005053D9" w14:paraId="690E8E0E" w14:textId="77777777" w:rsidTr="00D877B6">
        <w:trPr>
          <w:trHeight w:val="285"/>
          <w:jc w:val="center"/>
        </w:trPr>
        <w:tc>
          <w:tcPr>
            <w:tcW w:w="3256" w:type="dxa"/>
            <w:vAlign w:val="center"/>
          </w:tcPr>
          <w:p w14:paraId="418B3044" w14:textId="79A960BD" w:rsidR="00522189" w:rsidRPr="00522189" w:rsidRDefault="00522189" w:rsidP="00522189">
            <w:pPr>
              <w:pStyle w:val="Default"/>
              <w:spacing w:line="276" w:lineRule="auto"/>
              <w:jc w:val="center"/>
              <w:rPr>
                <w:i/>
                <w:sz w:val="20"/>
                <w:szCs w:val="20"/>
              </w:rPr>
            </w:pPr>
            <w:proofErr w:type="spellStart"/>
            <w:r w:rsidRPr="00522189">
              <w:rPr>
                <w:sz w:val="20"/>
                <w:szCs w:val="20"/>
              </w:rPr>
              <w:t>Cadmium</w:t>
            </w:r>
            <w:proofErr w:type="spellEnd"/>
          </w:p>
        </w:tc>
        <w:tc>
          <w:tcPr>
            <w:tcW w:w="3695" w:type="dxa"/>
            <w:vAlign w:val="center"/>
          </w:tcPr>
          <w:p w14:paraId="13C77C91" w14:textId="71F11976"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restart"/>
            <w:vAlign w:val="center"/>
          </w:tcPr>
          <w:p w14:paraId="670294AD" w14:textId="40DF5D5E" w:rsidR="00522189" w:rsidRPr="00522189" w:rsidRDefault="0028368A" w:rsidP="00522189">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3BF0F21F" w14:textId="77777777" w:rsidTr="00D877B6">
        <w:trPr>
          <w:trHeight w:val="285"/>
          <w:jc w:val="center"/>
        </w:trPr>
        <w:tc>
          <w:tcPr>
            <w:tcW w:w="3256" w:type="dxa"/>
            <w:vAlign w:val="center"/>
          </w:tcPr>
          <w:p w14:paraId="174BF3BC" w14:textId="496AA5CC" w:rsidR="00522189" w:rsidRPr="00522189" w:rsidRDefault="00522189" w:rsidP="00522189">
            <w:pPr>
              <w:pStyle w:val="Default"/>
              <w:spacing w:line="276" w:lineRule="auto"/>
              <w:jc w:val="center"/>
              <w:rPr>
                <w:i/>
                <w:sz w:val="20"/>
                <w:szCs w:val="20"/>
              </w:rPr>
            </w:pPr>
            <w:proofErr w:type="spellStart"/>
            <w:r w:rsidRPr="00522189">
              <w:rPr>
                <w:sz w:val="20"/>
                <w:szCs w:val="20"/>
              </w:rPr>
              <w:t>Chromium</w:t>
            </w:r>
            <w:proofErr w:type="spellEnd"/>
            <w:r w:rsidRPr="00522189">
              <w:rPr>
                <w:sz w:val="20"/>
                <w:szCs w:val="20"/>
              </w:rPr>
              <w:t xml:space="preserve"> (VI)</w:t>
            </w:r>
          </w:p>
        </w:tc>
        <w:tc>
          <w:tcPr>
            <w:tcW w:w="3695" w:type="dxa"/>
            <w:vAlign w:val="center"/>
          </w:tcPr>
          <w:p w14:paraId="57D23083" w14:textId="1B676C89"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359BFACA" w14:textId="77777777" w:rsidR="00522189" w:rsidRPr="00522189" w:rsidRDefault="00522189" w:rsidP="00522189">
            <w:pPr>
              <w:pStyle w:val="Default"/>
              <w:spacing w:line="276" w:lineRule="auto"/>
              <w:jc w:val="center"/>
              <w:rPr>
                <w:sz w:val="20"/>
                <w:szCs w:val="20"/>
              </w:rPr>
            </w:pPr>
          </w:p>
        </w:tc>
      </w:tr>
      <w:tr w:rsidR="00522189" w:rsidRPr="005053D9" w14:paraId="48FE6D5F" w14:textId="77777777" w:rsidTr="00D877B6">
        <w:trPr>
          <w:trHeight w:val="285"/>
          <w:jc w:val="center"/>
        </w:trPr>
        <w:tc>
          <w:tcPr>
            <w:tcW w:w="3256" w:type="dxa"/>
            <w:vAlign w:val="center"/>
          </w:tcPr>
          <w:p w14:paraId="34CBD782" w14:textId="69BB8D0C" w:rsidR="00522189" w:rsidRPr="00522189" w:rsidRDefault="00522189" w:rsidP="00522189">
            <w:pPr>
              <w:pStyle w:val="Default"/>
              <w:spacing w:line="276" w:lineRule="auto"/>
              <w:jc w:val="center"/>
              <w:rPr>
                <w:i/>
                <w:sz w:val="20"/>
                <w:szCs w:val="20"/>
              </w:rPr>
            </w:pPr>
            <w:proofErr w:type="spellStart"/>
            <w:r w:rsidRPr="00522189">
              <w:rPr>
                <w:sz w:val="20"/>
                <w:szCs w:val="20"/>
              </w:rPr>
              <w:t>Chromium</w:t>
            </w:r>
            <w:proofErr w:type="spellEnd"/>
            <w:r w:rsidRPr="00522189">
              <w:rPr>
                <w:sz w:val="20"/>
                <w:szCs w:val="20"/>
              </w:rPr>
              <w:t xml:space="preserve"> (III)</w:t>
            </w:r>
          </w:p>
        </w:tc>
        <w:tc>
          <w:tcPr>
            <w:tcW w:w="3695" w:type="dxa"/>
            <w:vAlign w:val="center"/>
          </w:tcPr>
          <w:p w14:paraId="0B1763A2" w14:textId="5B1EF7EC"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B55E351" w14:textId="77777777" w:rsidR="00522189" w:rsidRPr="00522189" w:rsidRDefault="00522189" w:rsidP="00522189">
            <w:pPr>
              <w:pStyle w:val="Default"/>
              <w:spacing w:line="276" w:lineRule="auto"/>
              <w:jc w:val="center"/>
              <w:rPr>
                <w:sz w:val="20"/>
                <w:szCs w:val="20"/>
              </w:rPr>
            </w:pPr>
          </w:p>
        </w:tc>
      </w:tr>
      <w:tr w:rsidR="00522189" w:rsidRPr="005053D9" w14:paraId="352A3DB1" w14:textId="77777777" w:rsidTr="00D877B6">
        <w:trPr>
          <w:trHeight w:val="285"/>
          <w:jc w:val="center"/>
        </w:trPr>
        <w:tc>
          <w:tcPr>
            <w:tcW w:w="3256" w:type="dxa"/>
            <w:vAlign w:val="center"/>
          </w:tcPr>
          <w:p w14:paraId="2F057C0A" w14:textId="4E1A0E85" w:rsidR="00522189" w:rsidRPr="00522189" w:rsidRDefault="00522189" w:rsidP="00522189">
            <w:pPr>
              <w:pStyle w:val="Default"/>
              <w:spacing w:line="276" w:lineRule="auto"/>
              <w:jc w:val="center"/>
              <w:rPr>
                <w:i/>
                <w:sz w:val="20"/>
                <w:szCs w:val="20"/>
              </w:rPr>
            </w:pPr>
            <w:proofErr w:type="spellStart"/>
            <w:r w:rsidRPr="00522189">
              <w:rPr>
                <w:sz w:val="20"/>
                <w:szCs w:val="20"/>
              </w:rPr>
              <w:t>Cobalt</w:t>
            </w:r>
            <w:proofErr w:type="spellEnd"/>
          </w:p>
        </w:tc>
        <w:tc>
          <w:tcPr>
            <w:tcW w:w="3695" w:type="dxa"/>
            <w:vAlign w:val="center"/>
          </w:tcPr>
          <w:p w14:paraId="00744615" w14:textId="58ABF2D6" w:rsidR="00522189" w:rsidRPr="00522189" w:rsidRDefault="00522189" w:rsidP="00522189">
            <w:pPr>
              <w:pStyle w:val="Default"/>
              <w:spacing w:line="276" w:lineRule="auto"/>
              <w:jc w:val="center"/>
              <w:rPr>
                <w:sz w:val="20"/>
                <w:szCs w:val="20"/>
              </w:rPr>
            </w:pPr>
            <w:r w:rsidRPr="00522189">
              <w:rPr>
                <w:sz w:val="20"/>
                <w:szCs w:val="20"/>
              </w:rPr>
              <w:t>4 x 10</w:t>
            </w:r>
            <w:r w:rsidRPr="00522189">
              <w:rPr>
                <w:sz w:val="20"/>
                <w:szCs w:val="20"/>
                <w:vertAlign w:val="superscript"/>
              </w:rPr>
              <w:t>-4</w:t>
            </w:r>
          </w:p>
        </w:tc>
        <w:tc>
          <w:tcPr>
            <w:tcW w:w="2785" w:type="dxa"/>
            <w:vMerge/>
            <w:vAlign w:val="center"/>
          </w:tcPr>
          <w:p w14:paraId="07B13AD2" w14:textId="77777777" w:rsidR="00522189" w:rsidRPr="00522189" w:rsidRDefault="00522189" w:rsidP="00522189">
            <w:pPr>
              <w:pStyle w:val="Default"/>
              <w:spacing w:line="276" w:lineRule="auto"/>
              <w:jc w:val="center"/>
              <w:rPr>
                <w:sz w:val="20"/>
                <w:szCs w:val="20"/>
              </w:rPr>
            </w:pPr>
          </w:p>
        </w:tc>
      </w:tr>
      <w:tr w:rsidR="00522189" w:rsidRPr="005053D9" w14:paraId="10D0B08C" w14:textId="77777777" w:rsidTr="00D877B6">
        <w:trPr>
          <w:trHeight w:val="285"/>
          <w:jc w:val="center"/>
        </w:trPr>
        <w:tc>
          <w:tcPr>
            <w:tcW w:w="3256" w:type="dxa"/>
            <w:vAlign w:val="center"/>
          </w:tcPr>
          <w:p w14:paraId="42762103" w14:textId="578FD282" w:rsidR="00522189" w:rsidRPr="00522189" w:rsidRDefault="00522189" w:rsidP="00522189">
            <w:pPr>
              <w:pStyle w:val="Default"/>
              <w:spacing w:line="276" w:lineRule="auto"/>
              <w:jc w:val="center"/>
              <w:rPr>
                <w:i/>
                <w:sz w:val="20"/>
                <w:szCs w:val="20"/>
              </w:rPr>
            </w:pPr>
            <w:r w:rsidRPr="00522189">
              <w:rPr>
                <w:sz w:val="20"/>
                <w:szCs w:val="20"/>
              </w:rPr>
              <w:t>Lead</w:t>
            </w:r>
          </w:p>
        </w:tc>
        <w:tc>
          <w:tcPr>
            <w:tcW w:w="3695" w:type="dxa"/>
            <w:vAlign w:val="center"/>
          </w:tcPr>
          <w:p w14:paraId="48DD383F" w14:textId="438BAC1A"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-4</w:t>
            </w:r>
          </w:p>
        </w:tc>
        <w:tc>
          <w:tcPr>
            <w:tcW w:w="2785" w:type="dxa"/>
            <w:vMerge/>
            <w:vAlign w:val="center"/>
          </w:tcPr>
          <w:p w14:paraId="69C39FA7" w14:textId="77777777" w:rsidR="00522189" w:rsidRPr="00522189" w:rsidRDefault="00522189" w:rsidP="00522189">
            <w:pPr>
              <w:pStyle w:val="Default"/>
              <w:spacing w:line="276" w:lineRule="auto"/>
              <w:jc w:val="center"/>
              <w:rPr>
                <w:sz w:val="20"/>
                <w:szCs w:val="20"/>
              </w:rPr>
            </w:pPr>
          </w:p>
        </w:tc>
      </w:tr>
      <w:tr w:rsidR="00522189" w:rsidRPr="005053D9" w14:paraId="655ABCB9" w14:textId="77777777" w:rsidTr="00D877B6">
        <w:trPr>
          <w:trHeight w:val="285"/>
          <w:jc w:val="center"/>
        </w:trPr>
        <w:tc>
          <w:tcPr>
            <w:tcW w:w="3256" w:type="dxa"/>
            <w:vAlign w:val="center"/>
          </w:tcPr>
          <w:p w14:paraId="7E0A60C1" w14:textId="60564A58" w:rsidR="00522189" w:rsidRPr="00522189" w:rsidRDefault="00522189" w:rsidP="00522189">
            <w:pPr>
              <w:pStyle w:val="Default"/>
              <w:spacing w:line="276" w:lineRule="auto"/>
              <w:jc w:val="center"/>
              <w:rPr>
                <w:i/>
                <w:sz w:val="20"/>
                <w:szCs w:val="20"/>
              </w:rPr>
            </w:pPr>
            <w:proofErr w:type="gramStart"/>
            <w:r w:rsidRPr="00522189">
              <w:rPr>
                <w:sz w:val="20"/>
                <w:szCs w:val="20"/>
              </w:rPr>
              <w:t>Mercury(</w:t>
            </w:r>
            <w:proofErr w:type="gramEnd"/>
            <w:r w:rsidRPr="00522189">
              <w:rPr>
                <w:sz w:val="20"/>
                <w:szCs w:val="20"/>
              </w:rPr>
              <w:t>II)</w:t>
            </w:r>
          </w:p>
        </w:tc>
        <w:tc>
          <w:tcPr>
            <w:tcW w:w="3695" w:type="dxa"/>
            <w:vAlign w:val="center"/>
          </w:tcPr>
          <w:p w14:paraId="6F2EC1D3" w14:textId="696EF732"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6FCEA347" w14:textId="77777777" w:rsidR="00522189" w:rsidRPr="00522189" w:rsidRDefault="00522189" w:rsidP="00522189">
            <w:pPr>
              <w:pStyle w:val="Default"/>
              <w:spacing w:line="276" w:lineRule="auto"/>
              <w:jc w:val="center"/>
              <w:rPr>
                <w:sz w:val="20"/>
                <w:szCs w:val="20"/>
              </w:rPr>
            </w:pPr>
          </w:p>
        </w:tc>
      </w:tr>
      <w:tr w:rsidR="00522189" w:rsidRPr="005053D9" w14:paraId="7EE49F74" w14:textId="77777777" w:rsidTr="00D877B6">
        <w:trPr>
          <w:trHeight w:val="285"/>
          <w:jc w:val="center"/>
        </w:trPr>
        <w:tc>
          <w:tcPr>
            <w:tcW w:w="3256" w:type="dxa"/>
            <w:vAlign w:val="center"/>
          </w:tcPr>
          <w:p w14:paraId="0F83BA17" w14:textId="610E2236" w:rsidR="00522189" w:rsidRPr="00522189" w:rsidRDefault="00522189" w:rsidP="00522189">
            <w:pPr>
              <w:pStyle w:val="Default"/>
              <w:spacing w:line="276" w:lineRule="auto"/>
              <w:jc w:val="center"/>
              <w:rPr>
                <w:i/>
                <w:sz w:val="20"/>
                <w:szCs w:val="20"/>
              </w:rPr>
            </w:pPr>
            <w:proofErr w:type="spellStart"/>
            <w:r w:rsidRPr="00522189">
              <w:rPr>
                <w:sz w:val="20"/>
                <w:szCs w:val="20"/>
              </w:rPr>
              <w:t>Methyl</w:t>
            </w:r>
            <w:proofErr w:type="spellEnd"/>
            <w:r w:rsidRPr="00522189">
              <w:rPr>
                <w:sz w:val="20"/>
                <w:szCs w:val="20"/>
              </w:rPr>
              <w:t xml:space="preserve"> </w:t>
            </w:r>
            <w:proofErr w:type="spellStart"/>
            <w:r w:rsidRPr="00522189">
              <w:rPr>
                <w:sz w:val="20"/>
                <w:szCs w:val="20"/>
              </w:rPr>
              <w:t>mercury</w:t>
            </w:r>
            <w:proofErr w:type="spellEnd"/>
          </w:p>
        </w:tc>
        <w:tc>
          <w:tcPr>
            <w:tcW w:w="3695" w:type="dxa"/>
            <w:vAlign w:val="center"/>
          </w:tcPr>
          <w:p w14:paraId="4B86B848" w14:textId="764364C7"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0A587747" w14:textId="77777777" w:rsidR="00522189" w:rsidRPr="00522189" w:rsidRDefault="00522189" w:rsidP="00522189">
            <w:pPr>
              <w:pStyle w:val="Default"/>
              <w:spacing w:line="276" w:lineRule="auto"/>
              <w:jc w:val="center"/>
              <w:rPr>
                <w:sz w:val="20"/>
                <w:szCs w:val="20"/>
              </w:rPr>
            </w:pPr>
          </w:p>
        </w:tc>
      </w:tr>
      <w:tr w:rsidR="00522189" w:rsidRPr="005053D9" w14:paraId="315082D0" w14:textId="77777777" w:rsidTr="00D877B6">
        <w:trPr>
          <w:trHeight w:val="285"/>
          <w:jc w:val="center"/>
        </w:trPr>
        <w:tc>
          <w:tcPr>
            <w:tcW w:w="3256" w:type="dxa"/>
            <w:vAlign w:val="center"/>
          </w:tcPr>
          <w:p w14:paraId="1201AEF5" w14:textId="127E2D77" w:rsidR="00522189" w:rsidRPr="00522189" w:rsidRDefault="00522189" w:rsidP="00522189">
            <w:pPr>
              <w:pStyle w:val="Default"/>
              <w:spacing w:line="276" w:lineRule="auto"/>
              <w:jc w:val="center"/>
              <w:rPr>
                <w:i/>
                <w:sz w:val="20"/>
                <w:szCs w:val="20"/>
              </w:rPr>
            </w:pPr>
            <w:r w:rsidRPr="00522189">
              <w:rPr>
                <w:sz w:val="20"/>
                <w:szCs w:val="20"/>
              </w:rPr>
              <w:t>Mercury vapor</w:t>
            </w:r>
          </w:p>
        </w:tc>
        <w:tc>
          <w:tcPr>
            <w:tcW w:w="3695" w:type="dxa"/>
            <w:vAlign w:val="center"/>
          </w:tcPr>
          <w:p w14:paraId="65A1AB31" w14:textId="03966B4C" w:rsidR="00522189" w:rsidRPr="00522189" w:rsidRDefault="00522189" w:rsidP="00522189">
            <w:pPr>
              <w:pStyle w:val="Default"/>
              <w:spacing w:line="276" w:lineRule="auto"/>
              <w:jc w:val="center"/>
              <w:rPr>
                <w:sz w:val="20"/>
                <w:szCs w:val="20"/>
              </w:rPr>
            </w:pPr>
            <w:r w:rsidRPr="00522189">
              <w:rPr>
                <w:sz w:val="20"/>
                <w:szCs w:val="20"/>
              </w:rPr>
              <w:t>2.4 x 10</w:t>
            </w:r>
            <w:r w:rsidRPr="00522189">
              <w:rPr>
                <w:sz w:val="20"/>
                <w:szCs w:val="20"/>
                <w:vertAlign w:val="superscript"/>
              </w:rPr>
              <w:t>-1</w:t>
            </w:r>
          </w:p>
        </w:tc>
        <w:tc>
          <w:tcPr>
            <w:tcW w:w="2785" w:type="dxa"/>
            <w:vMerge/>
            <w:vAlign w:val="center"/>
          </w:tcPr>
          <w:p w14:paraId="06316DDE" w14:textId="77777777" w:rsidR="00522189" w:rsidRPr="00522189" w:rsidRDefault="00522189" w:rsidP="00522189">
            <w:pPr>
              <w:pStyle w:val="Default"/>
              <w:spacing w:line="276" w:lineRule="auto"/>
              <w:jc w:val="center"/>
              <w:rPr>
                <w:sz w:val="20"/>
                <w:szCs w:val="20"/>
              </w:rPr>
            </w:pPr>
          </w:p>
        </w:tc>
      </w:tr>
      <w:tr w:rsidR="00522189" w:rsidRPr="005053D9" w14:paraId="040D1D75" w14:textId="77777777" w:rsidTr="00D877B6">
        <w:trPr>
          <w:trHeight w:val="285"/>
          <w:jc w:val="center"/>
        </w:trPr>
        <w:tc>
          <w:tcPr>
            <w:tcW w:w="3256" w:type="dxa"/>
            <w:vAlign w:val="center"/>
          </w:tcPr>
          <w:p w14:paraId="14129A50" w14:textId="40A2016C" w:rsidR="00522189" w:rsidRPr="00522189" w:rsidRDefault="00522189" w:rsidP="00522189">
            <w:pPr>
              <w:pStyle w:val="Default"/>
              <w:spacing w:line="276" w:lineRule="auto"/>
              <w:jc w:val="center"/>
              <w:rPr>
                <w:i/>
                <w:sz w:val="20"/>
                <w:szCs w:val="20"/>
              </w:rPr>
            </w:pPr>
            <w:proofErr w:type="spellStart"/>
            <w:r w:rsidRPr="00522189">
              <w:rPr>
                <w:sz w:val="20"/>
                <w:szCs w:val="20"/>
              </w:rPr>
              <w:t>Nickel</w:t>
            </w:r>
            <w:proofErr w:type="spellEnd"/>
          </w:p>
        </w:tc>
        <w:tc>
          <w:tcPr>
            <w:tcW w:w="3695" w:type="dxa"/>
            <w:vAlign w:val="center"/>
          </w:tcPr>
          <w:p w14:paraId="28B6B592" w14:textId="221D56F1"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-4</w:t>
            </w:r>
          </w:p>
        </w:tc>
        <w:tc>
          <w:tcPr>
            <w:tcW w:w="2785" w:type="dxa"/>
            <w:vMerge/>
            <w:vAlign w:val="center"/>
          </w:tcPr>
          <w:p w14:paraId="046078F6" w14:textId="77777777" w:rsidR="00522189" w:rsidRPr="00522189" w:rsidRDefault="00522189" w:rsidP="00522189">
            <w:pPr>
              <w:pStyle w:val="Default"/>
              <w:spacing w:line="276" w:lineRule="auto"/>
              <w:jc w:val="center"/>
              <w:rPr>
                <w:sz w:val="20"/>
                <w:szCs w:val="20"/>
              </w:rPr>
            </w:pPr>
          </w:p>
        </w:tc>
      </w:tr>
      <w:tr w:rsidR="00522189" w:rsidRPr="005053D9" w14:paraId="3BC4120D" w14:textId="77777777" w:rsidTr="00D877B6">
        <w:trPr>
          <w:trHeight w:val="285"/>
          <w:jc w:val="center"/>
        </w:trPr>
        <w:tc>
          <w:tcPr>
            <w:tcW w:w="3256" w:type="dxa"/>
            <w:vAlign w:val="center"/>
          </w:tcPr>
          <w:p w14:paraId="4E319E87" w14:textId="5A9D12B2" w:rsidR="00522189" w:rsidRPr="00522189" w:rsidRDefault="00522189" w:rsidP="00522189">
            <w:pPr>
              <w:pStyle w:val="Default"/>
              <w:spacing w:line="276" w:lineRule="auto"/>
              <w:jc w:val="center"/>
              <w:rPr>
                <w:i/>
                <w:sz w:val="20"/>
                <w:szCs w:val="20"/>
              </w:rPr>
            </w:pPr>
            <w:proofErr w:type="spellStart"/>
            <w:r w:rsidRPr="00522189">
              <w:rPr>
                <w:sz w:val="20"/>
                <w:szCs w:val="20"/>
              </w:rPr>
              <w:t>Potassium</w:t>
            </w:r>
            <w:proofErr w:type="spellEnd"/>
          </w:p>
        </w:tc>
        <w:tc>
          <w:tcPr>
            <w:tcW w:w="3695" w:type="dxa"/>
            <w:vAlign w:val="center"/>
          </w:tcPr>
          <w:p w14:paraId="609B7436" w14:textId="56E32AE0"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46C62D49" w14:textId="77777777" w:rsidR="00522189" w:rsidRPr="00522189" w:rsidRDefault="00522189" w:rsidP="00522189">
            <w:pPr>
              <w:pStyle w:val="Default"/>
              <w:spacing w:line="276" w:lineRule="auto"/>
              <w:jc w:val="center"/>
              <w:rPr>
                <w:sz w:val="20"/>
                <w:szCs w:val="20"/>
              </w:rPr>
            </w:pPr>
          </w:p>
        </w:tc>
      </w:tr>
      <w:tr w:rsidR="00522189" w:rsidRPr="005053D9" w14:paraId="435CD9EB" w14:textId="77777777" w:rsidTr="00D877B6">
        <w:trPr>
          <w:trHeight w:val="285"/>
          <w:jc w:val="center"/>
        </w:trPr>
        <w:tc>
          <w:tcPr>
            <w:tcW w:w="3256" w:type="dxa"/>
            <w:vAlign w:val="center"/>
          </w:tcPr>
          <w:p w14:paraId="7100F054" w14:textId="63F0C903" w:rsidR="00522189" w:rsidRPr="00522189" w:rsidRDefault="00522189" w:rsidP="00522189">
            <w:pPr>
              <w:pStyle w:val="Default"/>
              <w:spacing w:line="276" w:lineRule="auto"/>
              <w:jc w:val="center"/>
              <w:rPr>
                <w:i/>
                <w:sz w:val="20"/>
                <w:szCs w:val="20"/>
              </w:rPr>
            </w:pPr>
            <w:r w:rsidRPr="00522189">
              <w:rPr>
                <w:sz w:val="20"/>
                <w:szCs w:val="20"/>
              </w:rPr>
              <w:t>Silver</w:t>
            </w:r>
          </w:p>
        </w:tc>
        <w:tc>
          <w:tcPr>
            <w:tcW w:w="3695" w:type="dxa"/>
            <w:vAlign w:val="center"/>
          </w:tcPr>
          <w:p w14:paraId="4C10BE1A" w14:textId="275C58AD"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3959C164" w14:textId="77777777" w:rsidR="00522189" w:rsidRPr="00522189" w:rsidRDefault="00522189" w:rsidP="00522189">
            <w:pPr>
              <w:pStyle w:val="Default"/>
              <w:spacing w:line="276" w:lineRule="auto"/>
              <w:jc w:val="center"/>
              <w:rPr>
                <w:sz w:val="20"/>
                <w:szCs w:val="20"/>
              </w:rPr>
            </w:pPr>
          </w:p>
        </w:tc>
      </w:tr>
      <w:tr w:rsidR="00522189" w:rsidRPr="005053D9" w14:paraId="02D60152" w14:textId="77777777" w:rsidTr="00D877B6">
        <w:trPr>
          <w:trHeight w:val="285"/>
          <w:jc w:val="center"/>
        </w:trPr>
        <w:tc>
          <w:tcPr>
            <w:tcW w:w="3256" w:type="dxa"/>
            <w:vAlign w:val="center"/>
          </w:tcPr>
          <w:p w14:paraId="333D37BD" w14:textId="1CC29D7F" w:rsidR="00522189" w:rsidRPr="00522189" w:rsidRDefault="00522189" w:rsidP="00522189">
            <w:pPr>
              <w:pStyle w:val="Default"/>
              <w:spacing w:line="276" w:lineRule="auto"/>
              <w:jc w:val="center"/>
              <w:rPr>
                <w:i/>
                <w:sz w:val="20"/>
                <w:szCs w:val="20"/>
              </w:rPr>
            </w:pPr>
            <w:proofErr w:type="spellStart"/>
            <w:r w:rsidRPr="00522189">
              <w:rPr>
                <w:sz w:val="20"/>
                <w:szCs w:val="20"/>
              </w:rPr>
              <w:t>Zinc</w:t>
            </w:r>
            <w:proofErr w:type="spellEnd"/>
          </w:p>
        </w:tc>
        <w:tc>
          <w:tcPr>
            <w:tcW w:w="3695" w:type="dxa"/>
            <w:vAlign w:val="center"/>
          </w:tcPr>
          <w:p w14:paraId="4E90124B" w14:textId="7120D0E6"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081AAFC6" w14:textId="77777777" w:rsidR="00522189" w:rsidRPr="00522189" w:rsidRDefault="00522189" w:rsidP="00522189">
            <w:pPr>
              <w:pStyle w:val="Default"/>
              <w:spacing w:line="276" w:lineRule="auto"/>
              <w:jc w:val="center"/>
              <w:rPr>
                <w:sz w:val="20"/>
                <w:szCs w:val="20"/>
              </w:rPr>
            </w:pPr>
          </w:p>
        </w:tc>
      </w:tr>
      <w:tr w:rsidR="00522189" w:rsidRPr="005053D9" w14:paraId="0E4F017E" w14:textId="77777777" w:rsidTr="00D877B6">
        <w:trPr>
          <w:trHeight w:val="285"/>
          <w:jc w:val="center"/>
        </w:trPr>
        <w:tc>
          <w:tcPr>
            <w:tcW w:w="3256" w:type="dxa"/>
            <w:vAlign w:val="center"/>
          </w:tcPr>
          <w:p w14:paraId="13C8EC94" w14:textId="12FAF780" w:rsidR="00522189" w:rsidRPr="00522189" w:rsidRDefault="00522189" w:rsidP="00522189">
            <w:pPr>
              <w:pStyle w:val="Default"/>
              <w:spacing w:line="276" w:lineRule="auto"/>
              <w:jc w:val="center"/>
              <w:rPr>
                <w:i/>
                <w:sz w:val="20"/>
                <w:szCs w:val="20"/>
              </w:rPr>
            </w:pPr>
            <w:proofErr w:type="spellStart"/>
            <w:r w:rsidRPr="00522189">
              <w:rPr>
                <w:sz w:val="20"/>
                <w:szCs w:val="20"/>
              </w:rPr>
              <w:t>All</w:t>
            </w:r>
            <w:proofErr w:type="spellEnd"/>
            <w:r w:rsidRPr="00522189">
              <w:rPr>
                <w:sz w:val="20"/>
                <w:szCs w:val="20"/>
              </w:rPr>
              <w:t xml:space="preserve"> </w:t>
            </w:r>
            <w:proofErr w:type="spellStart"/>
            <w:r w:rsidRPr="00522189">
              <w:rPr>
                <w:sz w:val="20"/>
                <w:szCs w:val="20"/>
              </w:rPr>
              <w:t>other</w:t>
            </w:r>
            <w:proofErr w:type="spellEnd"/>
            <w:r w:rsidRPr="00522189">
              <w:rPr>
                <w:sz w:val="20"/>
                <w:szCs w:val="20"/>
              </w:rPr>
              <w:t xml:space="preserve"> </w:t>
            </w:r>
            <w:proofErr w:type="spellStart"/>
            <w:r w:rsidRPr="00522189">
              <w:rPr>
                <w:sz w:val="20"/>
                <w:szCs w:val="20"/>
              </w:rPr>
              <w:t>inorganics</w:t>
            </w:r>
            <w:proofErr w:type="spellEnd"/>
          </w:p>
        </w:tc>
        <w:tc>
          <w:tcPr>
            <w:tcW w:w="3695" w:type="dxa"/>
            <w:vAlign w:val="center"/>
          </w:tcPr>
          <w:p w14:paraId="1E28B6A5" w14:textId="40F5AB5D"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AF3995B" w14:textId="77777777" w:rsidR="00522189" w:rsidRPr="00522189" w:rsidRDefault="00522189" w:rsidP="00522189">
            <w:pPr>
              <w:pStyle w:val="Default"/>
              <w:spacing w:line="276" w:lineRule="auto"/>
              <w:jc w:val="center"/>
              <w:rPr>
                <w:sz w:val="20"/>
                <w:szCs w:val="20"/>
              </w:rPr>
            </w:pPr>
          </w:p>
        </w:tc>
      </w:tr>
      <w:tr w:rsidR="0028368A" w:rsidRPr="005053D9" w14:paraId="58DAED13" w14:textId="77777777" w:rsidTr="00D877B6">
        <w:trPr>
          <w:trHeight w:val="285"/>
          <w:jc w:val="center"/>
        </w:trPr>
        <w:tc>
          <w:tcPr>
            <w:tcW w:w="9736" w:type="dxa"/>
            <w:gridSpan w:val="3"/>
            <w:vAlign w:val="center"/>
          </w:tcPr>
          <w:p w14:paraId="40F6D876" w14:textId="56DBB808" w:rsidR="0028368A" w:rsidRPr="00522189" w:rsidRDefault="0028368A" w:rsidP="0028368A">
            <w:pPr>
              <w:pStyle w:val="Default"/>
              <w:spacing w:line="276" w:lineRule="auto"/>
              <w:jc w:val="center"/>
              <w:rPr>
                <w:sz w:val="20"/>
                <w:szCs w:val="20"/>
              </w:rPr>
            </w:pPr>
            <w:r>
              <w:rPr>
                <w:rStyle w:val="tlid-translation"/>
                <w:b/>
                <w:bCs/>
                <w:sz w:val="20"/>
                <w:szCs w:val="20"/>
                <w:lang w:val="en"/>
              </w:rPr>
              <w:t>O</w:t>
            </w:r>
            <w:r w:rsidRPr="0028368A">
              <w:rPr>
                <w:rStyle w:val="tlid-translation"/>
                <w:b/>
                <w:bCs/>
                <w:sz w:val="20"/>
                <w:szCs w:val="20"/>
                <w:lang w:val="en"/>
              </w:rPr>
              <w:t>rganic chemical species</w:t>
            </w:r>
          </w:p>
        </w:tc>
      </w:tr>
      <w:tr w:rsidR="00522189" w:rsidRPr="005053D9" w14:paraId="7788CB91" w14:textId="77777777" w:rsidTr="00D877B6">
        <w:trPr>
          <w:trHeight w:val="285"/>
          <w:jc w:val="center"/>
        </w:trPr>
        <w:tc>
          <w:tcPr>
            <w:tcW w:w="3256" w:type="dxa"/>
            <w:vAlign w:val="center"/>
          </w:tcPr>
          <w:p w14:paraId="68139C7D" w14:textId="77777777" w:rsidR="00522189" w:rsidRPr="00522189" w:rsidRDefault="00522189" w:rsidP="00D877B6">
            <w:pPr>
              <w:pStyle w:val="Default"/>
              <w:spacing w:line="276" w:lineRule="auto"/>
              <w:jc w:val="center"/>
              <w:rPr>
                <w:sz w:val="20"/>
                <w:szCs w:val="20"/>
              </w:rPr>
            </w:pPr>
            <w:r w:rsidRPr="00522189">
              <w:rPr>
                <w:i/>
                <w:sz w:val="20"/>
                <w:szCs w:val="20"/>
              </w:rPr>
              <w:t>p</w:t>
            </w:r>
            <w:r w:rsidRPr="00522189">
              <w:rPr>
                <w:sz w:val="20"/>
                <w:szCs w:val="20"/>
              </w:rPr>
              <w:t>-</w:t>
            </w:r>
            <w:proofErr w:type="spellStart"/>
            <w:r w:rsidRPr="00522189">
              <w:rPr>
                <w:sz w:val="20"/>
                <w:szCs w:val="20"/>
              </w:rPr>
              <w:t>Benzoquinone</w:t>
            </w:r>
            <w:proofErr w:type="spellEnd"/>
          </w:p>
        </w:tc>
        <w:tc>
          <w:tcPr>
            <w:tcW w:w="3695" w:type="dxa"/>
            <w:vAlign w:val="center"/>
          </w:tcPr>
          <w:p w14:paraId="53674F56"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D5B6D9C"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F698488" w14:textId="77777777" w:rsidTr="00D877B6">
        <w:trPr>
          <w:trHeight w:val="303"/>
          <w:jc w:val="center"/>
        </w:trPr>
        <w:tc>
          <w:tcPr>
            <w:tcW w:w="3256" w:type="dxa"/>
            <w:vAlign w:val="center"/>
          </w:tcPr>
          <w:p w14:paraId="55F667F8"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Acetophenone</w:t>
            </w:r>
            <w:proofErr w:type="spellEnd"/>
          </w:p>
        </w:tc>
        <w:tc>
          <w:tcPr>
            <w:tcW w:w="3695" w:type="dxa"/>
            <w:vAlign w:val="center"/>
          </w:tcPr>
          <w:p w14:paraId="68FF7D51"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2C777FA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5CA22B3D" w14:textId="77777777" w:rsidTr="00D877B6">
        <w:trPr>
          <w:trHeight w:val="285"/>
          <w:jc w:val="center"/>
        </w:trPr>
        <w:tc>
          <w:tcPr>
            <w:tcW w:w="3256" w:type="dxa"/>
            <w:vAlign w:val="center"/>
          </w:tcPr>
          <w:p w14:paraId="0E0E4534"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Naphthalene</w:t>
            </w:r>
            <w:proofErr w:type="spellEnd"/>
          </w:p>
        </w:tc>
        <w:tc>
          <w:tcPr>
            <w:tcW w:w="3695" w:type="dxa"/>
            <w:vAlign w:val="center"/>
          </w:tcPr>
          <w:p w14:paraId="54818FAA" w14:textId="77777777" w:rsidR="00522189" w:rsidRPr="00522189" w:rsidRDefault="00522189" w:rsidP="00D877B6">
            <w:pPr>
              <w:pStyle w:val="Default"/>
              <w:spacing w:line="276" w:lineRule="auto"/>
              <w:jc w:val="center"/>
              <w:rPr>
                <w:sz w:val="20"/>
                <w:szCs w:val="20"/>
              </w:rPr>
            </w:pPr>
            <w:r w:rsidRPr="00522189">
              <w:rPr>
                <w:sz w:val="20"/>
                <w:szCs w:val="20"/>
              </w:rPr>
              <w:t>4.7 x 10</w:t>
            </w:r>
            <w:r w:rsidRPr="00522189">
              <w:rPr>
                <w:sz w:val="20"/>
                <w:szCs w:val="20"/>
                <w:vertAlign w:val="superscript"/>
              </w:rPr>
              <w:t>-2</w:t>
            </w:r>
          </w:p>
        </w:tc>
        <w:tc>
          <w:tcPr>
            <w:tcW w:w="2785" w:type="dxa"/>
            <w:vAlign w:val="center"/>
          </w:tcPr>
          <w:p w14:paraId="09715A4E" w14:textId="77777777" w:rsidR="00522189" w:rsidRPr="00522189" w:rsidRDefault="00522189" w:rsidP="00D877B6">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011F690C" w14:textId="77777777" w:rsidTr="00D877B6">
        <w:trPr>
          <w:trHeight w:val="303"/>
          <w:jc w:val="center"/>
        </w:trPr>
        <w:tc>
          <w:tcPr>
            <w:tcW w:w="3256" w:type="dxa"/>
            <w:vAlign w:val="center"/>
          </w:tcPr>
          <w:p w14:paraId="5461B93F"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Naphthoquinone</w:t>
            </w:r>
            <w:proofErr w:type="spellEnd"/>
          </w:p>
        </w:tc>
        <w:tc>
          <w:tcPr>
            <w:tcW w:w="3695" w:type="dxa"/>
            <w:vAlign w:val="center"/>
          </w:tcPr>
          <w:p w14:paraId="440C89E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013C2A8"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133F299" w14:textId="77777777" w:rsidTr="00D877B6">
        <w:trPr>
          <w:trHeight w:val="285"/>
          <w:jc w:val="center"/>
        </w:trPr>
        <w:tc>
          <w:tcPr>
            <w:tcW w:w="3256" w:type="dxa"/>
            <w:vAlign w:val="center"/>
          </w:tcPr>
          <w:p w14:paraId="2D0DA5D0"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Acenaphthylene</w:t>
            </w:r>
            <w:proofErr w:type="spellEnd"/>
          </w:p>
        </w:tc>
        <w:tc>
          <w:tcPr>
            <w:tcW w:w="3695" w:type="dxa"/>
            <w:vAlign w:val="center"/>
          </w:tcPr>
          <w:p w14:paraId="7F9ED5B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0B7A62F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2F5CEEA8" w14:textId="77777777" w:rsidTr="00D877B6">
        <w:trPr>
          <w:trHeight w:val="303"/>
          <w:jc w:val="center"/>
        </w:trPr>
        <w:tc>
          <w:tcPr>
            <w:tcW w:w="3256" w:type="dxa"/>
            <w:vAlign w:val="center"/>
          </w:tcPr>
          <w:p w14:paraId="70EED95B"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Acenaphthene</w:t>
            </w:r>
            <w:proofErr w:type="spellEnd"/>
          </w:p>
        </w:tc>
        <w:tc>
          <w:tcPr>
            <w:tcW w:w="3695" w:type="dxa"/>
            <w:vAlign w:val="center"/>
          </w:tcPr>
          <w:p w14:paraId="161568FA" w14:textId="77777777" w:rsidR="00522189" w:rsidRPr="00522189" w:rsidRDefault="00522189" w:rsidP="00D877B6">
            <w:pPr>
              <w:pStyle w:val="Default"/>
              <w:spacing w:line="276" w:lineRule="auto"/>
              <w:jc w:val="center"/>
              <w:rPr>
                <w:sz w:val="20"/>
                <w:szCs w:val="20"/>
              </w:rPr>
            </w:pPr>
            <w:r w:rsidRPr="00522189">
              <w:rPr>
                <w:sz w:val="20"/>
                <w:szCs w:val="20"/>
              </w:rPr>
              <w:t>6.33 x 10</w:t>
            </w:r>
            <w:r w:rsidRPr="00522189">
              <w:rPr>
                <w:sz w:val="20"/>
                <w:szCs w:val="20"/>
                <w:vertAlign w:val="superscript"/>
              </w:rPr>
              <w:t>-3</w:t>
            </w:r>
            <w:r w:rsidRPr="00522189">
              <w:rPr>
                <w:sz w:val="20"/>
                <w:szCs w:val="20"/>
              </w:rPr>
              <w:t xml:space="preserve"> ± 4.81 x 10</w:t>
            </w:r>
            <w:r w:rsidRPr="00522189">
              <w:rPr>
                <w:sz w:val="20"/>
                <w:szCs w:val="20"/>
                <w:vertAlign w:val="superscript"/>
              </w:rPr>
              <w:t>-3</w:t>
            </w:r>
          </w:p>
        </w:tc>
        <w:tc>
          <w:tcPr>
            <w:tcW w:w="2785" w:type="dxa"/>
            <w:vAlign w:val="center"/>
          </w:tcPr>
          <w:p w14:paraId="4E690E78" w14:textId="77777777" w:rsidR="00522189" w:rsidRPr="00522189" w:rsidRDefault="00522189" w:rsidP="00D877B6">
            <w:pPr>
              <w:pStyle w:val="Default"/>
              <w:spacing w:line="276" w:lineRule="auto"/>
              <w:jc w:val="center"/>
              <w:rPr>
                <w:sz w:val="20"/>
                <w:szCs w:val="20"/>
              </w:rPr>
            </w:pPr>
            <w:proofErr w:type="spellStart"/>
            <w:r w:rsidRPr="00522189">
              <w:rPr>
                <w:sz w:val="20"/>
                <w:szCs w:val="20"/>
                <w:lang w:val="en-US"/>
              </w:rPr>
              <w:t>Sartorelli</w:t>
            </w:r>
            <w:proofErr w:type="spellEnd"/>
            <w:r w:rsidRPr="00522189">
              <w:rPr>
                <w:sz w:val="20"/>
                <w:szCs w:val="20"/>
                <w:lang w:val="en-US"/>
              </w:rPr>
              <w:t xml:space="preserve">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584E5A42" w14:textId="77777777" w:rsidTr="00D877B6">
        <w:trPr>
          <w:trHeight w:val="285"/>
          <w:jc w:val="center"/>
        </w:trPr>
        <w:tc>
          <w:tcPr>
            <w:tcW w:w="3256" w:type="dxa"/>
            <w:vAlign w:val="center"/>
          </w:tcPr>
          <w:p w14:paraId="1B3C6D70"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Fluorene</w:t>
            </w:r>
            <w:proofErr w:type="spellEnd"/>
          </w:p>
        </w:tc>
        <w:tc>
          <w:tcPr>
            <w:tcW w:w="3695" w:type="dxa"/>
            <w:vAlign w:val="center"/>
          </w:tcPr>
          <w:p w14:paraId="783F23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6.26 x 10</w:t>
            </w:r>
            <w:r w:rsidRPr="00522189">
              <w:rPr>
                <w:sz w:val="20"/>
                <w:szCs w:val="20"/>
                <w:vertAlign w:val="superscript"/>
                <w:lang w:val="en-US"/>
              </w:rPr>
              <w:t>-3</w:t>
            </w:r>
            <w:r w:rsidRPr="00522189">
              <w:rPr>
                <w:sz w:val="20"/>
                <w:szCs w:val="20"/>
                <w:lang w:val="en-US"/>
              </w:rPr>
              <w:t xml:space="preserve"> ± 4.74 x 10</w:t>
            </w:r>
            <w:r w:rsidRPr="00522189">
              <w:rPr>
                <w:sz w:val="20"/>
                <w:szCs w:val="20"/>
                <w:vertAlign w:val="superscript"/>
                <w:lang w:val="en-US"/>
              </w:rPr>
              <w:t>-3</w:t>
            </w:r>
          </w:p>
        </w:tc>
        <w:tc>
          <w:tcPr>
            <w:tcW w:w="2785" w:type="dxa"/>
            <w:vAlign w:val="center"/>
          </w:tcPr>
          <w:p w14:paraId="293B057D"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Sartorelli</w:t>
            </w:r>
            <w:proofErr w:type="spellEnd"/>
            <w:r w:rsidRPr="00522189">
              <w:rPr>
                <w:sz w:val="20"/>
                <w:szCs w:val="20"/>
                <w:lang w:val="en-US"/>
              </w:rPr>
              <w:t xml:space="preserve">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06F2EDEA" w14:textId="77777777" w:rsidTr="00D877B6">
        <w:trPr>
          <w:trHeight w:val="285"/>
          <w:jc w:val="center"/>
        </w:trPr>
        <w:tc>
          <w:tcPr>
            <w:tcW w:w="3256" w:type="dxa"/>
            <w:vAlign w:val="center"/>
          </w:tcPr>
          <w:p w14:paraId="50E98B9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2-Nitrobiphenyl *</w:t>
            </w:r>
          </w:p>
        </w:tc>
        <w:tc>
          <w:tcPr>
            <w:tcW w:w="3695" w:type="dxa"/>
            <w:vAlign w:val="center"/>
          </w:tcPr>
          <w:p w14:paraId="2A9DE69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3.8 x 10</w:t>
            </w:r>
            <w:r w:rsidRPr="00522189">
              <w:rPr>
                <w:sz w:val="20"/>
                <w:szCs w:val="20"/>
                <w:vertAlign w:val="superscript"/>
                <w:lang w:val="en-US"/>
              </w:rPr>
              <w:t>-2</w:t>
            </w:r>
          </w:p>
        </w:tc>
        <w:tc>
          <w:tcPr>
            <w:tcW w:w="2785" w:type="dxa"/>
            <w:vAlign w:val="center"/>
          </w:tcPr>
          <w:p w14:paraId="06A51A6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2FCF7306" w14:textId="77777777" w:rsidTr="00D877B6">
        <w:trPr>
          <w:trHeight w:val="285"/>
          <w:jc w:val="center"/>
        </w:trPr>
        <w:tc>
          <w:tcPr>
            <w:tcW w:w="3256" w:type="dxa"/>
            <w:vAlign w:val="center"/>
          </w:tcPr>
          <w:p w14:paraId="309DCD3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695" w:type="dxa"/>
            <w:vAlign w:val="center"/>
          </w:tcPr>
          <w:p w14:paraId="30D6EB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1.4 x 10</w:t>
            </w:r>
            <w:r w:rsidRPr="00522189">
              <w:rPr>
                <w:sz w:val="20"/>
                <w:szCs w:val="20"/>
                <w:vertAlign w:val="superscript"/>
                <w:lang w:val="en-US"/>
              </w:rPr>
              <w:t>-1</w:t>
            </w:r>
          </w:p>
        </w:tc>
        <w:tc>
          <w:tcPr>
            <w:tcW w:w="2785" w:type="dxa"/>
            <w:vAlign w:val="center"/>
          </w:tcPr>
          <w:p w14:paraId="40203CF6"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2EB56DD" w14:textId="77777777" w:rsidTr="00D877B6">
        <w:trPr>
          <w:trHeight w:val="285"/>
          <w:jc w:val="center"/>
        </w:trPr>
        <w:tc>
          <w:tcPr>
            <w:tcW w:w="3256" w:type="dxa"/>
            <w:vAlign w:val="center"/>
          </w:tcPr>
          <w:p w14:paraId="7EB8C7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Anthracene</w:t>
            </w:r>
          </w:p>
        </w:tc>
        <w:tc>
          <w:tcPr>
            <w:tcW w:w="3695" w:type="dxa"/>
            <w:vAlign w:val="center"/>
          </w:tcPr>
          <w:p w14:paraId="11B964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3.44 x 10</w:t>
            </w:r>
            <w:r w:rsidRPr="00522189">
              <w:rPr>
                <w:sz w:val="20"/>
                <w:szCs w:val="20"/>
                <w:vertAlign w:val="superscript"/>
                <w:lang w:val="en-US"/>
              </w:rPr>
              <w:t>-3</w:t>
            </w:r>
            <w:r w:rsidRPr="00522189">
              <w:rPr>
                <w:sz w:val="20"/>
                <w:szCs w:val="20"/>
                <w:lang w:val="en-US"/>
              </w:rPr>
              <w:t xml:space="preserve"> ± 3.09 x 10</w:t>
            </w:r>
            <w:r w:rsidRPr="00522189">
              <w:rPr>
                <w:sz w:val="20"/>
                <w:szCs w:val="20"/>
                <w:vertAlign w:val="superscript"/>
                <w:lang w:val="en-US"/>
              </w:rPr>
              <w:t>-3</w:t>
            </w:r>
          </w:p>
        </w:tc>
        <w:tc>
          <w:tcPr>
            <w:tcW w:w="2785" w:type="dxa"/>
            <w:vAlign w:val="center"/>
          </w:tcPr>
          <w:p w14:paraId="104C1C6E"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Sartorelli</w:t>
            </w:r>
            <w:proofErr w:type="spellEnd"/>
            <w:r w:rsidRPr="00522189">
              <w:rPr>
                <w:sz w:val="20"/>
                <w:szCs w:val="20"/>
                <w:lang w:val="en-US"/>
              </w:rPr>
              <w:t xml:space="preserve">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15F0B3A1" w14:textId="77777777" w:rsidTr="00D877B6">
        <w:trPr>
          <w:trHeight w:val="285"/>
          <w:jc w:val="center"/>
        </w:trPr>
        <w:tc>
          <w:tcPr>
            <w:tcW w:w="3256" w:type="dxa"/>
            <w:vAlign w:val="center"/>
          </w:tcPr>
          <w:p w14:paraId="297051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5-Nitroacenaphthene</w:t>
            </w:r>
          </w:p>
        </w:tc>
        <w:tc>
          <w:tcPr>
            <w:tcW w:w="3695" w:type="dxa"/>
            <w:vAlign w:val="center"/>
          </w:tcPr>
          <w:p w14:paraId="54E9CC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856686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5030445" w14:textId="77777777" w:rsidTr="00D877B6">
        <w:trPr>
          <w:trHeight w:val="285"/>
          <w:jc w:val="center"/>
        </w:trPr>
        <w:tc>
          <w:tcPr>
            <w:tcW w:w="3256" w:type="dxa"/>
            <w:vAlign w:val="center"/>
          </w:tcPr>
          <w:p w14:paraId="4E27EA6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Fluoranthene</w:t>
            </w:r>
          </w:p>
        </w:tc>
        <w:tc>
          <w:tcPr>
            <w:tcW w:w="3695" w:type="dxa"/>
            <w:vAlign w:val="center"/>
          </w:tcPr>
          <w:p w14:paraId="6C582CC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2.2 x 10</w:t>
            </w:r>
            <w:r w:rsidRPr="00522189">
              <w:rPr>
                <w:sz w:val="20"/>
                <w:szCs w:val="20"/>
                <w:vertAlign w:val="superscript"/>
                <w:lang w:val="en-US"/>
              </w:rPr>
              <w:t>-1</w:t>
            </w:r>
          </w:p>
        </w:tc>
        <w:tc>
          <w:tcPr>
            <w:tcW w:w="2785" w:type="dxa"/>
            <w:vAlign w:val="center"/>
          </w:tcPr>
          <w:p w14:paraId="0DBA094A"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7855A33" w14:textId="77777777" w:rsidTr="00D877B6">
        <w:trPr>
          <w:trHeight w:val="285"/>
          <w:jc w:val="center"/>
        </w:trPr>
        <w:tc>
          <w:tcPr>
            <w:tcW w:w="3256" w:type="dxa"/>
            <w:vAlign w:val="center"/>
          </w:tcPr>
          <w:p w14:paraId="4FC7A1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2-Nitrofluorene</w:t>
            </w:r>
          </w:p>
        </w:tc>
        <w:tc>
          <w:tcPr>
            <w:tcW w:w="3695" w:type="dxa"/>
            <w:vAlign w:val="center"/>
          </w:tcPr>
          <w:p w14:paraId="3881504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3F20A6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F343335" w14:textId="77777777" w:rsidTr="00D877B6">
        <w:trPr>
          <w:trHeight w:val="285"/>
          <w:jc w:val="center"/>
        </w:trPr>
        <w:tc>
          <w:tcPr>
            <w:tcW w:w="3256" w:type="dxa"/>
            <w:vAlign w:val="center"/>
          </w:tcPr>
          <w:p w14:paraId="21E20F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695" w:type="dxa"/>
            <w:vAlign w:val="center"/>
          </w:tcPr>
          <w:p w14:paraId="786731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1.69 x 10</w:t>
            </w:r>
            <w:r w:rsidRPr="00522189">
              <w:rPr>
                <w:sz w:val="20"/>
                <w:szCs w:val="20"/>
                <w:vertAlign w:val="superscript"/>
                <w:lang w:val="en-US"/>
              </w:rPr>
              <w:t>-3</w:t>
            </w:r>
            <w:r w:rsidRPr="00522189">
              <w:rPr>
                <w:sz w:val="20"/>
                <w:szCs w:val="20"/>
                <w:lang w:val="en-US"/>
              </w:rPr>
              <w:t xml:space="preserve"> ± 1.36 x 10</w:t>
            </w:r>
            <w:r w:rsidRPr="00522189">
              <w:rPr>
                <w:sz w:val="20"/>
                <w:szCs w:val="20"/>
                <w:vertAlign w:val="superscript"/>
                <w:lang w:val="en-US"/>
              </w:rPr>
              <w:t>-3</w:t>
            </w:r>
          </w:p>
        </w:tc>
        <w:tc>
          <w:tcPr>
            <w:tcW w:w="2785" w:type="dxa"/>
            <w:vAlign w:val="center"/>
          </w:tcPr>
          <w:p w14:paraId="29DDDB56"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Sartorelli</w:t>
            </w:r>
            <w:proofErr w:type="spellEnd"/>
            <w:r w:rsidRPr="00522189">
              <w:rPr>
                <w:sz w:val="20"/>
                <w:szCs w:val="20"/>
                <w:lang w:val="en-US"/>
              </w:rPr>
              <w:t xml:space="preserve">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312B9056" w14:textId="77777777" w:rsidTr="00D877B6">
        <w:trPr>
          <w:trHeight w:val="285"/>
          <w:jc w:val="center"/>
        </w:trPr>
        <w:tc>
          <w:tcPr>
            <w:tcW w:w="3256" w:type="dxa"/>
            <w:vAlign w:val="center"/>
          </w:tcPr>
          <w:p w14:paraId="509D3E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9,10-Phenanthrenequinone</w:t>
            </w:r>
          </w:p>
        </w:tc>
        <w:tc>
          <w:tcPr>
            <w:tcW w:w="3695" w:type="dxa"/>
            <w:vAlign w:val="center"/>
          </w:tcPr>
          <w:p w14:paraId="3B6976A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7FA1C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3F630B3" w14:textId="77777777" w:rsidTr="00D877B6">
        <w:trPr>
          <w:trHeight w:val="285"/>
          <w:jc w:val="center"/>
        </w:trPr>
        <w:tc>
          <w:tcPr>
            <w:tcW w:w="3256" w:type="dxa"/>
            <w:vAlign w:val="center"/>
          </w:tcPr>
          <w:p w14:paraId="6F4D0B81"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Retene</w:t>
            </w:r>
            <w:proofErr w:type="spellEnd"/>
          </w:p>
        </w:tc>
        <w:tc>
          <w:tcPr>
            <w:tcW w:w="3695" w:type="dxa"/>
            <w:vAlign w:val="center"/>
          </w:tcPr>
          <w:p w14:paraId="79BF53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BE0A3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089A605" w14:textId="77777777" w:rsidTr="00D877B6">
        <w:trPr>
          <w:trHeight w:val="285"/>
          <w:jc w:val="center"/>
        </w:trPr>
        <w:tc>
          <w:tcPr>
            <w:tcW w:w="3256" w:type="dxa"/>
            <w:vAlign w:val="center"/>
          </w:tcPr>
          <w:p w14:paraId="06B70E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9-Nitrophenanthrene</w:t>
            </w:r>
          </w:p>
        </w:tc>
        <w:tc>
          <w:tcPr>
            <w:tcW w:w="3695" w:type="dxa"/>
            <w:vAlign w:val="center"/>
          </w:tcPr>
          <w:p w14:paraId="37C1BA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E1CC3A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116ABD00" w14:textId="77777777" w:rsidTr="00D877B6">
        <w:trPr>
          <w:trHeight w:val="285"/>
          <w:jc w:val="center"/>
        </w:trPr>
        <w:tc>
          <w:tcPr>
            <w:tcW w:w="3256" w:type="dxa"/>
            <w:vAlign w:val="center"/>
          </w:tcPr>
          <w:p w14:paraId="4BB2DFF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9-Nitroantracene</w:t>
            </w:r>
          </w:p>
        </w:tc>
        <w:tc>
          <w:tcPr>
            <w:tcW w:w="3695" w:type="dxa"/>
            <w:vAlign w:val="center"/>
          </w:tcPr>
          <w:p w14:paraId="2845D7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56DD0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DCB731B" w14:textId="77777777" w:rsidTr="00D877B6">
        <w:trPr>
          <w:trHeight w:val="285"/>
          <w:jc w:val="center"/>
        </w:trPr>
        <w:tc>
          <w:tcPr>
            <w:tcW w:w="3256" w:type="dxa"/>
            <w:vAlign w:val="center"/>
          </w:tcPr>
          <w:p w14:paraId="46E15FD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]fluorenone</w:t>
            </w:r>
          </w:p>
        </w:tc>
        <w:tc>
          <w:tcPr>
            <w:tcW w:w="3695" w:type="dxa"/>
            <w:vAlign w:val="center"/>
          </w:tcPr>
          <w:p w14:paraId="4F26E02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172D7B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2EB7CEF4" w14:textId="77777777" w:rsidTr="00D877B6">
        <w:trPr>
          <w:trHeight w:val="285"/>
          <w:jc w:val="center"/>
        </w:trPr>
        <w:tc>
          <w:tcPr>
            <w:tcW w:w="3256" w:type="dxa"/>
            <w:vAlign w:val="center"/>
          </w:tcPr>
          <w:p w14:paraId="110BBFE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w:t>
            </w:r>
            <w:r w:rsidRPr="00522189">
              <w:rPr>
                <w:i/>
                <w:sz w:val="20"/>
                <w:szCs w:val="20"/>
                <w:lang w:val="en-US"/>
              </w:rPr>
              <w:t>a</w:t>
            </w:r>
            <w:r w:rsidRPr="00522189">
              <w:rPr>
                <w:sz w:val="20"/>
                <w:szCs w:val="20"/>
                <w:lang w:val="en-US"/>
              </w:rPr>
              <w:t>]anthracene</w:t>
            </w:r>
          </w:p>
        </w:tc>
        <w:tc>
          <w:tcPr>
            <w:tcW w:w="3695" w:type="dxa"/>
            <w:vAlign w:val="center"/>
          </w:tcPr>
          <w:p w14:paraId="0ACDECB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18FFF71D"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DE92A43" w14:textId="77777777" w:rsidTr="00D877B6">
        <w:trPr>
          <w:trHeight w:val="285"/>
          <w:jc w:val="center"/>
        </w:trPr>
        <w:tc>
          <w:tcPr>
            <w:tcW w:w="3256" w:type="dxa"/>
            <w:vAlign w:val="center"/>
          </w:tcPr>
          <w:p w14:paraId="5C8B420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695" w:type="dxa"/>
            <w:vAlign w:val="center"/>
          </w:tcPr>
          <w:p w14:paraId="6571DD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5C50AC27"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30B9BE3" w14:textId="77777777" w:rsidTr="00D877B6">
        <w:trPr>
          <w:trHeight w:val="285"/>
          <w:jc w:val="center"/>
        </w:trPr>
        <w:tc>
          <w:tcPr>
            <w:tcW w:w="3256" w:type="dxa"/>
            <w:vAlign w:val="center"/>
          </w:tcPr>
          <w:p w14:paraId="15071AD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1-Nitropyrene</w:t>
            </w:r>
          </w:p>
        </w:tc>
        <w:tc>
          <w:tcPr>
            <w:tcW w:w="3695" w:type="dxa"/>
            <w:vAlign w:val="center"/>
          </w:tcPr>
          <w:p w14:paraId="4C9E77E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766B077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7DD12A29" w14:textId="77777777" w:rsidTr="00D877B6">
        <w:trPr>
          <w:trHeight w:val="285"/>
          <w:jc w:val="center"/>
        </w:trPr>
        <w:tc>
          <w:tcPr>
            <w:tcW w:w="3256" w:type="dxa"/>
            <w:vAlign w:val="center"/>
          </w:tcPr>
          <w:p w14:paraId="6F67F39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695" w:type="dxa"/>
            <w:vAlign w:val="center"/>
          </w:tcPr>
          <w:p w14:paraId="01F97E9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5B7A4C62"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2DD8573" w14:textId="77777777" w:rsidTr="00D877B6">
        <w:trPr>
          <w:trHeight w:val="285"/>
          <w:jc w:val="center"/>
        </w:trPr>
        <w:tc>
          <w:tcPr>
            <w:tcW w:w="3256" w:type="dxa"/>
            <w:vAlign w:val="center"/>
          </w:tcPr>
          <w:p w14:paraId="5C4B60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695" w:type="dxa"/>
            <w:vAlign w:val="center"/>
          </w:tcPr>
          <w:p w14:paraId="52C4E7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66DEF8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C1C9526" w14:textId="77777777" w:rsidTr="00D877B6">
        <w:trPr>
          <w:trHeight w:val="285"/>
          <w:jc w:val="center"/>
        </w:trPr>
        <w:tc>
          <w:tcPr>
            <w:tcW w:w="3256" w:type="dxa"/>
            <w:vAlign w:val="center"/>
          </w:tcPr>
          <w:p w14:paraId="575558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e</w:t>
            </w:r>
            <w:r w:rsidRPr="00522189">
              <w:rPr>
                <w:sz w:val="20"/>
                <w:szCs w:val="20"/>
                <w:lang w:val="en-US"/>
              </w:rPr>
              <w:t>]pyrene</w:t>
            </w:r>
          </w:p>
        </w:tc>
        <w:tc>
          <w:tcPr>
            <w:tcW w:w="3695" w:type="dxa"/>
            <w:vAlign w:val="center"/>
          </w:tcPr>
          <w:p w14:paraId="001E06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E41C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7E7C94B" w14:textId="77777777" w:rsidTr="00D877B6">
        <w:trPr>
          <w:trHeight w:val="285"/>
          <w:jc w:val="center"/>
        </w:trPr>
        <w:tc>
          <w:tcPr>
            <w:tcW w:w="3256" w:type="dxa"/>
            <w:vAlign w:val="center"/>
          </w:tcPr>
          <w:p w14:paraId="2F92A92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695" w:type="dxa"/>
            <w:vAlign w:val="center"/>
          </w:tcPr>
          <w:p w14:paraId="286EED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42A17A90"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7BDE828D" w14:textId="77777777" w:rsidTr="00D877B6">
        <w:trPr>
          <w:trHeight w:val="285"/>
          <w:jc w:val="center"/>
        </w:trPr>
        <w:tc>
          <w:tcPr>
            <w:tcW w:w="3256" w:type="dxa"/>
            <w:vAlign w:val="center"/>
          </w:tcPr>
          <w:p w14:paraId="22221A1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6H-Benzo[cd]pyren-6-one</w:t>
            </w:r>
          </w:p>
        </w:tc>
        <w:tc>
          <w:tcPr>
            <w:tcW w:w="3695" w:type="dxa"/>
            <w:vAlign w:val="center"/>
          </w:tcPr>
          <w:p w14:paraId="114EAD2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255AD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3C00849" w14:textId="77777777" w:rsidTr="00D877B6">
        <w:trPr>
          <w:trHeight w:val="285"/>
          <w:jc w:val="center"/>
        </w:trPr>
        <w:tc>
          <w:tcPr>
            <w:tcW w:w="3256" w:type="dxa"/>
            <w:vAlign w:val="center"/>
          </w:tcPr>
          <w:p w14:paraId="22435FB3"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Indeno</w:t>
            </w:r>
            <w:proofErr w:type="spellEnd"/>
            <w:r w:rsidRPr="00522189">
              <w:rPr>
                <w:sz w:val="20"/>
                <w:szCs w:val="20"/>
                <w:lang w:val="en-US"/>
              </w:rPr>
              <w:t>[1,2,3-</w:t>
            </w:r>
            <w:proofErr w:type="gramStart"/>
            <w:r w:rsidRPr="00522189">
              <w:rPr>
                <w:i/>
                <w:sz w:val="20"/>
                <w:szCs w:val="20"/>
                <w:lang w:val="en-US"/>
              </w:rPr>
              <w:t>cd</w:t>
            </w:r>
            <w:r w:rsidRPr="00522189">
              <w:rPr>
                <w:sz w:val="20"/>
                <w:szCs w:val="20"/>
                <w:lang w:val="en-US"/>
              </w:rPr>
              <w:t>]pyrene</w:t>
            </w:r>
            <w:proofErr w:type="gramEnd"/>
          </w:p>
        </w:tc>
        <w:tc>
          <w:tcPr>
            <w:tcW w:w="3695" w:type="dxa"/>
            <w:vAlign w:val="center"/>
          </w:tcPr>
          <w:p w14:paraId="0DBB0EE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1.0</w:t>
            </w:r>
          </w:p>
        </w:tc>
        <w:tc>
          <w:tcPr>
            <w:tcW w:w="2785" w:type="dxa"/>
            <w:vAlign w:val="center"/>
          </w:tcPr>
          <w:p w14:paraId="5C37623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4AAD11D" w14:textId="77777777" w:rsidTr="00D877B6">
        <w:trPr>
          <w:trHeight w:val="285"/>
          <w:jc w:val="center"/>
        </w:trPr>
        <w:tc>
          <w:tcPr>
            <w:tcW w:w="3256" w:type="dxa"/>
            <w:vAlign w:val="center"/>
          </w:tcPr>
          <w:p w14:paraId="090AC1B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6-Nitrobenzo[a]pyrene</w:t>
            </w:r>
          </w:p>
        </w:tc>
        <w:tc>
          <w:tcPr>
            <w:tcW w:w="3695" w:type="dxa"/>
            <w:vAlign w:val="center"/>
          </w:tcPr>
          <w:p w14:paraId="7CB68A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01EF4E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61B575D" w14:textId="77777777" w:rsidTr="00D877B6">
        <w:trPr>
          <w:trHeight w:val="285"/>
          <w:jc w:val="center"/>
        </w:trPr>
        <w:tc>
          <w:tcPr>
            <w:tcW w:w="3256" w:type="dxa"/>
            <w:vAlign w:val="center"/>
          </w:tcPr>
          <w:p w14:paraId="38252632"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Dibenz</w:t>
            </w:r>
            <w:proofErr w:type="spellEnd"/>
            <w:r w:rsidRPr="00522189">
              <w:rPr>
                <w:sz w:val="20"/>
                <w:szCs w:val="20"/>
                <w:lang w:val="en-US"/>
              </w:rPr>
              <w:t>[</w:t>
            </w:r>
            <w:proofErr w:type="spellStart"/>
            <w:proofErr w:type="gramStart"/>
            <w:r w:rsidRPr="00522189">
              <w:rPr>
                <w:i/>
                <w:sz w:val="20"/>
                <w:szCs w:val="20"/>
                <w:lang w:val="en-US"/>
              </w:rPr>
              <w:t>a</w:t>
            </w:r>
            <w:r w:rsidRPr="00522189">
              <w:rPr>
                <w:sz w:val="20"/>
                <w:szCs w:val="20"/>
                <w:lang w:val="en-US"/>
              </w:rPr>
              <w:t>,</w:t>
            </w:r>
            <w:r w:rsidRPr="00522189">
              <w:rPr>
                <w:i/>
                <w:sz w:val="20"/>
                <w:szCs w:val="20"/>
                <w:lang w:val="en-US"/>
              </w:rPr>
              <w:t>h</w:t>
            </w:r>
            <w:proofErr w:type="spellEnd"/>
            <w:proofErr w:type="gramEnd"/>
            <w:r w:rsidRPr="00522189">
              <w:rPr>
                <w:sz w:val="20"/>
                <w:szCs w:val="20"/>
                <w:lang w:val="en-US"/>
              </w:rPr>
              <w:t>]anthracene</w:t>
            </w:r>
          </w:p>
        </w:tc>
        <w:tc>
          <w:tcPr>
            <w:tcW w:w="3695" w:type="dxa"/>
            <w:vAlign w:val="center"/>
          </w:tcPr>
          <w:p w14:paraId="043722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1.5</w:t>
            </w:r>
          </w:p>
        </w:tc>
        <w:tc>
          <w:tcPr>
            <w:tcW w:w="2785" w:type="dxa"/>
            <w:vAlign w:val="center"/>
          </w:tcPr>
          <w:p w14:paraId="523E2B98"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421F47C7" w14:textId="77777777" w:rsidTr="00D877B6">
        <w:trPr>
          <w:trHeight w:val="285"/>
          <w:jc w:val="center"/>
        </w:trPr>
        <w:tc>
          <w:tcPr>
            <w:tcW w:w="3256" w:type="dxa"/>
            <w:vAlign w:val="center"/>
          </w:tcPr>
          <w:p w14:paraId="51F348E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proofErr w:type="spellStart"/>
            <w:r w:rsidRPr="00522189">
              <w:rPr>
                <w:i/>
                <w:sz w:val="20"/>
                <w:szCs w:val="20"/>
                <w:lang w:val="en-US"/>
              </w:rPr>
              <w:t>ghi</w:t>
            </w:r>
            <w:proofErr w:type="spellEnd"/>
            <w:r w:rsidRPr="00522189">
              <w:rPr>
                <w:sz w:val="20"/>
                <w:szCs w:val="20"/>
                <w:lang w:val="en-US"/>
              </w:rPr>
              <w:t>]perylene</w:t>
            </w:r>
          </w:p>
        </w:tc>
        <w:tc>
          <w:tcPr>
            <w:tcW w:w="3695" w:type="dxa"/>
            <w:vAlign w:val="center"/>
          </w:tcPr>
          <w:p w14:paraId="7D408FA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0D3A2F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bl>
    <w:p w14:paraId="67EACF0F" w14:textId="77777777" w:rsidR="00522189" w:rsidRDefault="00522189" w:rsidP="002759F9">
      <w:pPr>
        <w:spacing w:before="240" w:after="120" w:line="480" w:lineRule="auto"/>
        <w:jc w:val="center"/>
        <w:rPr>
          <w:b/>
          <w:bCs/>
          <w:sz w:val="28"/>
          <w:lang w:val="en-US"/>
        </w:rPr>
        <w:sectPr w:rsidR="00522189" w:rsidSect="00522189">
          <w:type w:val="continuous"/>
          <w:pgSz w:w="11906" w:h="16838"/>
          <w:pgMar w:top="720" w:right="720" w:bottom="720" w:left="720" w:header="709" w:footer="709" w:gutter="0"/>
          <w:cols w:space="708"/>
          <w:docGrid w:linePitch="360"/>
        </w:sectPr>
      </w:pPr>
    </w:p>
    <w:p w14:paraId="51745ACB" w14:textId="196E059E" w:rsidR="002759F9" w:rsidRDefault="002759F9" w:rsidP="002759F9">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9</w:t>
      </w:r>
      <w:r>
        <w:rPr>
          <w:sz w:val="28"/>
          <w:lang w:val="en-US"/>
        </w:rPr>
        <w:t xml:space="preserve"> – Some</w:t>
      </w:r>
      <w:r w:rsidR="0040297C">
        <w:rPr>
          <w:sz w:val="28"/>
          <w:lang w:val="en-US"/>
        </w:rPr>
        <w:t xml:space="preserve"> </w:t>
      </w:r>
      <w:r w:rsidR="0040297C" w:rsidRPr="0040297C">
        <w:rPr>
          <w:i/>
          <w:iCs/>
          <w:sz w:val="28"/>
          <w:lang w:val="en-US"/>
        </w:rPr>
        <w:t>BTF</w:t>
      </w:r>
      <w:r>
        <w:rPr>
          <w:sz w:val="28"/>
          <w:lang w:val="en-US"/>
        </w:rPr>
        <w:t xml:space="preserve"> </w:t>
      </w:r>
      <w:r w:rsidR="0040297C">
        <w:rPr>
          <w:sz w:val="28"/>
          <w:lang w:val="en-US"/>
        </w:rPr>
        <w:t>values</w:t>
      </w:r>
      <w:r w:rsidRPr="0017539F">
        <w:rPr>
          <w:sz w:val="28"/>
          <w:lang w:val="en-US"/>
        </w:rPr>
        <w:t xml:space="preserve"> used in </w:t>
      </w:r>
      <w:r>
        <w:rPr>
          <w:sz w:val="28"/>
          <w:lang w:val="en-US"/>
        </w:rPr>
        <w:t xml:space="preserve">the </w:t>
      </w:r>
      <w:r w:rsidR="0040297C">
        <w:rPr>
          <w:sz w:val="28"/>
          <w:lang w:val="en-US"/>
        </w:rPr>
        <w:t xml:space="preserve">transport </w:t>
      </w:r>
      <w:r w:rsidR="0040297C">
        <w:rPr>
          <w:rStyle w:val="tlid-translation"/>
          <w:color w:val="000000" w:themeColor="text1"/>
          <w:sz w:val="28"/>
          <w:lang w:val="en-US"/>
        </w:rPr>
        <w:t>m</w:t>
      </w:r>
      <w:r w:rsidR="0040297C" w:rsidRPr="0040297C">
        <w:rPr>
          <w:rStyle w:val="tlid-translation"/>
          <w:color w:val="000000" w:themeColor="text1"/>
          <w:sz w:val="28"/>
          <w:lang w:val="en-US"/>
        </w:rPr>
        <w:t>odeling</w:t>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4A24AB" w:rsidRPr="00FF23ED" w14:paraId="57A8DC9A" w14:textId="77777777" w:rsidTr="002759F9">
        <w:trPr>
          <w:trHeight w:val="328"/>
          <w:jc w:val="center"/>
        </w:trPr>
        <w:tc>
          <w:tcPr>
            <w:tcW w:w="4150" w:type="dxa"/>
            <w:tcBorders>
              <w:top w:val="double" w:sz="4" w:space="0" w:color="auto"/>
              <w:bottom w:val="double" w:sz="4" w:space="0" w:color="auto"/>
            </w:tcBorders>
          </w:tcPr>
          <w:p w14:paraId="687053FB" w14:textId="2BFD5614" w:rsidR="00AD6490" w:rsidRPr="00FF23ED" w:rsidRDefault="0048363F" w:rsidP="00AD6490">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3852B52D" w14:textId="77777777" w:rsidR="00AD6490" w:rsidRPr="00FF23ED" w:rsidRDefault="002209AE" w:rsidP="00AD6490">
            <w:pPr>
              <w:jc w:val="center"/>
              <w:rPr>
                <w:b/>
                <w:sz w:val="20"/>
                <w:szCs w:val="20"/>
                <w:lang w:val="en-US"/>
              </w:rPr>
            </w:pPr>
            <w:r w:rsidRPr="00FF23ED">
              <w:rPr>
                <w:b/>
                <w:sz w:val="20"/>
                <w:szCs w:val="20"/>
                <w:lang w:val="en-US"/>
              </w:rPr>
              <w:t>Al</w:t>
            </w:r>
          </w:p>
        </w:tc>
        <w:tc>
          <w:tcPr>
            <w:tcW w:w="967" w:type="dxa"/>
            <w:tcBorders>
              <w:top w:val="double" w:sz="4" w:space="0" w:color="auto"/>
              <w:bottom w:val="double" w:sz="4" w:space="0" w:color="auto"/>
            </w:tcBorders>
          </w:tcPr>
          <w:p w14:paraId="57FD55E4" w14:textId="77777777" w:rsidR="00AD6490" w:rsidRPr="00FF23ED" w:rsidRDefault="002209AE" w:rsidP="00AD6490">
            <w:pPr>
              <w:jc w:val="center"/>
              <w:rPr>
                <w:b/>
                <w:sz w:val="20"/>
                <w:szCs w:val="20"/>
                <w:lang w:val="en-US"/>
              </w:rPr>
            </w:pPr>
            <w:r w:rsidRPr="00FF23ED">
              <w:rPr>
                <w:b/>
                <w:sz w:val="20"/>
                <w:szCs w:val="20"/>
                <w:lang w:val="en-US"/>
              </w:rPr>
              <w:t>Cd</w:t>
            </w:r>
          </w:p>
        </w:tc>
        <w:tc>
          <w:tcPr>
            <w:tcW w:w="967" w:type="dxa"/>
            <w:tcBorders>
              <w:top w:val="double" w:sz="4" w:space="0" w:color="auto"/>
              <w:bottom w:val="double" w:sz="4" w:space="0" w:color="auto"/>
            </w:tcBorders>
          </w:tcPr>
          <w:p w14:paraId="2CD4DDCD" w14:textId="77777777" w:rsidR="00AD6490" w:rsidRPr="00FF23ED" w:rsidRDefault="002209AE" w:rsidP="00AD6490">
            <w:pPr>
              <w:jc w:val="center"/>
              <w:rPr>
                <w:b/>
                <w:sz w:val="20"/>
                <w:szCs w:val="20"/>
                <w:lang w:val="en-US"/>
              </w:rPr>
            </w:pPr>
            <w:r w:rsidRPr="00FF23ED">
              <w:rPr>
                <w:b/>
                <w:sz w:val="20"/>
                <w:szCs w:val="20"/>
                <w:lang w:val="en-US"/>
              </w:rPr>
              <w:t>Pb</w:t>
            </w:r>
          </w:p>
        </w:tc>
        <w:tc>
          <w:tcPr>
            <w:tcW w:w="968" w:type="dxa"/>
            <w:tcBorders>
              <w:top w:val="double" w:sz="4" w:space="0" w:color="auto"/>
              <w:bottom w:val="double" w:sz="4" w:space="0" w:color="auto"/>
            </w:tcBorders>
          </w:tcPr>
          <w:p w14:paraId="7D4DD05E" w14:textId="77777777" w:rsidR="00AD6490" w:rsidRPr="00FF23ED" w:rsidRDefault="002209AE" w:rsidP="00AD6490">
            <w:pPr>
              <w:jc w:val="center"/>
              <w:rPr>
                <w:b/>
                <w:sz w:val="20"/>
                <w:szCs w:val="20"/>
                <w:lang w:val="en-US"/>
              </w:rPr>
            </w:pPr>
            <w:r w:rsidRPr="00FF23ED">
              <w:rPr>
                <w:b/>
                <w:sz w:val="20"/>
                <w:szCs w:val="20"/>
                <w:lang w:val="en-US"/>
              </w:rPr>
              <w:t>Co</w:t>
            </w:r>
          </w:p>
        </w:tc>
        <w:tc>
          <w:tcPr>
            <w:tcW w:w="967" w:type="dxa"/>
            <w:tcBorders>
              <w:top w:val="double" w:sz="4" w:space="0" w:color="auto"/>
              <w:bottom w:val="double" w:sz="4" w:space="0" w:color="auto"/>
            </w:tcBorders>
          </w:tcPr>
          <w:p w14:paraId="2D3FB09E" w14:textId="77777777" w:rsidR="00AD6490" w:rsidRPr="00FF23ED" w:rsidRDefault="002209AE" w:rsidP="00AD6490">
            <w:pPr>
              <w:jc w:val="center"/>
              <w:rPr>
                <w:b/>
                <w:sz w:val="20"/>
                <w:szCs w:val="20"/>
                <w:lang w:val="en-US"/>
              </w:rPr>
            </w:pPr>
            <w:r w:rsidRPr="00FF23ED">
              <w:rPr>
                <w:b/>
                <w:sz w:val="20"/>
                <w:szCs w:val="20"/>
                <w:lang w:val="en-US"/>
              </w:rPr>
              <w:t>Fe</w:t>
            </w:r>
          </w:p>
        </w:tc>
        <w:tc>
          <w:tcPr>
            <w:tcW w:w="967" w:type="dxa"/>
            <w:tcBorders>
              <w:top w:val="double" w:sz="4" w:space="0" w:color="auto"/>
              <w:bottom w:val="double" w:sz="4" w:space="0" w:color="auto"/>
            </w:tcBorders>
          </w:tcPr>
          <w:p w14:paraId="7F676AA5" w14:textId="77777777" w:rsidR="00AD6490" w:rsidRPr="00FF23ED" w:rsidRDefault="002209AE" w:rsidP="00AD6490">
            <w:pPr>
              <w:jc w:val="center"/>
              <w:rPr>
                <w:b/>
                <w:sz w:val="20"/>
                <w:szCs w:val="20"/>
                <w:lang w:val="en-US"/>
              </w:rPr>
            </w:pPr>
            <w:r w:rsidRPr="00FF23ED">
              <w:rPr>
                <w:b/>
                <w:sz w:val="20"/>
                <w:szCs w:val="20"/>
                <w:lang w:val="en-US"/>
              </w:rPr>
              <w:t>Mn</w:t>
            </w:r>
          </w:p>
        </w:tc>
        <w:tc>
          <w:tcPr>
            <w:tcW w:w="967" w:type="dxa"/>
            <w:tcBorders>
              <w:top w:val="double" w:sz="4" w:space="0" w:color="auto"/>
              <w:bottom w:val="double" w:sz="4" w:space="0" w:color="auto"/>
            </w:tcBorders>
          </w:tcPr>
          <w:p w14:paraId="3D73468F" w14:textId="77777777" w:rsidR="00AD6490" w:rsidRPr="00FF23ED" w:rsidRDefault="002209AE" w:rsidP="00AD6490">
            <w:pPr>
              <w:jc w:val="center"/>
              <w:rPr>
                <w:b/>
                <w:sz w:val="20"/>
                <w:szCs w:val="20"/>
                <w:lang w:val="en-US"/>
              </w:rPr>
            </w:pPr>
            <w:r w:rsidRPr="00FF23ED">
              <w:rPr>
                <w:b/>
                <w:sz w:val="20"/>
                <w:szCs w:val="20"/>
                <w:lang w:val="en-US"/>
              </w:rPr>
              <w:t>Se</w:t>
            </w:r>
          </w:p>
        </w:tc>
        <w:tc>
          <w:tcPr>
            <w:tcW w:w="968" w:type="dxa"/>
            <w:tcBorders>
              <w:top w:val="double" w:sz="4" w:space="0" w:color="auto"/>
              <w:bottom w:val="double" w:sz="4" w:space="0" w:color="auto"/>
            </w:tcBorders>
          </w:tcPr>
          <w:p w14:paraId="0A66B74A" w14:textId="77777777" w:rsidR="00AD6490" w:rsidRPr="00FF23ED" w:rsidRDefault="002209AE" w:rsidP="00AD6490">
            <w:pPr>
              <w:jc w:val="center"/>
              <w:rPr>
                <w:b/>
                <w:sz w:val="20"/>
                <w:szCs w:val="20"/>
                <w:lang w:val="en-US"/>
              </w:rPr>
            </w:pPr>
            <w:r w:rsidRPr="00FF23ED">
              <w:rPr>
                <w:b/>
                <w:sz w:val="20"/>
                <w:szCs w:val="20"/>
                <w:lang w:val="en-US"/>
              </w:rPr>
              <w:t>Zn</w:t>
            </w:r>
          </w:p>
        </w:tc>
        <w:tc>
          <w:tcPr>
            <w:tcW w:w="967" w:type="dxa"/>
            <w:tcBorders>
              <w:top w:val="double" w:sz="4" w:space="0" w:color="auto"/>
              <w:bottom w:val="double" w:sz="4" w:space="0" w:color="auto"/>
            </w:tcBorders>
          </w:tcPr>
          <w:p w14:paraId="21925578" w14:textId="77777777" w:rsidR="00AD6490" w:rsidRPr="00FF23ED" w:rsidRDefault="005034C0" w:rsidP="00AD6490">
            <w:pPr>
              <w:jc w:val="center"/>
              <w:rPr>
                <w:b/>
                <w:sz w:val="20"/>
                <w:szCs w:val="20"/>
                <w:lang w:val="en-US"/>
              </w:rPr>
            </w:pPr>
            <w:r w:rsidRPr="00FF23ED">
              <w:rPr>
                <w:b/>
                <w:sz w:val="20"/>
                <w:szCs w:val="20"/>
                <w:lang w:val="en-US"/>
              </w:rPr>
              <w:t>Cu</w:t>
            </w:r>
          </w:p>
        </w:tc>
        <w:tc>
          <w:tcPr>
            <w:tcW w:w="966" w:type="dxa"/>
            <w:tcBorders>
              <w:top w:val="double" w:sz="4" w:space="0" w:color="auto"/>
              <w:bottom w:val="double" w:sz="4" w:space="0" w:color="auto"/>
            </w:tcBorders>
          </w:tcPr>
          <w:p w14:paraId="05E5B04B" w14:textId="77777777" w:rsidR="00AD6490" w:rsidRPr="00FF23ED" w:rsidRDefault="005034C0" w:rsidP="00AD6490">
            <w:pPr>
              <w:jc w:val="center"/>
              <w:rPr>
                <w:b/>
                <w:sz w:val="20"/>
                <w:szCs w:val="20"/>
                <w:lang w:val="en-US"/>
              </w:rPr>
            </w:pPr>
            <w:r w:rsidRPr="00FF23ED">
              <w:rPr>
                <w:b/>
                <w:sz w:val="20"/>
                <w:szCs w:val="20"/>
                <w:lang w:val="en-US"/>
              </w:rPr>
              <w:t>Ni</w:t>
            </w:r>
          </w:p>
        </w:tc>
      </w:tr>
      <w:tr w:rsidR="004A24AB" w:rsidRPr="00FF23ED" w14:paraId="7D3C3B66" w14:textId="77777777" w:rsidTr="002759F9">
        <w:trPr>
          <w:trHeight w:val="851"/>
          <w:jc w:val="center"/>
        </w:trPr>
        <w:tc>
          <w:tcPr>
            <w:tcW w:w="4150" w:type="dxa"/>
            <w:tcBorders>
              <w:top w:val="double" w:sz="4" w:space="0" w:color="auto"/>
              <w:bottom w:val="single" w:sz="4" w:space="0" w:color="auto"/>
            </w:tcBorders>
            <w:vAlign w:val="center"/>
          </w:tcPr>
          <w:p w14:paraId="0423D1FF" w14:textId="23F4A3B4" w:rsidR="008C7772" w:rsidRPr="004D6C60" w:rsidRDefault="00127214" w:rsidP="008C7772">
            <w:pPr>
              <w:spacing w:line="276" w:lineRule="auto"/>
              <w:jc w:val="center"/>
              <w:rPr>
                <w:bCs/>
                <w:sz w:val="20"/>
                <w:szCs w:val="20"/>
                <w:lang w:val="en-US"/>
              </w:rPr>
            </w:pPr>
            <w:r w:rsidRPr="00FF23ED">
              <w:rPr>
                <w:b/>
                <w:sz w:val="20"/>
                <w:szCs w:val="20"/>
                <w:lang w:val="en-US"/>
              </w:rPr>
              <w:t>Ingestion to b</w:t>
            </w:r>
            <w:r w:rsidR="008C7772" w:rsidRPr="00FF23ED">
              <w:rPr>
                <w:b/>
                <w:sz w:val="20"/>
                <w:szCs w:val="20"/>
                <w:lang w:val="en-US"/>
              </w:rPr>
              <w:t>ovine meat</w:t>
            </w:r>
            <w:r w:rsidR="007C1044" w:rsidRPr="00FF23ED">
              <w:rPr>
                <w:bCs/>
                <w:sz w:val="20"/>
                <w:szCs w:val="20"/>
                <w:vertAlign w:val="superscript"/>
                <w:lang w:val="en-US"/>
              </w:rPr>
              <w:t xml:space="preserve"> a</w:t>
            </w:r>
            <w:r w:rsid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6D3BD324" w14:textId="77777777" w:rsidR="008C7772" w:rsidRPr="000551F9" w:rsidRDefault="008C7772" w:rsidP="008C7772">
            <w:pPr>
              <w:spacing w:line="276" w:lineRule="auto"/>
              <w:jc w:val="center"/>
              <w:rPr>
                <w:b/>
                <w:sz w:val="20"/>
                <w:szCs w:val="20"/>
              </w:rPr>
            </w:pPr>
            <w:r w:rsidRPr="00FF23ED">
              <w:rPr>
                <w:i/>
                <w:iCs/>
                <w:sz w:val="20"/>
                <w:szCs w:val="52"/>
                <w:lang w:val="en-US"/>
              </w:rPr>
              <w:t>Ref</w:t>
            </w:r>
            <w:r w:rsidR="004A24AB" w:rsidRPr="00FF23ED">
              <w:rPr>
                <w:i/>
                <w:iCs/>
                <w:sz w:val="20"/>
                <w:szCs w:val="52"/>
                <w:lang w:val="en-US"/>
              </w:rPr>
              <w:t>erence</w:t>
            </w:r>
            <w:r w:rsidRPr="00FF23ED">
              <w:rPr>
                <w:i/>
                <w:iCs/>
                <w:sz w:val="20"/>
                <w:szCs w:val="52"/>
                <w:lang w:val="en-US"/>
              </w:rPr>
              <w:t xml:space="preserve">: </w:t>
            </w:r>
            <w:r w:rsidRPr="00FF23ED">
              <w:rPr>
                <w:bCs/>
                <w:sz w:val="20"/>
                <w:szCs w:val="20"/>
                <w:lang w:val="en-US"/>
              </w:rPr>
              <w:t xml:space="preserve">Baes III et al. </w:t>
            </w:r>
            <w:r w:rsidRPr="00FF23ED">
              <w:rPr>
                <w:bCs/>
                <w:sz w:val="20"/>
                <w:szCs w:val="20"/>
                <w:lang w:val="en-US"/>
              </w:rPr>
              <w:fldChar w:fldCharType="begin" w:fldLock="1"/>
            </w:r>
            <w:r w:rsidR="009C43D3"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009C43D3"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009C43D3"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2B1FEC10" w14:textId="77777777" w:rsidR="008C7772" w:rsidRPr="000551F9" w:rsidRDefault="008C7772" w:rsidP="008C7772">
            <w:pPr>
              <w:spacing w:line="276" w:lineRule="auto"/>
              <w:jc w:val="center"/>
              <w:rPr>
                <w:bCs/>
                <w:sz w:val="20"/>
                <w:szCs w:val="20"/>
              </w:rPr>
            </w:pPr>
            <w:r w:rsidRPr="000551F9">
              <w:rPr>
                <w:bCs/>
                <w:sz w:val="20"/>
                <w:szCs w:val="20"/>
              </w:rPr>
              <w:t>1.50E-3</w:t>
            </w:r>
          </w:p>
        </w:tc>
        <w:tc>
          <w:tcPr>
            <w:tcW w:w="967" w:type="dxa"/>
            <w:tcBorders>
              <w:top w:val="double" w:sz="4" w:space="0" w:color="auto"/>
              <w:bottom w:val="single" w:sz="4" w:space="0" w:color="auto"/>
            </w:tcBorders>
            <w:vAlign w:val="center"/>
          </w:tcPr>
          <w:p w14:paraId="02AFEF84" w14:textId="77777777" w:rsidR="008C7772" w:rsidRPr="000551F9" w:rsidRDefault="008C7772" w:rsidP="008C7772">
            <w:pPr>
              <w:spacing w:line="276" w:lineRule="auto"/>
              <w:jc w:val="center"/>
              <w:rPr>
                <w:bCs/>
                <w:sz w:val="20"/>
                <w:szCs w:val="20"/>
              </w:rPr>
            </w:pPr>
            <w:r w:rsidRPr="000551F9">
              <w:rPr>
                <w:bCs/>
                <w:sz w:val="20"/>
                <w:szCs w:val="20"/>
              </w:rPr>
              <w:t>5.50E-4</w:t>
            </w:r>
          </w:p>
        </w:tc>
        <w:tc>
          <w:tcPr>
            <w:tcW w:w="967" w:type="dxa"/>
            <w:tcBorders>
              <w:top w:val="double" w:sz="4" w:space="0" w:color="auto"/>
              <w:bottom w:val="single" w:sz="4" w:space="0" w:color="auto"/>
            </w:tcBorders>
            <w:vAlign w:val="center"/>
          </w:tcPr>
          <w:p w14:paraId="32845C4B" w14:textId="77777777" w:rsidR="008C7772" w:rsidRPr="000551F9" w:rsidRDefault="008C7772" w:rsidP="008C7772">
            <w:pPr>
              <w:spacing w:line="276" w:lineRule="auto"/>
              <w:jc w:val="center"/>
              <w:rPr>
                <w:bCs/>
                <w:sz w:val="20"/>
                <w:szCs w:val="20"/>
              </w:rPr>
            </w:pPr>
            <w:r w:rsidRPr="000551F9">
              <w:rPr>
                <w:bCs/>
                <w:sz w:val="20"/>
                <w:szCs w:val="20"/>
              </w:rPr>
              <w:t>3.00E-4</w:t>
            </w:r>
          </w:p>
        </w:tc>
        <w:tc>
          <w:tcPr>
            <w:tcW w:w="968" w:type="dxa"/>
            <w:tcBorders>
              <w:top w:val="double" w:sz="4" w:space="0" w:color="auto"/>
              <w:bottom w:val="single" w:sz="4" w:space="0" w:color="auto"/>
            </w:tcBorders>
            <w:vAlign w:val="center"/>
          </w:tcPr>
          <w:p w14:paraId="1AD56BB6"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0891F405"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624B218E" w14:textId="77777777" w:rsidR="008C7772" w:rsidRPr="000551F9" w:rsidRDefault="008C7772" w:rsidP="008C7772">
            <w:pPr>
              <w:spacing w:line="276" w:lineRule="auto"/>
              <w:jc w:val="center"/>
              <w:rPr>
                <w:bCs/>
                <w:sz w:val="20"/>
                <w:szCs w:val="20"/>
              </w:rPr>
            </w:pPr>
            <w:r w:rsidRPr="000551F9">
              <w:rPr>
                <w:bCs/>
                <w:sz w:val="20"/>
                <w:szCs w:val="20"/>
              </w:rPr>
              <w:t>4.00E-4</w:t>
            </w:r>
          </w:p>
        </w:tc>
        <w:tc>
          <w:tcPr>
            <w:tcW w:w="967" w:type="dxa"/>
            <w:tcBorders>
              <w:top w:val="double" w:sz="4" w:space="0" w:color="auto"/>
              <w:bottom w:val="single" w:sz="4" w:space="0" w:color="auto"/>
            </w:tcBorders>
            <w:vAlign w:val="center"/>
          </w:tcPr>
          <w:p w14:paraId="77533832" w14:textId="77777777" w:rsidR="008C7772" w:rsidRPr="000551F9" w:rsidRDefault="008C7772" w:rsidP="008C7772">
            <w:pPr>
              <w:spacing w:line="276" w:lineRule="auto"/>
              <w:jc w:val="center"/>
              <w:rPr>
                <w:bCs/>
                <w:sz w:val="20"/>
                <w:szCs w:val="20"/>
              </w:rPr>
            </w:pPr>
            <w:r w:rsidRPr="000551F9">
              <w:rPr>
                <w:bCs/>
                <w:sz w:val="20"/>
                <w:szCs w:val="20"/>
              </w:rPr>
              <w:t>1.50E-2</w:t>
            </w:r>
          </w:p>
        </w:tc>
        <w:tc>
          <w:tcPr>
            <w:tcW w:w="968" w:type="dxa"/>
            <w:tcBorders>
              <w:top w:val="double" w:sz="4" w:space="0" w:color="auto"/>
              <w:bottom w:val="single" w:sz="4" w:space="0" w:color="auto"/>
            </w:tcBorders>
            <w:vAlign w:val="center"/>
          </w:tcPr>
          <w:p w14:paraId="4E9FE0C8" w14:textId="77777777" w:rsidR="008C7772" w:rsidRPr="000551F9" w:rsidRDefault="008C7772" w:rsidP="008C7772">
            <w:pPr>
              <w:spacing w:line="276" w:lineRule="auto"/>
              <w:jc w:val="center"/>
              <w:rPr>
                <w:bCs/>
                <w:sz w:val="20"/>
                <w:szCs w:val="20"/>
              </w:rPr>
            </w:pPr>
            <w:r w:rsidRPr="000551F9">
              <w:rPr>
                <w:bCs/>
                <w:sz w:val="20"/>
                <w:szCs w:val="20"/>
              </w:rPr>
              <w:t>1.00E-1</w:t>
            </w:r>
          </w:p>
        </w:tc>
        <w:tc>
          <w:tcPr>
            <w:tcW w:w="967" w:type="dxa"/>
            <w:tcBorders>
              <w:top w:val="double" w:sz="4" w:space="0" w:color="auto"/>
              <w:bottom w:val="single" w:sz="4" w:space="0" w:color="auto"/>
            </w:tcBorders>
            <w:vAlign w:val="center"/>
          </w:tcPr>
          <w:p w14:paraId="667F33FE" w14:textId="77777777" w:rsidR="008C7772" w:rsidRPr="000551F9" w:rsidRDefault="008C7772" w:rsidP="008C7772">
            <w:pPr>
              <w:spacing w:line="276" w:lineRule="auto"/>
              <w:jc w:val="center"/>
              <w:rPr>
                <w:bCs/>
                <w:sz w:val="20"/>
                <w:szCs w:val="20"/>
              </w:rPr>
            </w:pPr>
            <w:r w:rsidRPr="000551F9">
              <w:rPr>
                <w:bCs/>
                <w:sz w:val="20"/>
                <w:szCs w:val="20"/>
              </w:rPr>
              <w:t>1.00E-2</w:t>
            </w:r>
          </w:p>
        </w:tc>
        <w:tc>
          <w:tcPr>
            <w:tcW w:w="966" w:type="dxa"/>
            <w:tcBorders>
              <w:top w:val="double" w:sz="4" w:space="0" w:color="auto"/>
              <w:bottom w:val="single" w:sz="4" w:space="0" w:color="auto"/>
            </w:tcBorders>
            <w:vAlign w:val="center"/>
          </w:tcPr>
          <w:p w14:paraId="38FA8139" w14:textId="77777777" w:rsidR="008C7772" w:rsidRPr="000551F9" w:rsidRDefault="008C7772" w:rsidP="008C7772">
            <w:pPr>
              <w:spacing w:line="276" w:lineRule="auto"/>
              <w:jc w:val="center"/>
              <w:rPr>
                <w:bCs/>
                <w:sz w:val="20"/>
                <w:szCs w:val="20"/>
              </w:rPr>
            </w:pPr>
            <w:r w:rsidRPr="000551F9">
              <w:rPr>
                <w:bCs/>
                <w:sz w:val="20"/>
                <w:szCs w:val="20"/>
              </w:rPr>
              <w:t>6.00E-3</w:t>
            </w:r>
          </w:p>
        </w:tc>
      </w:tr>
      <w:tr w:rsidR="004D0BEC" w:rsidRPr="00C47575" w14:paraId="456DCDFC" w14:textId="77777777" w:rsidTr="002759F9">
        <w:trPr>
          <w:trHeight w:val="851"/>
          <w:jc w:val="center"/>
        </w:trPr>
        <w:tc>
          <w:tcPr>
            <w:tcW w:w="4150" w:type="dxa"/>
            <w:tcBorders>
              <w:top w:val="single" w:sz="4" w:space="0" w:color="auto"/>
              <w:bottom w:val="single" w:sz="4" w:space="0" w:color="auto"/>
            </w:tcBorders>
            <w:vAlign w:val="center"/>
          </w:tcPr>
          <w:p w14:paraId="0ABFB424" w14:textId="7CF08597" w:rsidR="004D0BEC" w:rsidRPr="00C47575" w:rsidRDefault="00127214" w:rsidP="004D0BEC">
            <w:pPr>
              <w:spacing w:line="276" w:lineRule="auto"/>
              <w:jc w:val="center"/>
              <w:rPr>
                <w:bCs/>
                <w:sz w:val="20"/>
                <w:szCs w:val="20"/>
              </w:rPr>
            </w:pPr>
            <w:proofErr w:type="spellStart"/>
            <w:r w:rsidRPr="00C47575">
              <w:rPr>
                <w:b/>
                <w:sz w:val="20"/>
                <w:szCs w:val="20"/>
              </w:rPr>
              <w:t>Ingestion</w:t>
            </w:r>
            <w:proofErr w:type="spellEnd"/>
            <w:r w:rsidRPr="00C47575">
              <w:rPr>
                <w:b/>
                <w:sz w:val="20"/>
                <w:szCs w:val="20"/>
              </w:rPr>
              <w:t xml:space="preserve"> </w:t>
            </w:r>
            <w:proofErr w:type="spellStart"/>
            <w:r w:rsidRPr="00C47575">
              <w:rPr>
                <w:b/>
                <w:sz w:val="20"/>
                <w:szCs w:val="20"/>
              </w:rPr>
              <w:t>to</w:t>
            </w:r>
            <w:proofErr w:type="spellEnd"/>
            <w:r w:rsidRPr="00C47575">
              <w:rPr>
                <w:b/>
                <w:sz w:val="20"/>
                <w:szCs w:val="20"/>
              </w:rPr>
              <w:t xml:space="preserve"> </w:t>
            </w:r>
            <w:proofErr w:type="spellStart"/>
            <w:r w:rsidRPr="00C47575">
              <w:rPr>
                <w:b/>
                <w:sz w:val="20"/>
                <w:szCs w:val="20"/>
              </w:rPr>
              <w:t>b</w:t>
            </w:r>
            <w:r w:rsidR="004D0BEC" w:rsidRPr="00C47575">
              <w:rPr>
                <w:b/>
                <w:sz w:val="20"/>
                <w:szCs w:val="20"/>
              </w:rPr>
              <w:t>ovine</w:t>
            </w:r>
            <w:proofErr w:type="spellEnd"/>
            <w:r w:rsidR="004D0BEC" w:rsidRPr="00C47575">
              <w:rPr>
                <w:b/>
                <w:sz w:val="20"/>
                <w:szCs w:val="20"/>
              </w:rPr>
              <w:t xml:space="preserve"> </w:t>
            </w:r>
            <w:proofErr w:type="spellStart"/>
            <w:r w:rsidR="004D0BEC" w:rsidRPr="00C47575">
              <w:rPr>
                <w:b/>
                <w:sz w:val="20"/>
                <w:szCs w:val="20"/>
              </w:rPr>
              <w:t>milk</w:t>
            </w:r>
            <w:proofErr w:type="spellEnd"/>
            <w:r w:rsidR="00DB7D48" w:rsidRPr="00C47575">
              <w:rPr>
                <w:bCs/>
                <w:sz w:val="20"/>
                <w:szCs w:val="20"/>
                <w:vertAlign w:val="superscript"/>
              </w:rPr>
              <w:t xml:space="preserve"> a</w:t>
            </w:r>
            <w:r w:rsidR="004D6C60" w:rsidRPr="00C47575">
              <w:rPr>
                <w:bCs/>
                <w:sz w:val="20"/>
                <w:szCs w:val="20"/>
              </w:rPr>
              <w:t xml:space="preserve"> </w:t>
            </w:r>
            <w:r w:rsidR="004D6C60" w:rsidRPr="00C47575">
              <w:rPr>
                <w:b/>
                <w:i/>
                <w:iCs/>
                <w:sz w:val="20"/>
                <w:szCs w:val="20"/>
              </w:rPr>
              <w:t>(</w:t>
            </w:r>
            <w:proofErr w:type="spellStart"/>
            <w:r w:rsidR="004D6C60" w:rsidRPr="00C47575">
              <w:rPr>
                <w:b/>
                <w:i/>
                <w:iCs/>
                <w:sz w:val="20"/>
                <w:szCs w:val="20"/>
              </w:rPr>
              <w:t>day</w:t>
            </w:r>
            <w:proofErr w:type="spellEnd"/>
            <w:r w:rsidR="004D6C60" w:rsidRPr="00C47575">
              <w:rPr>
                <w:b/>
                <w:i/>
                <w:iCs/>
                <w:sz w:val="20"/>
                <w:szCs w:val="20"/>
              </w:rPr>
              <w:t xml:space="preserve"> kg</w:t>
            </w:r>
            <w:r w:rsidR="004D6C60" w:rsidRPr="00C47575">
              <w:rPr>
                <w:b/>
                <w:i/>
                <w:iCs/>
                <w:sz w:val="20"/>
                <w:szCs w:val="20"/>
                <w:vertAlign w:val="superscript"/>
              </w:rPr>
              <w:t>-1</w:t>
            </w:r>
            <w:r w:rsidR="004D6C60" w:rsidRPr="00C47575">
              <w:rPr>
                <w:b/>
                <w:i/>
                <w:iCs/>
                <w:sz w:val="20"/>
                <w:szCs w:val="20"/>
              </w:rPr>
              <w:t>)</w:t>
            </w:r>
          </w:p>
          <w:p w14:paraId="776E74C2" w14:textId="77777777" w:rsidR="004D0BEC" w:rsidRPr="00FF23ED" w:rsidRDefault="004D0BEC" w:rsidP="004D0BEC">
            <w:pPr>
              <w:spacing w:line="276" w:lineRule="auto"/>
              <w:jc w:val="center"/>
              <w:rPr>
                <w:b/>
                <w:sz w:val="20"/>
                <w:szCs w:val="20"/>
                <w:lang w:val="en-US"/>
              </w:rPr>
            </w:pPr>
            <w:proofErr w:type="spellStart"/>
            <w:r w:rsidRPr="00C47575">
              <w:rPr>
                <w:i/>
                <w:iCs/>
                <w:sz w:val="20"/>
                <w:szCs w:val="52"/>
              </w:rPr>
              <w:t>Reference</w:t>
            </w:r>
            <w:proofErr w:type="spellEnd"/>
            <w:r w:rsidRPr="00C47575">
              <w:rPr>
                <w:i/>
                <w:iCs/>
                <w:sz w:val="20"/>
                <w:szCs w:val="52"/>
              </w:rPr>
              <w:t xml:space="preserve">: </w:t>
            </w:r>
            <w:proofErr w:type="spellStart"/>
            <w:r w:rsidRPr="00C47575">
              <w:rPr>
                <w:bCs/>
                <w:sz w:val="20"/>
                <w:szCs w:val="20"/>
              </w:rPr>
              <w:t>Baes</w:t>
            </w:r>
            <w:proofErr w:type="spellEnd"/>
            <w:r w:rsidRPr="00C47575">
              <w:rPr>
                <w:bCs/>
                <w:sz w:val="20"/>
                <w:szCs w:val="20"/>
              </w:rPr>
              <w:t xml:space="preserve"> III et al. </w:t>
            </w:r>
            <w:r w:rsidRPr="00FF23ED">
              <w:rPr>
                <w:bCs/>
                <w:sz w:val="20"/>
                <w:szCs w:val="20"/>
                <w:lang w:val="en-US"/>
              </w:rPr>
              <w:fldChar w:fldCharType="begin" w:fldLock="1"/>
            </w:r>
            <w:r w:rsidRPr="00C47575">
              <w:rPr>
                <w:bCs/>
                <w:sz w:val="20"/>
                <w:szCs w:val="20"/>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w:instrText>
            </w:r>
            <w:r w:rsidRPr="009B2651">
              <w:rPr>
                <w:bCs/>
                <w:sz w:val="20"/>
                <w:szCs w:val="20"/>
                <w:lang w:val="en-US"/>
              </w:rPr>
              <w:instrText xml:space="preserve"> highlighte</w:instrText>
            </w:r>
            <w:r w:rsidRPr="00FF23ED">
              <w:rPr>
                <w:bCs/>
                <w:sz w:val="20"/>
                <w:szCs w:val="20"/>
                <w:lang w:val="en-US"/>
              </w:rPr>
              <w:instrText>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38232B5" w14:textId="77777777" w:rsidR="004D0BEC" w:rsidRPr="00FF23ED" w:rsidRDefault="004D0BEC" w:rsidP="004D0BEC">
            <w:pPr>
              <w:spacing w:line="276" w:lineRule="auto"/>
              <w:jc w:val="center"/>
              <w:rPr>
                <w:bCs/>
                <w:sz w:val="20"/>
                <w:szCs w:val="20"/>
                <w:lang w:val="en-US"/>
              </w:rPr>
            </w:pPr>
            <w:r w:rsidRPr="00FF23ED">
              <w:rPr>
                <w:bCs/>
                <w:sz w:val="20"/>
                <w:szCs w:val="20"/>
                <w:lang w:val="en-US"/>
              </w:rPr>
              <w:t>2.00E-4</w:t>
            </w:r>
          </w:p>
        </w:tc>
        <w:tc>
          <w:tcPr>
            <w:tcW w:w="967" w:type="dxa"/>
            <w:tcBorders>
              <w:top w:val="single" w:sz="4" w:space="0" w:color="auto"/>
              <w:bottom w:val="single" w:sz="4" w:space="0" w:color="auto"/>
            </w:tcBorders>
            <w:vAlign w:val="center"/>
          </w:tcPr>
          <w:p w14:paraId="14E029E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c>
          <w:tcPr>
            <w:tcW w:w="967" w:type="dxa"/>
            <w:tcBorders>
              <w:top w:val="single" w:sz="4" w:space="0" w:color="auto"/>
              <w:bottom w:val="single" w:sz="4" w:space="0" w:color="auto"/>
            </w:tcBorders>
            <w:vAlign w:val="center"/>
          </w:tcPr>
          <w:p w14:paraId="76B3C506" w14:textId="77777777" w:rsidR="004D0BEC" w:rsidRPr="00FF23ED" w:rsidRDefault="004D0BEC" w:rsidP="004D0BEC">
            <w:pPr>
              <w:spacing w:line="276" w:lineRule="auto"/>
              <w:jc w:val="center"/>
              <w:rPr>
                <w:bCs/>
                <w:sz w:val="20"/>
                <w:szCs w:val="20"/>
                <w:lang w:val="en-US"/>
              </w:rPr>
            </w:pPr>
            <w:r w:rsidRPr="00FF23ED">
              <w:rPr>
                <w:bCs/>
                <w:sz w:val="20"/>
                <w:szCs w:val="20"/>
                <w:lang w:val="en-US"/>
              </w:rPr>
              <w:t>2.50E-4</w:t>
            </w:r>
          </w:p>
        </w:tc>
        <w:tc>
          <w:tcPr>
            <w:tcW w:w="968" w:type="dxa"/>
            <w:tcBorders>
              <w:top w:val="single" w:sz="4" w:space="0" w:color="auto"/>
              <w:bottom w:val="single" w:sz="4" w:space="0" w:color="auto"/>
            </w:tcBorders>
            <w:vAlign w:val="center"/>
          </w:tcPr>
          <w:p w14:paraId="699A7608" w14:textId="77777777" w:rsidR="004D0BEC" w:rsidRPr="00FF23ED" w:rsidRDefault="004D0BEC" w:rsidP="004D0BEC">
            <w:pPr>
              <w:spacing w:line="276" w:lineRule="auto"/>
              <w:jc w:val="center"/>
              <w:rPr>
                <w:bCs/>
                <w:sz w:val="20"/>
                <w:szCs w:val="20"/>
                <w:lang w:val="en-US"/>
              </w:rPr>
            </w:pPr>
            <w:r w:rsidRPr="00FF23ED">
              <w:rPr>
                <w:bCs/>
                <w:sz w:val="20"/>
                <w:szCs w:val="20"/>
                <w:lang w:val="en-US"/>
              </w:rPr>
              <w:t>2.00E-3</w:t>
            </w:r>
          </w:p>
        </w:tc>
        <w:tc>
          <w:tcPr>
            <w:tcW w:w="967" w:type="dxa"/>
            <w:tcBorders>
              <w:top w:val="single" w:sz="4" w:space="0" w:color="auto"/>
              <w:bottom w:val="single" w:sz="4" w:space="0" w:color="auto"/>
            </w:tcBorders>
            <w:vAlign w:val="center"/>
          </w:tcPr>
          <w:p w14:paraId="65AEFEAD" w14:textId="77777777" w:rsidR="004D0BEC" w:rsidRPr="00FF23ED" w:rsidRDefault="004D0BEC" w:rsidP="004D0BEC">
            <w:pPr>
              <w:spacing w:line="276" w:lineRule="auto"/>
              <w:jc w:val="center"/>
              <w:rPr>
                <w:bCs/>
                <w:sz w:val="20"/>
                <w:szCs w:val="20"/>
                <w:lang w:val="en-US"/>
              </w:rPr>
            </w:pPr>
            <w:r w:rsidRPr="00FF23ED">
              <w:rPr>
                <w:bCs/>
                <w:sz w:val="20"/>
                <w:szCs w:val="20"/>
                <w:lang w:val="en-US"/>
              </w:rPr>
              <w:t>2.50E-3</w:t>
            </w:r>
          </w:p>
        </w:tc>
        <w:tc>
          <w:tcPr>
            <w:tcW w:w="967" w:type="dxa"/>
            <w:tcBorders>
              <w:top w:val="single" w:sz="4" w:space="0" w:color="auto"/>
              <w:bottom w:val="single" w:sz="4" w:space="0" w:color="auto"/>
            </w:tcBorders>
            <w:vAlign w:val="center"/>
          </w:tcPr>
          <w:p w14:paraId="056D10A9" w14:textId="77777777" w:rsidR="004D0BEC" w:rsidRPr="00FF23ED" w:rsidRDefault="004D0BEC" w:rsidP="004D0BEC">
            <w:pPr>
              <w:spacing w:line="276" w:lineRule="auto"/>
              <w:jc w:val="center"/>
              <w:rPr>
                <w:bCs/>
                <w:sz w:val="20"/>
                <w:szCs w:val="20"/>
                <w:lang w:val="en-US"/>
              </w:rPr>
            </w:pPr>
            <w:r w:rsidRPr="00FF23ED">
              <w:rPr>
                <w:bCs/>
                <w:sz w:val="20"/>
                <w:szCs w:val="20"/>
                <w:lang w:val="en-US"/>
              </w:rPr>
              <w:t>3.50E-4</w:t>
            </w:r>
          </w:p>
        </w:tc>
        <w:tc>
          <w:tcPr>
            <w:tcW w:w="967" w:type="dxa"/>
            <w:tcBorders>
              <w:top w:val="single" w:sz="4" w:space="0" w:color="auto"/>
              <w:bottom w:val="single" w:sz="4" w:space="0" w:color="auto"/>
            </w:tcBorders>
            <w:vAlign w:val="center"/>
          </w:tcPr>
          <w:p w14:paraId="4424E6C1" w14:textId="77777777" w:rsidR="004D0BEC" w:rsidRPr="00FF23ED" w:rsidRDefault="004D0BEC" w:rsidP="004D0BEC">
            <w:pPr>
              <w:spacing w:line="276" w:lineRule="auto"/>
              <w:jc w:val="center"/>
              <w:rPr>
                <w:bCs/>
                <w:sz w:val="20"/>
                <w:szCs w:val="20"/>
                <w:lang w:val="en-US"/>
              </w:rPr>
            </w:pPr>
            <w:r w:rsidRPr="00FF23ED">
              <w:rPr>
                <w:bCs/>
                <w:sz w:val="20"/>
                <w:szCs w:val="20"/>
                <w:lang w:val="en-US"/>
              </w:rPr>
              <w:t>4.00E-3</w:t>
            </w:r>
          </w:p>
        </w:tc>
        <w:tc>
          <w:tcPr>
            <w:tcW w:w="968" w:type="dxa"/>
            <w:tcBorders>
              <w:top w:val="single" w:sz="4" w:space="0" w:color="auto"/>
              <w:bottom w:val="single" w:sz="4" w:space="0" w:color="auto"/>
            </w:tcBorders>
            <w:vAlign w:val="center"/>
          </w:tcPr>
          <w:p w14:paraId="56B55F4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1.00E-2</w:t>
            </w:r>
          </w:p>
        </w:tc>
        <w:tc>
          <w:tcPr>
            <w:tcW w:w="967" w:type="dxa"/>
            <w:tcBorders>
              <w:top w:val="single" w:sz="4" w:space="0" w:color="auto"/>
              <w:bottom w:val="single" w:sz="4" w:space="0" w:color="auto"/>
            </w:tcBorders>
            <w:vAlign w:val="center"/>
          </w:tcPr>
          <w:p w14:paraId="071495CA" w14:textId="77777777" w:rsidR="004D0BEC" w:rsidRPr="00FF23ED" w:rsidRDefault="004D0BEC" w:rsidP="004D0BEC">
            <w:pPr>
              <w:spacing w:line="276" w:lineRule="auto"/>
              <w:jc w:val="center"/>
              <w:rPr>
                <w:bCs/>
                <w:sz w:val="20"/>
                <w:szCs w:val="20"/>
                <w:lang w:val="en-US"/>
              </w:rPr>
            </w:pPr>
            <w:r w:rsidRPr="00FF23ED">
              <w:rPr>
                <w:bCs/>
                <w:sz w:val="20"/>
                <w:szCs w:val="20"/>
                <w:lang w:val="en-US"/>
              </w:rPr>
              <w:t>1.50E-3</w:t>
            </w:r>
          </w:p>
        </w:tc>
        <w:tc>
          <w:tcPr>
            <w:tcW w:w="966" w:type="dxa"/>
            <w:tcBorders>
              <w:top w:val="single" w:sz="4" w:space="0" w:color="auto"/>
              <w:bottom w:val="single" w:sz="4" w:space="0" w:color="auto"/>
            </w:tcBorders>
            <w:vAlign w:val="center"/>
          </w:tcPr>
          <w:p w14:paraId="3BC310F1"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r>
      <w:tr w:rsidR="004D0BEC" w:rsidRPr="00C47575" w14:paraId="1C990740" w14:textId="77777777" w:rsidTr="002759F9">
        <w:trPr>
          <w:trHeight w:val="1005"/>
          <w:jc w:val="center"/>
        </w:trPr>
        <w:tc>
          <w:tcPr>
            <w:tcW w:w="4150" w:type="dxa"/>
            <w:tcBorders>
              <w:top w:val="single" w:sz="4" w:space="0" w:color="auto"/>
              <w:bottom w:val="single" w:sz="4" w:space="0" w:color="auto"/>
            </w:tcBorders>
            <w:vAlign w:val="center"/>
          </w:tcPr>
          <w:p w14:paraId="20840D9F" w14:textId="77777777" w:rsidR="004D0BEC" w:rsidRPr="00FF23ED" w:rsidRDefault="0050315D" w:rsidP="004D0BEC">
            <w:pPr>
              <w:spacing w:line="276" w:lineRule="auto"/>
              <w:jc w:val="center"/>
              <w:rPr>
                <w:b/>
                <w:sz w:val="20"/>
                <w:szCs w:val="20"/>
                <w:lang w:val="en-US"/>
              </w:rPr>
            </w:pPr>
            <w:r w:rsidRPr="00FF23ED">
              <w:rPr>
                <w:b/>
                <w:sz w:val="20"/>
                <w:szCs w:val="20"/>
                <w:lang w:val="en-US"/>
              </w:rPr>
              <w:t>Soil to</w:t>
            </w:r>
            <w:r w:rsidR="004014AD" w:rsidRPr="00FF23ED">
              <w:rPr>
                <w:b/>
                <w:sz w:val="20"/>
                <w:szCs w:val="20"/>
                <w:lang w:val="en-US"/>
              </w:rPr>
              <w:t xml:space="preserve"> </w:t>
            </w:r>
            <w:r w:rsidR="004014AD" w:rsidRPr="00FF23ED">
              <w:rPr>
                <w:b/>
                <w:bCs/>
                <w:sz w:val="20"/>
                <w:szCs w:val="20"/>
                <w:lang w:val="en-US"/>
              </w:rPr>
              <w:t>vegetative portions of</w:t>
            </w:r>
            <w:r w:rsidR="00B858C1" w:rsidRPr="00FF23ED">
              <w:rPr>
                <w:b/>
                <w:sz w:val="20"/>
                <w:szCs w:val="20"/>
                <w:lang w:val="en-US"/>
              </w:rPr>
              <w:t xml:space="preserve"> food crops and</w:t>
            </w:r>
            <w:r w:rsidRPr="00FF23ED">
              <w:rPr>
                <w:b/>
                <w:sz w:val="20"/>
                <w:szCs w:val="20"/>
                <w:lang w:val="en-US"/>
              </w:rPr>
              <w:t xml:space="preserve"> </w:t>
            </w:r>
            <w:r w:rsidR="00B858C1" w:rsidRPr="00FF23ED">
              <w:rPr>
                <w:b/>
                <w:sz w:val="20"/>
                <w:szCs w:val="20"/>
                <w:lang w:val="en-US"/>
              </w:rPr>
              <w:t>feed plants</w:t>
            </w:r>
          </w:p>
          <w:p w14:paraId="050B54C6" w14:textId="77777777" w:rsidR="0050315D" w:rsidRPr="00FF23ED" w:rsidRDefault="0050315D" w:rsidP="004D0BEC">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1EBFD266"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FF75BCF" w14:textId="77777777" w:rsidR="004D0BEC" w:rsidRPr="00FF23ED" w:rsidRDefault="00B20976" w:rsidP="004D0BEC">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0F89FC5A" w14:textId="77777777" w:rsidR="004D0BEC" w:rsidRPr="00FF23ED" w:rsidRDefault="00B20976" w:rsidP="004D0BEC">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3BA2CE9B" w14:textId="77777777" w:rsidR="004D0BEC" w:rsidRPr="00FF23ED" w:rsidRDefault="00B20976" w:rsidP="004D0BEC">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FDCD5D7"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06048887" w14:textId="77777777" w:rsidR="004D0BEC" w:rsidRPr="00FF23ED" w:rsidRDefault="00B20976" w:rsidP="004D0BEC">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76F65A69" w14:textId="77777777" w:rsidR="004D0BEC" w:rsidRPr="00FF23ED" w:rsidRDefault="00B20976" w:rsidP="004D0BEC">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63F77743" w14:textId="77777777" w:rsidR="004D0BEC" w:rsidRPr="00FF23ED" w:rsidRDefault="00B20976" w:rsidP="004D0BEC">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27A72EC4" w14:textId="77777777" w:rsidR="004D0BEC" w:rsidRPr="00FF23ED" w:rsidRDefault="00B20976" w:rsidP="004D0BEC">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53B9DE7B" w14:textId="77777777" w:rsidR="004D0BEC" w:rsidRPr="00FF23ED" w:rsidRDefault="00B20976" w:rsidP="004D0BEC">
            <w:pPr>
              <w:spacing w:line="276" w:lineRule="auto"/>
              <w:jc w:val="center"/>
              <w:rPr>
                <w:bCs/>
                <w:sz w:val="20"/>
                <w:szCs w:val="20"/>
                <w:lang w:val="en-US"/>
              </w:rPr>
            </w:pPr>
            <w:r w:rsidRPr="00FF23ED">
              <w:rPr>
                <w:bCs/>
                <w:sz w:val="20"/>
                <w:szCs w:val="20"/>
                <w:lang w:val="en-US"/>
              </w:rPr>
              <w:t>6.00E-2</w:t>
            </w:r>
          </w:p>
        </w:tc>
      </w:tr>
      <w:tr w:rsidR="00D070AF" w:rsidRPr="00C47575" w14:paraId="3CB44F1A" w14:textId="77777777" w:rsidTr="002759F9">
        <w:trPr>
          <w:trHeight w:val="991"/>
          <w:jc w:val="center"/>
        </w:trPr>
        <w:tc>
          <w:tcPr>
            <w:tcW w:w="4150" w:type="dxa"/>
            <w:tcBorders>
              <w:top w:val="single" w:sz="4" w:space="0" w:color="auto"/>
              <w:bottom w:val="single" w:sz="4" w:space="0" w:color="auto"/>
            </w:tcBorders>
            <w:vAlign w:val="center"/>
          </w:tcPr>
          <w:p w14:paraId="35B7F1AD" w14:textId="77777777" w:rsidR="004014AD" w:rsidRPr="00FF23ED" w:rsidRDefault="00D070AF" w:rsidP="00D070AF">
            <w:pPr>
              <w:spacing w:line="276" w:lineRule="auto"/>
              <w:jc w:val="center"/>
              <w:rPr>
                <w:i/>
                <w:iCs/>
                <w:sz w:val="20"/>
                <w:szCs w:val="52"/>
                <w:lang w:val="en-US"/>
              </w:rPr>
            </w:pPr>
            <w:r w:rsidRPr="00FF23ED">
              <w:rPr>
                <w:b/>
                <w:sz w:val="20"/>
                <w:szCs w:val="20"/>
                <w:lang w:val="en-US"/>
              </w:rPr>
              <w:t xml:space="preserve">Water </w:t>
            </w:r>
            <w:r w:rsidR="004014AD" w:rsidRPr="00FF23ED">
              <w:rPr>
                <w:b/>
                <w:sz w:val="20"/>
                <w:szCs w:val="20"/>
                <w:lang w:val="en-US"/>
              </w:rPr>
              <w:t xml:space="preserve">to </w:t>
            </w:r>
            <w:r w:rsidR="004014AD" w:rsidRPr="00FF23ED">
              <w:rPr>
                <w:b/>
                <w:bCs/>
                <w:sz w:val="20"/>
                <w:szCs w:val="20"/>
                <w:lang w:val="en-US"/>
              </w:rPr>
              <w:t>vegetative portions of</w:t>
            </w:r>
            <w:r w:rsidR="004014AD" w:rsidRPr="00FF23ED">
              <w:rPr>
                <w:b/>
                <w:sz w:val="20"/>
                <w:szCs w:val="20"/>
                <w:lang w:val="en-US"/>
              </w:rPr>
              <w:t xml:space="preserve"> food crops and feed plants</w:t>
            </w:r>
            <w:r w:rsidR="004014AD" w:rsidRPr="00FF23ED">
              <w:rPr>
                <w:i/>
                <w:iCs/>
                <w:sz w:val="20"/>
                <w:szCs w:val="52"/>
                <w:lang w:val="en-US"/>
              </w:rPr>
              <w:t xml:space="preserve"> </w:t>
            </w:r>
          </w:p>
          <w:p w14:paraId="6CBF4200" w14:textId="77777777" w:rsidR="00D070AF" w:rsidRPr="00FF23ED" w:rsidRDefault="00D070AF" w:rsidP="00D070AF">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0053F722"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03C9404" w14:textId="77777777" w:rsidR="00D070AF" w:rsidRPr="00FF23ED" w:rsidRDefault="00D070AF" w:rsidP="00D070AF">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1F072DEE" w14:textId="77777777" w:rsidR="00D070AF" w:rsidRPr="00FF23ED" w:rsidRDefault="00D070AF" w:rsidP="00D070AF">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7179C878" w14:textId="77777777" w:rsidR="00D070AF" w:rsidRPr="00FF23ED" w:rsidRDefault="00D070AF" w:rsidP="00D070AF">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80C8898"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43E129BA" w14:textId="77777777" w:rsidR="00D070AF" w:rsidRPr="00FF23ED" w:rsidRDefault="00D070AF" w:rsidP="00D070AF">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300A9DBC" w14:textId="77777777" w:rsidR="00D070AF" w:rsidRPr="00FF23ED" w:rsidRDefault="00D070AF" w:rsidP="00D070AF">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225214FC" w14:textId="77777777" w:rsidR="00D070AF" w:rsidRPr="00FF23ED" w:rsidRDefault="00D070AF" w:rsidP="00D070AF">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41FBB94D" w14:textId="77777777" w:rsidR="00D070AF" w:rsidRPr="00FF23ED" w:rsidRDefault="00D070AF" w:rsidP="00D070AF">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710089D3" w14:textId="77777777" w:rsidR="00D070AF" w:rsidRPr="00FF23ED" w:rsidRDefault="00D070AF" w:rsidP="00D070AF">
            <w:pPr>
              <w:spacing w:line="276" w:lineRule="auto"/>
              <w:jc w:val="center"/>
              <w:rPr>
                <w:bCs/>
                <w:sz w:val="20"/>
                <w:szCs w:val="20"/>
                <w:lang w:val="en-US"/>
              </w:rPr>
            </w:pPr>
            <w:r w:rsidRPr="00FF23ED">
              <w:rPr>
                <w:bCs/>
                <w:sz w:val="20"/>
                <w:szCs w:val="20"/>
                <w:lang w:val="en-US"/>
              </w:rPr>
              <w:t>6.00E-2</w:t>
            </w:r>
          </w:p>
        </w:tc>
      </w:tr>
      <w:tr w:rsidR="004014AD" w:rsidRPr="00C47575" w14:paraId="38927EBF" w14:textId="77777777" w:rsidTr="002759F9">
        <w:trPr>
          <w:trHeight w:val="991"/>
          <w:jc w:val="center"/>
        </w:trPr>
        <w:tc>
          <w:tcPr>
            <w:tcW w:w="4150" w:type="dxa"/>
            <w:tcBorders>
              <w:top w:val="single" w:sz="4" w:space="0" w:color="auto"/>
              <w:bottom w:val="single" w:sz="4" w:space="0" w:color="auto"/>
            </w:tcBorders>
            <w:vAlign w:val="center"/>
          </w:tcPr>
          <w:p w14:paraId="6C4B5E34" w14:textId="77777777" w:rsidR="004014AD" w:rsidRPr="00FF23ED" w:rsidRDefault="004014AD" w:rsidP="004014AD">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2269CEDA" w14:textId="77777777" w:rsidR="004014AD" w:rsidRPr="003F31FE" w:rsidRDefault="004014AD" w:rsidP="004014AD">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3F31FE">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3F31FE">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503152A4" w14:textId="77777777" w:rsidR="004014AD" w:rsidRPr="003F31FE" w:rsidRDefault="009372BB" w:rsidP="004014AD">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single" w:sz="4" w:space="0" w:color="auto"/>
            </w:tcBorders>
            <w:vAlign w:val="center"/>
          </w:tcPr>
          <w:p w14:paraId="0F3C486E" w14:textId="77777777" w:rsidR="004014AD" w:rsidRPr="003F31FE" w:rsidRDefault="009372BB" w:rsidP="004014AD">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16B35830" w14:textId="77777777" w:rsidR="004014AD" w:rsidRPr="003F31FE" w:rsidRDefault="009372BB" w:rsidP="004014AD">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single" w:sz="4" w:space="0" w:color="auto"/>
            </w:tcBorders>
            <w:vAlign w:val="center"/>
          </w:tcPr>
          <w:p w14:paraId="794AF410" w14:textId="77777777" w:rsidR="004014AD" w:rsidRPr="003F31FE" w:rsidRDefault="009372BB" w:rsidP="004014AD">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single" w:sz="4" w:space="0" w:color="auto"/>
            </w:tcBorders>
            <w:vAlign w:val="center"/>
          </w:tcPr>
          <w:p w14:paraId="4B8206B8" w14:textId="77777777" w:rsidR="004014AD" w:rsidRPr="003F31FE" w:rsidRDefault="009F6A24" w:rsidP="004014AD">
            <w:pPr>
              <w:spacing w:line="276" w:lineRule="auto"/>
              <w:jc w:val="center"/>
              <w:rPr>
                <w:bCs/>
                <w:sz w:val="20"/>
                <w:szCs w:val="20"/>
                <w:lang w:val="en-US"/>
              </w:rPr>
            </w:pPr>
            <w:r w:rsidRPr="003F31FE">
              <w:rPr>
                <w:bCs/>
                <w:sz w:val="20"/>
                <w:szCs w:val="20"/>
                <w:lang w:val="en-US"/>
              </w:rPr>
              <w:t>1</w:t>
            </w:r>
            <w:r w:rsidR="009372BB" w:rsidRPr="003F31FE">
              <w:rPr>
                <w:bCs/>
                <w:sz w:val="20"/>
                <w:szCs w:val="20"/>
                <w:lang w:val="en-US"/>
              </w:rPr>
              <w:t>.00E-</w:t>
            </w:r>
            <w:r w:rsidRPr="003F31FE">
              <w:rPr>
                <w:bCs/>
                <w:sz w:val="20"/>
                <w:szCs w:val="20"/>
                <w:lang w:val="en-US"/>
              </w:rPr>
              <w:t>3</w:t>
            </w:r>
          </w:p>
        </w:tc>
        <w:tc>
          <w:tcPr>
            <w:tcW w:w="967" w:type="dxa"/>
            <w:tcBorders>
              <w:top w:val="single" w:sz="4" w:space="0" w:color="auto"/>
              <w:bottom w:val="single" w:sz="4" w:space="0" w:color="auto"/>
            </w:tcBorders>
            <w:vAlign w:val="center"/>
          </w:tcPr>
          <w:p w14:paraId="564892E4" w14:textId="77777777" w:rsidR="004014AD" w:rsidRPr="003F31FE" w:rsidRDefault="009F6A24" w:rsidP="004014AD">
            <w:pPr>
              <w:spacing w:line="276" w:lineRule="auto"/>
              <w:jc w:val="center"/>
              <w:rPr>
                <w:bCs/>
                <w:sz w:val="20"/>
                <w:szCs w:val="20"/>
                <w:lang w:val="en-US"/>
              </w:rPr>
            </w:pPr>
            <w:r w:rsidRPr="003F31FE">
              <w:rPr>
                <w:bCs/>
                <w:sz w:val="20"/>
                <w:szCs w:val="20"/>
                <w:lang w:val="en-US"/>
              </w:rPr>
              <w:t>5</w:t>
            </w:r>
            <w:r w:rsidR="009372BB" w:rsidRPr="003F31FE">
              <w:rPr>
                <w:bCs/>
                <w:sz w:val="20"/>
                <w:szCs w:val="20"/>
                <w:lang w:val="en-US"/>
              </w:rPr>
              <w:t>.00E-</w:t>
            </w:r>
            <w:r w:rsidRPr="003F31FE">
              <w:rPr>
                <w:bCs/>
                <w:sz w:val="20"/>
                <w:szCs w:val="20"/>
                <w:lang w:val="en-US"/>
              </w:rPr>
              <w:t>2</w:t>
            </w:r>
          </w:p>
        </w:tc>
        <w:tc>
          <w:tcPr>
            <w:tcW w:w="967" w:type="dxa"/>
            <w:tcBorders>
              <w:top w:val="single" w:sz="4" w:space="0" w:color="auto"/>
              <w:bottom w:val="single" w:sz="4" w:space="0" w:color="auto"/>
            </w:tcBorders>
            <w:vAlign w:val="center"/>
          </w:tcPr>
          <w:p w14:paraId="39380AB2"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2</w:t>
            </w:r>
          </w:p>
        </w:tc>
        <w:tc>
          <w:tcPr>
            <w:tcW w:w="968" w:type="dxa"/>
            <w:tcBorders>
              <w:top w:val="single" w:sz="4" w:space="0" w:color="auto"/>
              <w:bottom w:val="single" w:sz="4" w:space="0" w:color="auto"/>
            </w:tcBorders>
            <w:vAlign w:val="center"/>
          </w:tcPr>
          <w:p w14:paraId="35FF2EA6" w14:textId="77777777" w:rsidR="004014AD" w:rsidRPr="003F31FE" w:rsidRDefault="009F6A24" w:rsidP="004014AD">
            <w:pPr>
              <w:spacing w:line="276" w:lineRule="auto"/>
              <w:jc w:val="center"/>
              <w:rPr>
                <w:bCs/>
                <w:sz w:val="20"/>
                <w:szCs w:val="20"/>
                <w:lang w:val="en-US"/>
              </w:rPr>
            </w:pPr>
            <w:r w:rsidRPr="003F31FE">
              <w:rPr>
                <w:bCs/>
                <w:sz w:val="20"/>
                <w:szCs w:val="20"/>
                <w:lang w:val="en-US"/>
              </w:rPr>
              <w:t>9</w:t>
            </w:r>
            <w:r w:rsidR="009372BB" w:rsidRPr="003F31FE">
              <w:rPr>
                <w:bCs/>
                <w:sz w:val="20"/>
                <w:szCs w:val="20"/>
                <w:lang w:val="en-US"/>
              </w:rPr>
              <w:t>.00E-</w:t>
            </w:r>
            <w:r w:rsidRPr="003F31FE">
              <w:rPr>
                <w:bCs/>
                <w:sz w:val="20"/>
                <w:szCs w:val="20"/>
                <w:lang w:val="en-US"/>
              </w:rPr>
              <w:t>1</w:t>
            </w:r>
          </w:p>
        </w:tc>
        <w:tc>
          <w:tcPr>
            <w:tcW w:w="967" w:type="dxa"/>
            <w:tcBorders>
              <w:top w:val="single" w:sz="4" w:space="0" w:color="auto"/>
              <w:bottom w:val="single" w:sz="4" w:space="0" w:color="auto"/>
            </w:tcBorders>
            <w:vAlign w:val="center"/>
          </w:tcPr>
          <w:p w14:paraId="19AD63EF"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1</w:t>
            </w:r>
          </w:p>
        </w:tc>
        <w:tc>
          <w:tcPr>
            <w:tcW w:w="966" w:type="dxa"/>
            <w:tcBorders>
              <w:top w:val="single" w:sz="4" w:space="0" w:color="auto"/>
              <w:bottom w:val="single" w:sz="4" w:space="0" w:color="auto"/>
            </w:tcBorders>
            <w:vAlign w:val="center"/>
          </w:tcPr>
          <w:p w14:paraId="2BDF8232" w14:textId="77777777" w:rsidR="004014AD" w:rsidRPr="003F31FE" w:rsidRDefault="009F6A24" w:rsidP="004014AD">
            <w:pPr>
              <w:spacing w:line="276" w:lineRule="auto"/>
              <w:jc w:val="center"/>
              <w:rPr>
                <w:bCs/>
                <w:sz w:val="20"/>
                <w:szCs w:val="20"/>
                <w:lang w:val="en-US"/>
              </w:rPr>
            </w:pPr>
            <w:r w:rsidRPr="003F31FE">
              <w:rPr>
                <w:bCs/>
                <w:sz w:val="20"/>
                <w:szCs w:val="20"/>
                <w:lang w:val="en-US"/>
              </w:rPr>
              <w:t>6</w:t>
            </w:r>
            <w:r w:rsidR="009372BB" w:rsidRPr="003F31FE">
              <w:rPr>
                <w:bCs/>
                <w:sz w:val="20"/>
                <w:szCs w:val="20"/>
                <w:lang w:val="en-US"/>
              </w:rPr>
              <w:t>.00E-</w:t>
            </w:r>
            <w:r w:rsidRPr="003F31FE">
              <w:rPr>
                <w:bCs/>
                <w:sz w:val="20"/>
                <w:szCs w:val="20"/>
                <w:lang w:val="en-US"/>
              </w:rPr>
              <w:t>2</w:t>
            </w:r>
          </w:p>
        </w:tc>
      </w:tr>
      <w:tr w:rsidR="009F6A24" w:rsidRPr="00C47575" w14:paraId="6A89FE92" w14:textId="77777777" w:rsidTr="0015508B">
        <w:trPr>
          <w:trHeight w:val="990"/>
          <w:jc w:val="center"/>
        </w:trPr>
        <w:tc>
          <w:tcPr>
            <w:tcW w:w="4150" w:type="dxa"/>
            <w:tcBorders>
              <w:top w:val="single" w:sz="4" w:space="0" w:color="auto"/>
              <w:bottom w:val="double" w:sz="4" w:space="0" w:color="auto"/>
            </w:tcBorders>
            <w:vAlign w:val="center"/>
          </w:tcPr>
          <w:p w14:paraId="67154345" w14:textId="77777777" w:rsidR="009F6A24" w:rsidRPr="003F31FE" w:rsidRDefault="009F6A24" w:rsidP="009F6A24">
            <w:pPr>
              <w:spacing w:line="276" w:lineRule="auto"/>
              <w:jc w:val="center"/>
              <w:rPr>
                <w:b/>
                <w:sz w:val="20"/>
                <w:szCs w:val="20"/>
                <w:lang w:val="en-US"/>
              </w:rPr>
            </w:pPr>
            <w:r w:rsidRPr="003F31FE">
              <w:rPr>
                <w:b/>
                <w:sz w:val="20"/>
                <w:szCs w:val="20"/>
                <w:lang w:val="en-US"/>
              </w:rPr>
              <w:t>Water to</w:t>
            </w:r>
            <w:r w:rsidRPr="003F31FE">
              <w:rPr>
                <w:sz w:val="20"/>
                <w:szCs w:val="20"/>
                <w:lang w:val="en-US"/>
              </w:rPr>
              <w:t xml:space="preserve"> </w:t>
            </w:r>
            <w:r w:rsidRPr="003F31FE">
              <w:rPr>
                <w:b/>
                <w:bCs/>
                <w:sz w:val="20"/>
                <w:szCs w:val="20"/>
                <w:lang w:val="en-US"/>
              </w:rPr>
              <w:t>nonvegetative (reproductive) portions of</w:t>
            </w:r>
            <w:r w:rsidRPr="003F31FE">
              <w:rPr>
                <w:b/>
                <w:sz w:val="20"/>
                <w:szCs w:val="20"/>
                <w:lang w:val="en-US"/>
              </w:rPr>
              <w:t xml:space="preserve"> food crops and feed plants</w:t>
            </w:r>
          </w:p>
          <w:p w14:paraId="35C29EC2" w14:textId="77777777" w:rsidR="009F6A24" w:rsidRPr="003F31FE" w:rsidRDefault="009F6A24" w:rsidP="009F6A24">
            <w:pPr>
              <w:spacing w:line="276" w:lineRule="auto"/>
              <w:jc w:val="center"/>
              <w:rPr>
                <w:b/>
                <w:sz w:val="20"/>
                <w:szCs w:val="20"/>
                <w:lang w:val="en-US"/>
              </w:rPr>
            </w:pPr>
            <w:r w:rsidRPr="003F31FE">
              <w:rPr>
                <w:i/>
                <w:iCs/>
                <w:sz w:val="20"/>
                <w:szCs w:val="20"/>
                <w:lang w:val="en-US"/>
              </w:rPr>
              <w:t xml:space="preserve">Reference: </w:t>
            </w:r>
            <w:r w:rsidRPr="003F31FE">
              <w:rPr>
                <w:bCs/>
                <w:sz w:val="20"/>
                <w:szCs w:val="20"/>
                <w:vertAlign w:val="superscript"/>
                <w:lang w:val="en-US"/>
              </w:rPr>
              <w:t>c</w:t>
            </w:r>
          </w:p>
        </w:tc>
        <w:tc>
          <w:tcPr>
            <w:tcW w:w="1106" w:type="dxa"/>
            <w:tcBorders>
              <w:top w:val="single" w:sz="4" w:space="0" w:color="auto"/>
              <w:bottom w:val="double" w:sz="4" w:space="0" w:color="auto"/>
            </w:tcBorders>
            <w:vAlign w:val="center"/>
          </w:tcPr>
          <w:p w14:paraId="06515983" w14:textId="77777777" w:rsidR="009F6A24" w:rsidRPr="003F31FE" w:rsidRDefault="009F6A24" w:rsidP="009F6A24">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double" w:sz="4" w:space="0" w:color="auto"/>
            </w:tcBorders>
            <w:vAlign w:val="center"/>
          </w:tcPr>
          <w:p w14:paraId="79E3B2AE" w14:textId="77777777" w:rsidR="009F6A24" w:rsidRPr="003F31FE" w:rsidRDefault="009F6A24" w:rsidP="009F6A24">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double" w:sz="4" w:space="0" w:color="auto"/>
            </w:tcBorders>
            <w:vAlign w:val="center"/>
          </w:tcPr>
          <w:p w14:paraId="2F4AB0F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double" w:sz="4" w:space="0" w:color="auto"/>
            </w:tcBorders>
            <w:vAlign w:val="center"/>
          </w:tcPr>
          <w:p w14:paraId="5F7432B9" w14:textId="77777777" w:rsidR="009F6A24" w:rsidRPr="003F31FE" w:rsidRDefault="009F6A24" w:rsidP="009F6A24">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double" w:sz="4" w:space="0" w:color="auto"/>
            </w:tcBorders>
            <w:vAlign w:val="center"/>
          </w:tcPr>
          <w:p w14:paraId="07CABD20" w14:textId="77777777" w:rsidR="009F6A24" w:rsidRPr="003F31FE" w:rsidRDefault="009F6A24" w:rsidP="009F6A24">
            <w:pPr>
              <w:spacing w:line="276" w:lineRule="auto"/>
              <w:jc w:val="center"/>
              <w:rPr>
                <w:bCs/>
                <w:sz w:val="20"/>
                <w:szCs w:val="20"/>
                <w:lang w:val="en-US"/>
              </w:rPr>
            </w:pPr>
            <w:r w:rsidRPr="003F31FE">
              <w:rPr>
                <w:bCs/>
                <w:sz w:val="20"/>
                <w:szCs w:val="20"/>
                <w:lang w:val="en-US"/>
              </w:rPr>
              <w:t>1.00E-3</w:t>
            </w:r>
          </w:p>
        </w:tc>
        <w:tc>
          <w:tcPr>
            <w:tcW w:w="967" w:type="dxa"/>
            <w:tcBorders>
              <w:top w:val="single" w:sz="4" w:space="0" w:color="auto"/>
              <w:bottom w:val="double" w:sz="4" w:space="0" w:color="auto"/>
            </w:tcBorders>
            <w:vAlign w:val="center"/>
          </w:tcPr>
          <w:p w14:paraId="07C626E8" w14:textId="77777777" w:rsidR="009F6A24" w:rsidRPr="003F31FE" w:rsidRDefault="009F6A24" w:rsidP="009F6A24">
            <w:pPr>
              <w:spacing w:line="276" w:lineRule="auto"/>
              <w:jc w:val="center"/>
              <w:rPr>
                <w:bCs/>
                <w:sz w:val="20"/>
                <w:szCs w:val="20"/>
                <w:lang w:val="en-US"/>
              </w:rPr>
            </w:pPr>
            <w:r w:rsidRPr="003F31FE">
              <w:rPr>
                <w:bCs/>
                <w:sz w:val="20"/>
                <w:szCs w:val="20"/>
                <w:lang w:val="en-US"/>
              </w:rPr>
              <w:t>5.00E-2</w:t>
            </w:r>
          </w:p>
        </w:tc>
        <w:tc>
          <w:tcPr>
            <w:tcW w:w="967" w:type="dxa"/>
            <w:tcBorders>
              <w:top w:val="single" w:sz="4" w:space="0" w:color="auto"/>
              <w:bottom w:val="double" w:sz="4" w:space="0" w:color="auto"/>
            </w:tcBorders>
            <w:vAlign w:val="center"/>
          </w:tcPr>
          <w:p w14:paraId="57CF412F" w14:textId="77777777" w:rsidR="009F6A24" w:rsidRPr="003F31FE" w:rsidRDefault="009F6A24" w:rsidP="009F6A24">
            <w:pPr>
              <w:spacing w:line="276" w:lineRule="auto"/>
              <w:jc w:val="center"/>
              <w:rPr>
                <w:bCs/>
                <w:sz w:val="20"/>
                <w:szCs w:val="20"/>
                <w:lang w:val="en-US"/>
              </w:rPr>
            </w:pPr>
            <w:r w:rsidRPr="003F31FE">
              <w:rPr>
                <w:bCs/>
                <w:sz w:val="20"/>
                <w:szCs w:val="20"/>
                <w:lang w:val="en-US"/>
              </w:rPr>
              <w:t>2.50E-2</w:t>
            </w:r>
          </w:p>
        </w:tc>
        <w:tc>
          <w:tcPr>
            <w:tcW w:w="968" w:type="dxa"/>
            <w:tcBorders>
              <w:top w:val="single" w:sz="4" w:space="0" w:color="auto"/>
              <w:bottom w:val="double" w:sz="4" w:space="0" w:color="auto"/>
            </w:tcBorders>
            <w:vAlign w:val="center"/>
          </w:tcPr>
          <w:p w14:paraId="45049D0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9.00E-1</w:t>
            </w:r>
          </w:p>
        </w:tc>
        <w:tc>
          <w:tcPr>
            <w:tcW w:w="967" w:type="dxa"/>
            <w:tcBorders>
              <w:top w:val="single" w:sz="4" w:space="0" w:color="auto"/>
              <w:bottom w:val="double" w:sz="4" w:space="0" w:color="auto"/>
            </w:tcBorders>
            <w:vAlign w:val="center"/>
          </w:tcPr>
          <w:p w14:paraId="5D0950DD" w14:textId="77777777" w:rsidR="009F6A24" w:rsidRPr="003F31FE" w:rsidRDefault="009F6A24" w:rsidP="009F6A24">
            <w:pPr>
              <w:spacing w:line="276" w:lineRule="auto"/>
              <w:jc w:val="center"/>
              <w:rPr>
                <w:bCs/>
                <w:sz w:val="20"/>
                <w:szCs w:val="20"/>
                <w:lang w:val="en-US"/>
              </w:rPr>
            </w:pPr>
            <w:r w:rsidRPr="003F31FE">
              <w:rPr>
                <w:bCs/>
                <w:sz w:val="20"/>
                <w:szCs w:val="20"/>
                <w:lang w:val="en-US"/>
              </w:rPr>
              <w:t>2.50E-1</w:t>
            </w:r>
          </w:p>
        </w:tc>
        <w:tc>
          <w:tcPr>
            <w:tcW w:w="966" w:type="dxa"/>
            <w:tcBorders>
              <w:top w:val="single" w:sz="4" w:space="0" w:color="auto"/>
              <w:bottom w:val="double" w:sz="4" w:space="0" w:color="auto"/>
            </w:tcBorders>
            <w:vAlign w:val="center"/>
          </w:tcPr>
          <w:p w14:paraId="49700C05" w14:textId="77777777" w:rsidR="009F6A24" w:rsidRPr="003F31FE" w:rsidRDefault="009F6A24" w:rsidP="009F6A24">
            <w:pPr>
              <w:spacing w:line="276" w:lineRule="auto"/>
              <w:jc w:val="center"/>
              <w:rPr>
                <w:bCs/>
                <w:sz w:val="20"/>
                <w:szCs w:val="20"/>
                <w:lang w:val="en-US"/>
              </w:rPr>
            </w:pPr>
            <w:r w:rsidRPr="003F31FE">
              <w:rPr>
                <w:bCs/>
                <w:sz w:val="20"/>
                <w:szCs w:val="20"/>
                <w:lang w:val="en-US"/>
              </w:rPr>
              <w:t>6.00E-2</w:t>
            </w:r>
          </w:p>
        </w:tc>
      </w:tr>
      <w:tr w:rsidR="00426F20" w:rsidRPr="00C47575" w14:paraId="61B442A6" w14:textId="77777777" w:rsidTr="0015508B">
        <w:trPr>
          <w:trHeight w:val="247"/>
          <w:jc w:val="center"/>
        </w:trPr>
        <w:tc>
          <w:tcPr>
            <w:tcW w:w="4150" w:type="dxa"/>
            <w:tcBorders>
              <w:top w:val="double" w:sz="4" w:space="0" w:color="auto"/>
              <w:bottom w:val="nil"/>
            </w:tcBorders>
            <w:vAlign w:val="center"/>
          </w:tcPr>
          <w:p w14:paraId="7A900C8F" w14:textId="77777777" w:rsidR="00426F20" w:rsidRPr="003F31FE" w:rsidRDefault="00426F20" w:rsidP="009F6A24">
            <w:pPr>
              <w:spacing w:line="276" w:lineRule="auto"/>
              <w:jc w:val="center"/>
              <w:rPr>
                <w:b/>
                <w:sz w:val="20"/>
                <w:szCs w:val="20"/>
                <w:lang w:val="en-US"/>
              </w:rPr>
            </w:pPr>
          </w:p>
        </w:tc>
        <w:tc>
          <w:tcPr>
            <w:tcW w:w="1106" w:type="dxa"/>
            <w:tcBorders>
              <w:top w:val="double" w:sz="4" w:space="0" w:color="auto"/>
              <w:bottom w:val="nil"/>
            </w:tcBorders>
            <w:vAlign w:val="center"/>
          </w:tcPr>
          <w:p w14:paraId="033EBB6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18A7C578"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74F53C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394DD934"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A92668B"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5D74EDB6"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69D04BD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76FA401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97962AE" w14:textId="77777777" w:rsidR="00426F20" w:rsidRPr="003F31FE" w:rsidRDefault="00426F20" w:rsidP="009F6A24">
            <w:pPr>
              <w:spacing w:line="276" w:lineRule="auto"/>
              <w:jc w:val="center"/>
              <w:rPr>
                <w:bCs/>
                <w:sz w:val="20"/>
                <w:szCs w:val="20"/>
                <w:lang w:val="en-US"/>
              </w:rPr>
            </w:pPr>
          </w:p>
        </w:tc>
        <w:tc>
          <w:tcPr>
            <w:tcW w:w="966" w:type="dxa"/>
            <w:tcBorders>
              <w:top w:val="double" w:sz="4" w:space="0" w:color="auto"/>
              <w:bottom w:val="nil"/>
            </w:tcBorders>
            <w:vAlign w:val="center"/>
          </w:tcPr>
          <w:p w14:paraId="40CBB38F" w14:textId="43B1D1C8" w:rsidR="00426F20" w:rsidRPr="003F31FE" w:rsidRDefault="0015508B" w:rsidP="0015508B">
            <w:pPr>
              <w:spacing w:line="276" w:lineRule="auto"/>
              <w:jc w:val="right"/>
              <w:rPr>
                <w:bCs/>
                <w:sz w:val="20"/>
                <w:szCs w:val="20"/>
                <w:lang w:val="en-US"/>
              </w:rPr>
            </w:pPr>
            <w:r w:rsidRPr="003F31FE">
              <w:rPr>
                <w:bCs/>
                <w:sz w:val="20"/>
                <w:szCs w:val="20"/>
                <w:lang w:val="en-US"/>
              </w:rPr>
              <w:t>Continue</w:t>
            </w:r>
          </w:p>
        </w:tc>
      </w:tr>
    </w:tbl>
    <w:p w14:paraId="4A5C6DE8" w14:textId="0256EA86" w:rsidR="003B664B" w:rsidRPr="003B664B" w:rsidRDefault="003B664B" w:rsidP="003B664B">
      <w:pPr>
        <w:pStyle w:val="Default"/>
        <w:spacing w:line="276" w:lineRule="auto"/>
        <w:ind w:left="360"/>
        <w:jc w:val="center"/>
        <w:rPr>
          <w:b/>
          <w:color w:val="FF0000"/>
          <w:sz w:val="22"/>
          <w:szCs w:val="23"/>
          <w:lang w:val="en-US"/>
        </w:rPr>
      </w:pPr>
    </w:p>
    <w:p w14:paraId="56F13EE9" w14:textId="1B166CF8" w:rsidR="002209AE" w:rsidRDefault="002209AE" w:rsidP="00231920">
      <w:pPr>
        <w:ind w:left="142" w:hanging="142"/>
        <w:jc w:val="both"/>
        <w:rPr>
          <w:bCs/>
          <w:iCs/>
          <w:sz w:val="20"/>
          <w:szCs w:val="16"/>
          <w:lang w:val="en-US"/>
        </w:rPr>
      </w:pPr>
      <w:r>
        <w:rPr>
          <w:bCs/>
          <w:iCs/>
          <w:sz w:val="20"/>
          <w:szCs w:val="16"/>
          <w:lang w:val="en-US"/>
        </w:rPr>
        <w:br w:type="page"/>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15508B" w:rsidRPr="00C47575" w14:paraId="4778ADB9" w14:textId="77777777" w:rsidTr="00FD6FD5">
        <w:trPr>
          <w:trHeight w:val="328"/>
          <w:jc w:val="center"/>
        </w:trPr>
        <w:tc>
          <w:tcPr>
            <w:tcW w:w="4150" w:type="dxa"/>
            <w:tcBorders>
              <w:top w:val="nil"/>
              <w:bottom w:val="double" w:sz="4" w:space="0" w:color="auto"/>
            </w:tcBorders>
          </w:tcPr>
          <w:p w14:paraId="35AF838E" w14:textId="77777777" w:rsidR="0015508B" w:rsidRPr="00FF23ED" w:rsidRDefault="0015508B" w:rsidP="00FD6FD5">
            <w:pPr>
              <w:jc w:val="center"/>
              <w:rPr>
                <w:b/>
                <w:i/>
                <w:iCs/>
                <w:sz w:val="20"/>
                <w:szCs w:val="20"/>
                <w:lang w:val="en-US"/>
              </w:rPr>
            </w:pPr>
          </w:p>
        </w:tc>
        <w:tc>
          <w:tcPr>
            <w:tcW w:w="1106" w:type="dxa"/>
            <w:tcBorders>
              <w:top w:val="nil"/>
              <w:bottom w:val="double" w:sz="4" w:space="0" w:color="auto"/>
            </w:tcBorders>
          </w:tcPr>
          <w:p w14:paraId="2956BB9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7F66B9D6"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2F432DE" w14:textId="77777777" w:rsidR="0015508B" w:rsidRPr="00FF23ED" w:rsidRDefault="0015508B" w:rsidP="00FD6FD5">
            <w:pPr>
              <w:jc w:val="center"/>
              <w:rPr>
                <w:b/>
                <w:sz w:val="20"/>
                <w:szCs w:val="20"/>
                <w:lang w:val="en-US"/>
              </w:rPr>
            </w:pPr>
          </w:p>
        </w:tc>
        <w:tc>
          <w:tcPr>
            <w:tcW w:w="968" w:type="dxa"/>
            <w:tcBorders>
              <w:top w:val="nil"/>
              <w:bottom w:val="double" w:sz="4" w:space="0" w:color="auto"/>
            </w:tcBorders>
          </w:tcPr>
          <w:p w14:paraId="0D50265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56DAF00E"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83821E1"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0C787195" w14:textId="77777777" w:rsidR="0015508B" w:rsidRPr="00FF23ED" w:rsidRDefault="0015508B" w:rsidP="00FD6FD5">
            <w:pPr>
              <w:jc w:val="center"/>
              <w:rPr>
                <w:b/>
                <w:sz w:val="20"/>
                <w:szCs w:val="20"/>
                <w:lang w:val="en-US"/>
              </w:rPr>
            </w:pPr>
          </w:p>
        </w:tc>
        <w:tc>
          <w:tcPr>
            <w:tcW w:w="2901" w:type="dxa"/>
            <w:gridSpan w:val="3"/>
            <w:tcBorders>
              <w:top w:val="nil"/>
              <w:bottom w:val="double" w:sz="4" w:space="0" w:color="auto"/>
            </w:tcBorders>
          </w:tcPr>
          <w:p w14:paraId="3B8A6605" w14:textId="71E7EE3B" w:rsidR="0015508B" w:rsidRPr="0015508B" w:rsidRDefault="0015508B" w:rsidP="0015508B">
            <w:pPr>
              <w:jc w:val="right"/>
              <w:rPr>
                <w:bCs/>
                <w:sz w:val="20"/>
                <w:szCs w:val="20"/>
                <w:lang w:val="en-US"/>
              </w:rPr>
            </w:pPr>
            <w:r w:rsidRPr="0015508B">
              <w:rPr>
                <w:bCs/>
                <w:sz w:val="20"/>
                <w:szCs w:val="20"/>
                <w:lang w:val="en-US"/>
              </w:rPr>
              <w:t>Continuation</w:t>
            </w:r>
          </w:p>
        </w:tc>
      </w:tr>
      <w:tr w:rsidR="0015508B" w:rsidRPr="00C47575" w14:paraId="5F4EC2F8" w14:textId="77777777" w:rsidTr="00FD6FD5">
        <w:trPr>
          <w:trHeight w:val="328"/>
          <w:jc w:val="center"/>
        </w:trPr>
        <w:tc>
          <w:tcPr>
            <w:tcW w:w="4150" w:type="dxa"/>
            <w:tcBorders>
              <w:top w:val="double" w:sz="4" w:space="0" w:color="auto"/>
              <w:bottom w:val="double" w:sz="4" w:space="0" w:color="auto"/>
            </w:tcBorders>
          </w:tcPr>
          <w:p w14:paraId="6EE1A2CA" w14:textId="77777777" w:rsidR="0015508B" w:rsidRPr="00FF23ED" w:rsidRDefault="0015508B" w:rsidP="00FD6FD5">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612F0309" w14:textId="2A06EDE3" w:rsidR="0015508B" w:rsidRPr="00FF23ED" w:rsidRDefault="00962879" w:rsidP="00FD6FD5">
            <w:pPr>
              <w:jc w:val="center"/>
              <w:rPr>
                <w:b/>
                <w:sz w:val="20"/>
                <w:szCs w:val="20"/>
                <w:lang w:val="en-US"/>
              </w:rPr>
            </w:pPr>
            <w:r>
              <w:rPr>
                <w:b/>
                <w:sz w:val="20"/>
                <w:szCs w:val="20"/>
                <w:lang w:val="en-US"/>
              </w:rPr>
              <w:t>As</w:t>
            </w:r>
          </w:p>
        </w:tc>
        <w:tc>
          <w:tcPr>
            <w:tcW w:w="967" w:type="dxa"/>
            <w:tcBorders>
              <w:top w:val="double" w:sz="4" w:space="0" w:color="auto"/>
              <w:bottom w:val="double" w:sz="4" w:space="0" w:color="auto"/>
            </w:tcBorders>
          </w:tcPr>
          <w:p w14:paraId="63946096" w14:textId="5DAE512C" w:rsidR="0015508B" w:rsidRPr="00FF23ED" w:rsidRDefault="00DA03AA" w:rsidP="00FD6FD5">
            <w:pPr>
              <w:jc w:val="center"/>
              <w:rPr>
                <w:b/>
                <w:sz w:val="20"/>
                <w:szCs w:val="20"/>
                <w:lang w:val="en-US"/>
              </w:rPr>
            </w:pPr>
            <w:r>
              <w:rPr>
                <w:b/>
                <w:sz w:val="20"/>
                <w:szCs w:val="20"/>
                <w:lang w:val="en-US"/>
              </w:rPr>
              <w:t>Ba</w:t>
            </w:r>
          </w:p>
        </w:tc>
        <w:tc>
          <w:tcPr>
            <w:tcW w:w="967" w:type="dxa"/>
            <w:tcBorders>
              <w:top w:val="double" w:sz="4" w:space="0" w:color="auto"/>
              <w:bottom w:val="double" w:sz="4" w:space="0" w:color="auto"/>
            </w:tcBorders>
          </w:tcPr>
          <w:p w14:paraId="4E4A3F0C" w14:textId="025B6780" w:rsidR="0015508B" w:rsidRPr="00FF23ED" w:rsidRDefault="00C66C55" w:rsidP="00FD6FD5">
            <w:pPr>
              <w:jc w:val="center"/>
              <w:rPr>
                <w:b/>
                <w:sz w:val="20"/>
                <w:szCs w:val="20"/>
                <w:lang w:val="en-US"/>
              </w:rPr>
            </w:pPr>
            <w:r>
              <w:rPr>
                <w:b/>
                <w:sz w:val="20"/>
                <w:szCs w:val="20"/>
                <w:lang w:val="en-US"/>
              </w:rPr>
              <w:t>Br</w:t>
            </w:r>
          </w:p>
        </w:tc>
        <w:tc>
          <w:tcPr>
            <w:tcW w:w="968" w:type="dxa"/>
            <w:tcBorders>
              <w:top w:val="double" w:sz="4" w:space="0" w:color="auto"/>
              <w:bottom w:val="double" w:sz="4" w:space="0" w:color="auto"/>
            </w:tcBorders>
          </w:tcPr>
          <w:p w14:paraId="1161800F" w14:textId="492D6A5A" w:rsidR="0015508B" w:rsidRPr="00FF23ED" w:rsidRDefault="009C0D08" w:rsidP="00FD6FD5">
            <w:pPr>
              <w:jc w:val="center"/>
              <w:rPr>
                <w:b/>
                <w:sz w:val="20"/>
                <w:szCs w:val="20"/>
                <w:lang w:val="en-US"/>
              </w:rPr>
            </w:pPr>
            <w:proofErr w:type="gramStart"/>
            <w:r>
              <w:rPr>
                <w:b/>
                <w:sz w:val="20"/>
                <w:szCs w:val="20"/>
                <w:lang w:val="en-US"/>
              </w:rPr>
              <w:t>Cr(</w:t>
            </w:r>
            <w:proofErr w:type="gramEnd"/>
            <w:r>
              <w:rPr>
                <w:b/>
                <w:sz w:val="20"/>
                <w:szCs w:val="20"/>
                <w:lang w:val="en-US"/>
              </w:rPr>
              <w:t>III)</w:t>
            </w:r>
          </w:p>
        </w:tc>
        <w:tc>
          <w:tcPr>
            <w:tcW w:w="967" w:type="dxa"/>
            <w:tcBorders>
              <w:top w:val="double" w:sz="4" w:space="0" w:color="auto"/>
              <w:bottom w:val="double" w:sz="4" w:space="0" w:color="auto"/>
            </w:tcBorders>
          </w:tcPr>
          <w:p w14:paraId="647A8AFA" w14:textId="426FF139" w:rsidR="0015508B" w:rsidRPr="00FF23ED" w:rsidRDefault="009C0D08" w:rsidP="00FD6FD5">
            <w:pPr>
              <w:jc w:val="center"/>
              <w:rPr>
                <w:b/>
                <w:sz w:val="20"/>
                <w:szCs w:val="20"/>
                <w:lang w:val="en-US"/>
              </w:rPr>
            </w:pPr>
            <w:proofErr w:type="gramStart"/>
            <w:r>
              <w:rPr>
                <w:b/>
                <w:sz w:val="20"/>
                <w:szCs w:val="20"/>
                <w:lang w:val="en-US"/>
              </w:rPr>
              <w:t>Cr(</w:t>
            </w:r>
            <w:proofErr w:type="gramEnd"/>
            <w:r>
              <w:rPr>
                <w:b/>
                <w:sz w:val="20"/>
                <w:szCs w:val="20"/>
                <w:lang w:val="en-US"/>
              </w:rPr>
              <w:t>VI)</w:t>
            </w:r>
          </w:p>
        </w:tc>
        <w:tc>
          <w:tcPr>
            <w:tcW w:w="967" w:type="dxa"/>
            <w:tcBorders>
              <w:top w:val="double" w:sz="4" w:space="0" w:color="auto"/>
              <w:bottom w:val="double" w:sz="4" w:space="0" w:color="auto"/>
            </w:tcBorders>
          </w:tcPr>
          <w:p w14:paraId="4C327641" w14:textId="63A3D7DB" w:rsidR="0015508B" w:rsidRPr="00FF23ED" w:rsidRDefault="00164B53" w:rsidP="00FD6FD5">
            <w:pPr>
              <w:jc w:val="center"/>
              <w:rPr>
                <w:b/>
                <w:sz w:val="20"/>
                <w:szCs w:val="20"/>
                <w:lang w:val="en-US"/>
              </w:rPr>
            </w:pPr>
            <w:r>
              <w:rPr>
                <w:b/>
                <w:sz w:val="20"/>
                <w:szCs w:val="20"/>
                <w:lang w:val="en-US"/>
              </w:rPr>
              <w:t>U</w:t>
            </w:r>
          </w:p>
        </w:tc>
        <w:tc>
          <w:tcPr>
            <w:tcW w:w="967" w:type="dxa"/>
            <w:tcBorders>
              <w:top w:val="double" w:sz="4" w:space="0" w:color="auto"/>
              <w:bottom w:val="double" w:sz="4" w:space="0" w:color="auto"/>
            </w:tcBorders>
          </w:tcPr>
          <w:p w14:paraId="46EF88DC" w14:textId="01D80452" w:rsidR="0015508B" w:rsidRPr="00FF23ED" w:rsidRDefault="008D1AAC" w:rsidP="00FD6FD5">
            <w:pPr>
              <w:jc w:val="center"/>
              <w:rPr>
                <w:b/>
                <w:sz w:val="20"/>
                <w:szCs w:val="20"/>
                <w:lang w:val="en-US"/>
              </w:rPr>
            </w:pPr>
            <w:r>
              <w:rPr>
                <w:b/>
                <w:sz w:val="20"/>
                <w:szCs w:val="20"/>
                <w:lang w:val="en-US"/>
              </w:rPr>
              <w:t>V</w:t>
            </w:r>
          </w:p>
        </w:tc>
        <w:tc>
          <w:tcPr>
            <w:tcW w:w="968" w:type="dxa"/>
            <w:tcBorders>
              <w:top w:val="double" w:sz="4" w:space="0" w:color="auto"/>
              <w:bottom w:val="double" w:sz="4" w:space="0" w:color="auto"/>
            </w:tcBorders>
          </w:tcPr>
          <w:p w14:paraId="6E623351" w14:textId="1643E1BA" w:rsidR="0015508B" w:rsidRPr="00FF23ED" w:rsidRDefault="0015508B" w:rsidP="00FD6FD5">
            <w:pPr>
              <w:jc w:val="center"/>
              <w:rPr>
                <w:b/>
                <w:sz w:val="20"/>
                <w:szCs w:val="20"/>
                <w:lang w:val="en-US"/>
              </w:rPr>
            </w:pPr>
          </w:p>
        </w:tc>
        <w:tc>
          <w:tcPr>
            <w:tcW w:w="967" w:type="dxa"/>
            <w:tcBorders>
              <w:top w:val="double" w:sz="4" w:space="0" w:color="auto"/>
              <w:bottom w:val="double" w:sz="4" w:space="0" w:color="auto"/>
            </w:tcBorders>
          </w:tcPr>
          <w:p w14:paraId="48578AA2" w14:textId="604A1CE8" w:rsidR="0015508B" w:rsidRPr="00FF23ED" w:rsidRDefault="0015508B" w:rsidP="00FD6FD5">
            <w:pPr>
              <w:jc w:val="center"/>
              <w:rPr>
                <w:b/>
                <w:sz w:val="20"/>
                <w:szCs w:val="20"/>
                <w:lang w:val="en-US"/>
              </w:rPr>
            </w:pPr>
          </w:p>
        </w:tc>
        <w:tc>
          <w:tcPr>
            <w:tcW w:w="966" w:type="dxa"/>
            <w:tcBorders>
              <w:top w:val="double" w:sz="4" w:space="0" w:color="auto"/>
              <w:bottom w:val="double" w:sz="4" w:space="0" w:color="auto"/>
            </w:tcBorders>
          </w:tcPr>
          <w:p w14:paraId="616E4B61" w14:textId="6A83E08B" w:rsidR="0015508B" w:rsidRPr="00FF23ED" w:rsidRDefault="0015508B" w:rsidP="00FD6FD5">
            <w:pPr>
              <w:jc w:val="center"/>
              <w:rPr>
                <w:b/>
                <w:sz w:val="20"/>
                <w:szCs w:val="20"/>
                <w:lang w:val="en-US"/>
              </w:rPr>
            </w:pPr>
          </w:p>
        </w:tc>
      </w:tr>
      <w:tr w:rsidR="00164B53" w:rsidRPr="00FF23ED" w14:paraId="08628A5E" w14:textId="77777777" w:rsidTr="00FD6FD5">
        <w:trPr>
          <w:trHeight w:val="851"/>
          <w:jc w:val="center"/>
        </w:trPr>
        <w:tc>
          <w:tcPr>
            <w:tcW w:w="4150" w:type="dxa"/>
            <w:tcBorders>
              <w:top w:val="double" w:sz="4" w:space="0" w:color="auto"/>
              <w:bottom w:val="single" w:sz="4" w:space="0" w:color="auto"/>
            </w:tcBorders>
            <w:vAlign w:val="center"/>
          </w:tcPr>
          <w:p w14:paraId="6B9A9229" w14:textId="77777777" w:rsidR="00164B53" w:rsidRPr="004D6C60" w:rsidRDefault="00164B53" w:rsidP="00164B53">
            <w:pPr>
              <w:spacing w:line="276" w:lineRule="auto"/>
              <w:jc w:val="center"/>
              <w:rPr>
                <w:bCs/>
                <w:sz w:val="20"/>
                <w:szCs w:val="20"/>
                <w:lang w:val="en-US"/>
              </w:rPr>
            </w:pPr>
            <w:r w:rsidRPr="00FF23ED">
              <w:rPr>
                <w:b/>
                <w:sz w:val="20"/>
                <w:szCs w:val="20"/>
                <w:lang w:val="en-US"/>
              </w:rPr>
              <w:t>Ingestion to bovine meat</w:t>
            </w:r>
            <w:r w:rsidRPr="00FF23ED">
              <w:rPr>
                <w:bCs/>
                <w:sz w:val="20"/>
                <w:szCs w:val="20"/>
                <w:vertAlign w:val="superscript"/>
                <w:lang w:val="en-US"/>
              </w:rPr>
              <w:t xml:space="preserve"> a</w:t>
            </w:r>
            <w:r>
              <w:rPr>
                <w:bCs/>
                <w:sz w:val="20"/>
                <w:szCs w:val="20"/>
                <w:lang w:val="en-US"/>
              </w:rPr>
              <w:t xml:space="preserve"> </w:t>
            </w:r>
            <w:r w:rsidRPr="00FF23ED">
              <w:rPr>
                <w:b/>
                <w:i/>
                <w:iCs/>
                <w:sz w:val="20"/>
                <w:szCs w:val="20"/>
                <w:lang w:val="en-US"/>
              </w:rPr>
              <w:t>(day kg</w:t>
            </w:r>
            <w:r w:rsidRPr="00FF23ED">
              <w:rPr>
                <w:b/>
                <w:i/>
                <w:iCs/>
                <w:sz w:val="20"/>
                <w:szCs w:val="20"/>
                <w:vertAlign w:val="superscript"/>
                <w:lang w:val="en-US"/>
              </w:rPr>
              <w:t>-1</w:t>
            </w:r>
            <w:r w:rsidRPr="00FF23ED">
              <w:rPr>
                <w:b/>
                <w:i/>
                <w:iCs/>
                <w:sz w:val="20"/>
                <w:szCs w:val="20"/>
                <w:lang w:val="en-US"/>
              </w:rPr>
              <w:t>)</w:t>
            </w:r>
          </w:p>
          <w:p w14:paraId="23E62895" w14:textId="77777777" w:rsidR="00164B53" w:rsidRPr="00C47575" w:rsidRDefault="00164B53" w:rsidP="00164B53">
            <w:pPr>
              <w:spacing w:line="276" w:lineRule="auto"/>
              <w:jc w:val="center"/>
              <w:rPr>
                <w:b/>
                <w:sz w:val="20"/>
                <w:szCs w:val="20"/>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C47575">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C47575">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4FAF8F01" w14:textId="3377B10D"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0E-3</w:t>
            </w:r>
          </w:p>
        </w:tc>
        <w:tc>
          <w:tcPr>
            <w:tcW w:w="967" w:type="dxa"/>
            <w:tcBorders>
              <w:top w:val="double" w:sz="4" w:space="0" w:color="auto"/>
              <w:bottom w:val="single" w:sz="4" w:space="0" w:color="auto"/>
            </w:tcBorders>
            <w:vAlign w:val="center"/>
          </w:tcPr>
          <w:p w14:paraId="1D0E0004" w14:textId="17320EDD" w:rsidR="00164B53" w:rsidRPr="000551F9" w:rsidRDefault="00164B53" w:rsidP="00164B53">
            <w:pPr>
              <w:spacing w:line="276" w:lineRule="auto"/>
              <w:jc w:val="center"/>
              <w:rPr>
                <w:bCs/>
                <w:sz w:val="20"/>
                <w:szCs w:val="20"/>
              </w:rPr>
            </w:pPr>
            <w:r>
              <w:rPr>
                <w:bCs/>
                <w:sz w:val="20"/>
                <w:szCs w:val="20"/>
              </w:rPr>
              <w:t>1</w:t>
            </w:r>
            <w:r w:rsidRPr="000551F9">
              <w:rPr>
                <w:bCs/>
                <w:sz w:val="20"/>
                <w:szCs w:val="20"/>
              </w:rPr>
              <w:t>.</w:t>
            </w:r>
            <w:r>
              <w:rPr>
                <w:bCs/>
                <w:sz w:val="20"/>
                <w:szCs w:val="20"/>
              </w:rPr>
              <w:t>5</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3D236D73" w14:textId="3AC666B5"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2</w:t>
            </w:r>
          </w:p>
        </w:tc>
        <w:tc>
          <w:tcPr>
            <w:tcW w:w="968" w:type="dxa"/>
            <w:tcBorders>
              <w:top w:val="double" w:sz="4" w:space="0" w:color="auto"/>
              <w:bottom w:val="single" w:sz="4" w:space="0" w:color="auto"/>
            </w:tcBorders>
            <w:vAlign w:val="center"/>
          </w:tcPr>
          <w:p w14:paraId="132AA002" w14:textId="24C472B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65492E49" w14:textId="252FBF0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4381A440" w14:textId="1F451799"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5F86FD25" w14:textId="446E089F" w:rsidR="00164B53" w:rsidRPr="000551F9" w:rsidRDefault="008D1AAC"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3</w:t>
            </w:r>
          </w:p>
        </w:tc>
        <w:tc>
          <w:tcPr>
            <w:tcW w:w="968" w:type="dxa"/>
            <w:tcBorders>
              <w:top w:val="double" w:sz="4" w:space="0" w:color="auto"/>
              <w:bottom w:val="single" w:sz="4" w:space="0" w:color="auto"/>
            </w:tcBorders>
            <w:vAlign w:val="center"/>
          </w:tcPr>
          <w:p w14:paraId="58AA62BC" w14:textId="047A7764" w:rsidR="00164B53" w:rsidRPr="000551F9" w:rsidRDefault="00164B53" w:rsidP="00164B53">
            <w:pPr>
              <w:spacing w:line="276" w:lineRule="auto"/>
              <w:jc w:val="center"/>
              <w:rPr>
                <w:bCs/>
                <w:sz w:val="20"/>
                <w:szCs w:val="20"/>
              </w:rPr>
            </w:pPr>
          </w:p>
        </w:tc>
        <w:tc>
          <w:tcPr>
            <w:tcW w:w="967" w:type="dxa"/>
            <w:tcBorders>
              <w:top w:val="double" w:sz="4" w:space="0" w:color="auto"/>
              <w:bottom w:val="single" w:sz="4" w:space="0" w:color="auto"/>
            </w:tcBorders>
            <w:vAlign w:val="center"/>
          </w:tcPr>
          <w:p w14:paraId="1B9AAE86" w14:textId="7EFB29AB" w:rsidR="00164B53" w:rsidRPr="000551F9" w:rsidRDefault="00164B53" w:rsidP="00164B53">
            <w:pPr>
              <w:spacing w:line="276" w:lineRule="auto"/>
              <w:jc w:val="center"/>
              <w:rPr>
                <w:bCs/>
                <w:sz w:val="20"/>
                <w:szCs w:val="20"/>
              </w:rPr>
            </w:pPr>
          </w:p>
        </w:tc>
        <w:tc>
          <w:tcPr>
            <w:tcW w:w="966" w:type="dxa"/>
            <w:tcBorders>
              <w:top w:val="double" w:sz="4" w:space="0" w:color="auto"/>
              <w:bottom w:val="single" w:sz="4" w:space="0" w:color="auto"/>
            </w:tcBorders>
            <w:vAlign w:val="center"/>
          </w:tcPr>
          <w:p w14:paraId="1826178F" w14:textId="0394CFF9" w:rsidR="00164B53" w:rsidRPr="000551F9" w:rsidRDefault="00164B53" w:rsidP="00164B53">
            <w:pPr>
              <w:spacing w:line="276" w:lineRule="auto"/>
              <w:jc w:val="center"/>
              <w:rPr>
                <w:bCs/>
                <w:sz w:val="20"/>
                <w:szCs w:val="20"/>
              </w:rPr>
            </w:pPr>
          </w:p>
        </w:tc>
      </w:tr>
      <w:tr w:rsidR="00164B53" w:rsidRPr="00C47575" w14:paraId="2446471D" w14:textId="77777777" w:rsidTr="00FD6FD5">
        <w:trPr>
          <w:trHeight w:val="851"/>
          <w:jc w:val="center"/>
        </w:trPr>
        <w:tc>
          <w:tcPr>
            <w:tcW w:w="4150" w:type="dxa"/>
            <w:tcBorders>
              <w:top w:val="single" w:sz="4" w:space="0" w:color="auto"/>
              <w:bottom w:val="single" w:sz="4" w:space="0" w:color="auto"/>
            </w:tcBorders>
            <w:vAlign w:val="center"/>
          </w:tcPr>
          <w:p w14:paraId="4762DB37" w14:textId="77777777" w:rsidR="00164B53" w:rsidRPr="00C47575" w:rsidRDefault="00164B53" w:rsidP="00164B53">
            <w:pPr>
              <w:spacing w:line="276" w:lineRule="auto"/>
              <w:jc w:val="center"/>
              <w:rPr>
                <w:bCs/>
                <w:sz w:val="20"/>
                <w:szCs w:val="20"/>
              </w:rPr>
            </w:pPr>
            <w:proofErr w:type="spellStart"/>
            <w:r w:rsidRPr="00C47575">
              <w:rPr>
                <w:b/>
                <w:sz w:val="20"/>
                <w:szCs w:val="20"/>
              </w:rPr>
              <w:t>Ingestion</w:t>
            </w:r>
            <w:proofErr w:type="spellEnd"/>
            <w:r w:rsidRPr="00C47575">
              <w:rPr>
                <w:b/>
                <w:sz w:val="20"/>
                <w:szCs w:val="20"/>
              </w:rPr>
              <w:t xml:space="preserve"> </w:t>
            </w:r>
            <w:proofErr w:type="spellStart"/>
            <w:r w:rsidRPr="00C47575">
              <w:rPr>
                <w:b/>
                <w:sz w:val="20"/>
                <w:szCs w:val="20"/>
              </w:rPr>
              <w:t>to</w:t>
            </w:r>
            <w:proofErr w:type="spellEnd"/>
            <w:r w:rsidRPr="00C47575">
              <w:rPr>
                <w:b/>
                <w:sz w:val="20"/>
                <w:szCs w:val="20"/>
              </w:rPr>
              <w:t xml:space="preserve"> </w:t>
            </w:r>
            <w:proofErr w:type="spellStart"/>
            <w:r w:rsidRPr="00C47575">
              <w:rPr>
                <w:b/>
                <w:sz w:val="20"/>
                <w:szCs w:val="20"/>
              </w:rPr>
              <w:t>bovine</w:t>
            </w:r>
            <w:proofErr w:type="spellEnd"/>
            <w:r w:rsidRPr="00C47575">
              <w:rPr>
                <w:b/>
                <w:sz w:val="20"/>
                <w:szCs w:val="20"/>
              </w:rPr>
              <w:t xml:space="preserve"> </w:t>
            </w:r>
            <w:proofErr w:type="spellStart"/>
            <w:r w:rsidRPr="00C47575">
              <w:rPr>
                <w:b/>
                <w:sz w:val="20"/>
                <w:szCs w:val="20"/>
              </w:rPr>
              <w:t>milk</w:t>
            </w:r>
            <w:proofErr w:type="spellEnd"/>
            <w:r w:rsidRPr="00C47575">
              <w:rPr>
                <w:bCs/>
                <w:sz w:val="20"/>
                <w:szCs w:val="20"/>
                <w:vertAlign w:val="superscript"/>
              </w:rPr>
              <w:t xml:space="preserve"> a</w:t>
            </w:r>
            <w:r w:rsidRPr="00C47575">
              <w:rPr>
                <w:bCs/>
                <w:sz w:val="20"/>
                <w:szCs w:val="20"/>
              </w:rPr>
              <w:t xml:space="preserve"> </w:t>
            </w:r>
            <w:r w:rsidRPr="00C47575">
              <w:rPr>
                <w:b/>
                <w:i/>
                <w:iCs/>
                <w:sz w:val="20"/>
                <w:szCs w:val="20"/>
              </w:rPr>
              <w:t>(</w:t>
            </w:r>
            <w:proofErr w:type="spellStart"/>
            <w:r w:rsidRPr="00C47575">
              <w:rPr>
                <w:b/>
                <w:i/>
                <w:iCs/>
                <w:sz w:val="20"/>
                <w:szCs w:val="20"/>
              </w:rPr>
              <w:t>day</w:t>
            </w:r>
            <w:proofErr w:type="spellEnd"/>
            <w:r w:rsidRPr="00C47575">
              <w:rPr>
                <w:b/>
                <w:i/>
                <w:iCs/>
                <w:sz w:val="20"/>
                <w:szCs w:val="20"/>
              </w:rPr>
              <w:t xml:space="preserve"> kg</w:t>
            </w:r>
            <w:r w:rsidRPr="00C47575">
              <w:rPr>
                <w:b/>
                <w:i/>
                <w:iCs/>
                <w:sz w:val="20"/>
                <w:szCs w:val="20"/>
                <w:vertAlign w:val="superscript"/>
              </w:rPr>
              <w:t>-1</w:t>
            </w:r>
            <w:r w:rsidRPr="00C47575">
              <w:rPr>
                <w:b/>
                <w:i/>
                <w:iCs/>
                <w:sz w:val="20"/>
                <w:szCs w:val="20"/>
              </w:rPr>
              <w:t>)</w:t>
            </w:r>
          </w:p>
          <w:p w14:paraId="3680A71F" w14:textId="77777777" w:rsidR="00164B53" w:rsidRPr="00FF23ED" w:rsidRDefault="00164B53" w:rsidP="00164B53">
            <w:pPr>
              <w:spacing w:line="276" w:lineRule="auto"/>
              <w:jc w:val="center"/>
              <w:rPr>
                <w:b/>
                <w:sz w:val="20"/>
                <w:szCs w:val="20"/>
                <w:lang w:val="en-US"/>
              </w:rPr>
            </w:pPr>
            <w:proofErr w:type="spellStart"/>
            <w:r w:rsidRPr="00C47575">
              <w:rPr>
                <w:i/>
                <w:iCs/>
                <w:sz w:val="20"/>
                <w:szCs w:val="52"/>
              </w:rPr>
              <w:t>Reference</w:t>
            </w:r>
            <w:proofErr w:type="spellEnd"/>
            <w:r w:rsidRPr="00C47575">
              <w:rPr>
                <w:i/>
                <w:iCs/>
                <w:sz w:val="20"/>
                <w:szCs w:val="52"/>
              </w:rPr>
              <w:t xml:space="preserve">: </w:t>
            </w:r>
            <w:proofErr w:type="spellStart"/>
            <w:r w:rsidRPr="00C47575">
              <w:rPr>
                <w:bCs/>
                <w:sz w:val="20"/>
                <w:szCs w:val="20"/>
              </w:rPr>
              <w:t>Baes</w:t>
            </w:r>
            <w:proofErr w:type="spellEnd"/>
            <w:r w:rsidRPr="00C47575">
              <w:rPr>
                <w:bCs/>
                <w:sz w:val="20"/>
                <w:szCs w:val="20"/>
              </w:rPr>
              <w:t xml:space="preserve"> III et al. </w:t>
            </w:r>
            <w:r w:rsidRPr="00FF23ED">
              <w:rPr>
                <w:bCs/>
                <w:sz w:val="20"/>
                <w:szCs w:val="20"/>
                <w:lang w:val="en-US"/>
              </w:rPr>
              <w:fldChar w:fldCharType="begin" w:fldLock="1"/>
            </w:r>
            <w:r w:rsidRPr="00C47575">
              <w:rPr>
                <w:bCs/>
                <w:sz w:val="20"/>
                <w:szCs w:val="20"/>
              </w:rPr>
              <w:instrText xml:space="preserve">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w:instrText>
            </w:r>
            <w:r w:rsidRPr="00FF23ED">
              <w:rPr>
                <w:bCs/>
                <w:sz w:val="20"/>
                <w:szCs w:val="20"/>
                <w:lang w:val="en-US"/>
              </w:rPr>
              <w:instrText>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981773" w14:textId="32E06BC2" w:rsidR="00164B53" w:rsidRPr="00FF23ED"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5C83951" w14:textId="3D541B4F" w:rsidR="00164B53" w:rsidRPr="00FF23ED" w:rsidRDefault="00164B53" w:rsidP="00164B53">
            <w:pPr>
              <w:spacing w:line="276" w:lineRule="auto"/>
              <w:jc w:val="center"/>
              <w:rPr>
                <w:bCs/>
                <w:sz w:val="20"/>
                <w:szCs w:val="20"/>
                <w:lang w:val="en-US"/>
              </w:rPr>
            </w:pPr>
            <w:r w:rsidRPr="003F31FE">
              <w:rPr>
                <w:bCs/>
                <w:sz w:val="20"/>
                <w:szCs w:val="20"/>
                <w:lang w:val="en-US"/>
              </w:rPr>
              <w:t>3.50E-4</w:t>
            </w:r>
          </w:p>
        </w:tc>
        <w:tc>
          <w:tcPr>
            <w:tcW w:w="967" w:type="dxa"/>
            <w:tcBorders>
              <w:top w:val="single" w:sz="4" w:space="0" w:color="auto"/>
              <w:bottom w:val="single" w:sz="4" w:space="0" w:color="auto"/>
            </w:tcBorders>
            <w:vAlign w:val="center"/>
          </w:tcPr>
          <w:p w14:paraId="4D4BCE83" w14:textId="6E8112D0" w:rsidR="00164B53" w:rsidRPr="00FF23ED" w:rsidRDefault="00164B53" w:rsidP="00164B53">
            <w:pPr>
              <w:spacing w:line="276" w:lineRule="auto"/>
              <w:jc w:val="center"/>
              <w:rPr>
                <w:bCs/>
                <w:sz w:val="20"/>
                <w:szCs w:val="20"/>
                <w:lang w:val="en-US"/>
              </w:rPr>
            </w:pPr>
            <w:r w:rsidRPr="003F31FE">
              <w:rPr>
                <w:bCs/>
                <w:sz w:val="20"/>
                <w:szCs w:val="20"/>
                <w:lang w:val="en-US"/>
              </w:rPr>
              <w:t>2.00E-2</w:t>
            </w:r>
          </w:p>
        </w:tc>
        <w:tc>
          <w:tcPr>
            <w:tcW w:w="968" w:type="dxa"/>
            <w:tcBorders>
              <w:top w:val="single" w:sz="4" w:space="0" w:color="auto"/>
              <w:bottom w:val="single" w:sz="4" w:space="0" w:color="auto"/>
            </w:tcBorders>
            <w:vAlign w:val="center"/>
          </w:tcPr>
          <w:p w14:paraId="703E6715" w14:textId="265DF9E6"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25057542" w14:textId="33BFF098"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5D703CB7" w14:textId="7103A0D0" w:rsidR="00164B53" w:rsidRPr="00FF23ED" w:rsidRDefault="00164B53" w:rsidP="00164B53">
            <w:pPr>
              <w:spacing w:line="276" w:lineRule="auto"/>
              <w:jc w:val="center"/>
              <w:rPr>
                <w:bCs/>
                <w:sz w:val="20"/>
                <w:szCs w:val="20"/>
                <w:lang w:val="en-US"/>
              </w:rPr>
            </w:pPr>
            <w:r w:rsidRPr="003F31FE">
              <w:rPr>
                <w:bCs/>
                <w:sz w:val="20"/>
                <w:szCs w:val="20"/>
                <w:lang w:val="en-US"/>
              </w:rPr>
              <w:t>6.00E-4</w:t>
            </w:r>
          </w:p>
        </w:tc>
        <w:tc>
          <w:tcPr>
            <w:tcW w:w="967" w:type="dxa"/>
            <w:tcBorders>
              <w:top w:val="single" w:sz="4" w:space="0" w:color="auto"/>
              <w:bottom w:val="single" w:sz="4" w:space="0" w:color="auto"/>
            </w:tcBorders>
            <w:vAlign w:val="center"/>
          </w:tcPr>
          <w:p w14:paraId="35D62D38" w14:textId="04118A72" w:rsidR="00164B53" w:rsidRPr="00FF23ED" w:rsidRDefault="008D1AAC" w:rsidP="00164B53">
            <w:pPr>
              <w:spacing w:line="276" w:lineRule="auto"/>
              <w:jc w:val="center"/>
              <w:rPr>
                <w:bCs/>
                <w:sz w:val="20"/>
                <w:szCs w:val="20"/>
                <w:lang w:val="en-US"/>
              </w:rPr>
            </w:pPr>
            <w:r w:rsidRPr="003F31FE">
              <w:rPr>
                <w:bCs/>
                <w:sz w:val="20"/>
                <w:szCs w:val="20"/>
                <w:lang w:val="en-US"/>
              </w:rPr>
              <w:t>2.00E-5</w:t>
            </w:r>
          </w:p>
        </w:tc>
        <w:tc>
          <w:tcPr>
            <w:tcW w:w="968" w:type="dxa"/>
            <w:tcBorders>
              <w:top w:val="single" w:sz="4" w:space="0" w:color="auto"/>
              <w:bottom w:val="single" w:sz="4" w:space="0" w:color="auto"/>
            </w:tcBorders>
            <w:vAlign w:val="center"/>
          </w:tcPr>
          <w:p w14:paraId="74919708" w14:textId="249AFCA2"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105BF802" w14:textId="49DFAA74"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3461FFF" w14:textId="6B94E344" w:rsidR="00164B53" w:rsidRPr="00FF23ED" w:rsidRDefault="00164B53" w:rsidP="00164B53">
            <w:pPr>
              <w:spacing w:line="276" w:lineRule="auto"/>
              <w:jc w:val="center"/>
              <w:rPr>
                <w:bCs/>
                <w:sz w:val="20"/>
                <w:szCs w:val="20"/>
                <w:lang w:val="en-US"/>
              </w:rPr>
            </w:pPr>
          </w:p>
        </w:tc>
      </w:tr>
      <w:tr w:rsidR="00164B53" w:rsidRPr="00E90906" w14:paraId="2F03A282" w14:textId="77777777" w:rsidTr="00FD6FD5">
        <w:trPr>
          <w:trHeight w:val="1005"/>
          <w:jc w:val="center"/>
        </w:trPr>
        <w:tc>
          <w:tcPr>
            <w:tcW w:w="4150" w:type="dxa"/>
            <w:tcBorders>
              <w:top w:val="single" w:sz="4" w:space="0" w:color="auto"/>
              <w:bottom w:val="single" w:sz="4" w:space="0" w:color="auto"/>
            </w:tcBorders>
            <w:vAlign w:val="center"/>
          </w:tcPr>
          <w:p w14:paraId="3722F655" w14:textId="77777777" w:rsidR="00164B53" w:rsidRPr="00FF23ED" w:rsidRDefault="00164B53" w:rsidP="00164B53">
            <w:pPr>
              <w:spacing w:line="276" w:lineRule="auto"/>
              <w:jc w:val="center"/>
              <w:rPr>
                <w:b/>
                <w:sz w:val="20"/>
                <w:szCs w:val="20"/>
                <w:lang w:val="en-US"/>
              </w:rPr>
            </w:pPr>
            <w:r w:rsidRPr="00FF23ED">
              <w:rPr>
                <w:b/>
                <w:sz w:val="20"/>
                <w:szCs w:val="20"/>
                <w:lang w:val="en-US"/>
              </w:rPr>
              <w:t xml:space="preserve">Soil to </w:t>
            </w:r>
            <w:r w:rsidRPr="00FF23ED">
              <w:rPr>
                <w:b/>
                <w:bCs/>
                <w:sz w:val="20"/>
                <w:szCs w:val="20"/>
                <w:lang w:val="en-US"/>
              </w:rPr>
              <w:t>vegetative portions of</w:t>
            </w:r>
            <w:r w:rsidRPr="00FF23ED">
              <w:rPr>
                <w:b/>
                <w:sz w:val="20"/>
                <w:szCs w:val="20"/>
                <w:lang w:val="en-US"/>
              </w:rPr>
              <w:t xml:space="preserve"> food crops and feed plants</w:t>
            </w:r>
          </w:p>
          <w:p w14:paraId="5350E9B4"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2227B86" w14:textId="6B40CCB2" w:rsidR="00164B53" w:rsidRPr="00FF23ED"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5FE9BB6A" w14:textId="3EAEABB5"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24C7B564" w14:textId="4BB46688"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1C8675AD" w14:textId="5571A84F"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6D5D3819" w14:textId="657DBF86"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2C3E1783" w14:textId="4647DC24"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6518BCF4" w14:textId="56773EC7"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0115B79C" w14:textId="72FC1B6D"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39317C6B" w14:textId="1BDFC7AE"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A7ED6CF" w14:textId="7D4359FA" w:rsidR="00164B53" w:rsidRPr="00FF23ED" w:rsidRDefault="00164B53" w:rsidP="00164B53">
            <w:pPr>
              <w:spacing w:line="276" w:lineRule="auto"/>
              <w:jc w:val="center"/>
              <w:rPr>
                <w:bCs/>
                <w:sz w:val="20"/>
                <w:szCs w:val="20"/>
                <w:lang w:val="en-US"/>
              </w:rPr>
            </w:pPr>
          </w:p>
        </w:tc>
      </w:tr>
      <w:tr w:rsidR="00164B53" w:rsidRPr="00E90906" w14:paraId="53693FD9" w14:textId="77777777" w:rsidTr="00FD6FD5">
        <w:trPr>
          <w:trHeight w:val="991"/>
          <w:jc w:val="center"/>
        </w:trPr>
        <w:tc>
          <w:tcPr>
            <w:tcW w:w="4150" w:type="dxa"/>
            <w:tcBorders>
              <w:top w:val="single" w:sz="4" w:space="0" w:color="auto"/>
              <w:bottom w:val="single" w:sz="4" w:space="0" w:color="auto"/>
            </w:tcBorders>
            <w:vAlign w:val="center"/>
          </w:tcPr>
          <w:p w14:paraId="397E30DD" w14:textId="77777777" w:rsidR="00164B53" w:rsidRPr="00FF23ED" w:rsidRDefault="00164B53" w:rsidP="00164B53">
            <w:pPr>
              <w:spacing w:line="276" w:lineRule="auto"/>
              <w:jc w:val="center"/>
              <w:rPr>
                <w:i/>
                <w:iCs/>
                <w:sz w:val="20"/>
                <w:szCs w:val="52"/>
                <w:lang w:val="en-US"/>
              </w:rPr>
            </w:pPr>
            <w:r w:rsidRPr="00FF23ED">
              <w:rPr>
                <w:b/>
                <w:sz w:val="20"/>
                <w:szCs w:val="20"/>
                <w:lang w:val="en-US"/>
              </w:rPr>
              <w:t xml:space="preserve">Water to </w:t>
            </w:r>
            <w:r w:rsidRPr="00FF23ED">
              <w:rPr>
                <w:b/>
                <w:bCs/>
                <w:sz w:val="20"/>
                <w:szCs w:val="20"/>
                <w:lang w:val="en-US"/>
              </w:rPr>
              <w:t>vegetative portions of</w:t>
            </w:r>
            <w:r w:rsidRPr="00FF23ED">
              <w:rPr>
                <w:b/>
                <w:sz w:val="20"/>
                <w:szCs w:val="20"/>
                <w:lang w:val="en-US"/>
              </w:rPr>
              <w:t xml:space="preserve"> food crops and feed plants</w:t>
            </w:r>
            <w:r w:rsidRPr="00FF23ED">
              <w:rPr>
                <w:i/>
                <w:iCs/>
                <w:sz w:val="20"/>
                <w:szCs w:val="52"/>
                <w:lang w:val="en-US"/>
              </w:rPr>
              <w:t xml:space="preserve"> </w:t>
            </w:r>
          </w:p>
          <w:p w14:paraId="39256DBF"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6BEFFB98" w14:textId="5F302142" w:rsidR="00164B53" w:rsidRPr="00F917B6"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7093F3CC" w14:textId="1A1CD534"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76FCC36E" w14:textId="13203779"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59E24992" w14:textId="64FA5282"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592D548F" w14:textId="24295C63"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3B11C8B8" w14:textId="4774C5D2"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344DFB5C" w14:textId="74BCE459"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2EB0BAF6" w14:textId="42DB15D4"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4D012E3B" w14:textId="3808C0D9"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4157767C" w14:textId="25C95684" w:rsidR="00164B53" w:rsidRPr="00FF23ED" w:rsidRDefault="00164B53" w:rsidP="00164B53">
            <w:pPr>
              <w:spacing w:line="276" w:lineRule="auto"/>
              <w:jc w:val="center"/>
              <w:rPr>
                <w:bCs/>
                <w:sz w:val="20"/>
                <w:szCs w:val="20"/>
                <w:lang w:val="en-US"/>
              </w:rPr>
            </w:pPr>
          </w:p>
        </w:tc>
      </w:tr>
      <w:tr w:rsidR="00164B53" w:rsidRPr="00E90906" w14:paraId="5372724F" w14:textId="77777777" w:rsidTr="00FD6FD5">
        <w:trPr>
          <w:trHeight w:val="991"/>
          <w:jc w:val="center"/>
        </w:trPr>
        <w:tc>
          <w:tcPr>
            <w:tcW w:w="4150" w:type="dxa"/>
            <w:tcBorders>
              <w:top w:val="single" w:sz="4" w:space="0" w:color="auto"/>
              <w:bottom w:val="single" w:sz="4" w:space="0" w:color="auto"/>
            </w:tcBorders>
            <w:vAlign w:val="center"/>
          </w:tcPr>
          <w:p w14:paraId="07C348A5" w14:textId="77777777" w:rsidR="00164B53" w:rsidRPr="00FF23ED" w:rsidRDefault="00164B53" w:rsidP="00164B53">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69C68920" w14:textId="77777777" w:rsidR="00164B53" w:rsidRPr="00F917B6" w:rsidRDefault="00164B53" w:rsidP="00164B53">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F917B6">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917B6">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8790C2" w14:textId="7FCC674B"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BC906D0" w14:textId="39DCDDCC"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single" w:sz="4" w:space="0" w:color="auto"/>
            </w:tcBorders>
            <w:vAlign w:val="center"/>
          </w:tcPr>
          <w:p w14:paraId="1A175D71" w14:textId="4F7E6CD6"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0D686B15" w14:textId="6A34CB20"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79E0AC7D" w14:textId="61C9FA3C"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3B462987" w14:textId="5293A26F"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single" w:sz="4" w:space="0" w:color="auto"/>
            </w:tcBorders>
            <w:vAlign w:val="center"/>
          </w:tcPr>
          <w:p w14:paraId="0DB3EC19" w14:textId="134AE491"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single" w:sz="4" w:space="0" w:color="auto"/>
            </w:tcBorders>
            <w:vAlign w:val="center"/>
          </w:tcPr>
          <w:p w14:paraId="4A753C92" w14:textId="1EB4429B"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0EA17D71" w14:textId="3D271097"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645607B4" w14:textId="7FF034D0" w:rsidR="00164B53" w:rsidRPr="00F917B6" w:rsidRDefault="00164B53" w:rsidP="00164B53">
            <w:pPr>
              <w:spacing w:line="276" w:lineRule="auto"/>
              <w:jc w:val="center"/>
              <w:rPr>
                <w:bCs/>
                <w:sz w:val="20"/>
                <w:szCs w:val="20"/>
                <w:lang w:val="en-US"/>
              </w:rPr>
            </w:pPr>
          </w:p>
        </w:tc>
      </w:tr>
      <w:tr w:rsidR="00164B53" w:rsidRPr="00E90906" w14:paraId="502E3D43" w14:textId="77777777" w:rsidTr="00FD6FD5">
        <w:trPr>
          <w:trHeight w:val="990"/>
          <w:jc w:val="center"/>
        </w:trPr>
        <w:tc>
          <w:tcPr>
            <w:tcW w:w="4150" w:type="dxa"/>
            <w:tcBorders>
              <w:top w:val="single" w:sz="4" w:space="0" w:color="auto"/>
              <w:bottom w:val="double" w:sz="4" w:space="0" w:color="auto"/>
            </w:tcBorders>
            <w:vAlign w:val="center"/>
          </w:tcPr>
          <w:p w14:paraId="68982C72" w14:textId="77777777" w:rsidR="00164B53" w:rsidRPr="00F917B6" w:rsidRDefault="00164B53" w:rsidP="00164B53">
            <w:pPr>
              <w:spacing w:line="276" w:lineRule="auto"/>
              <w:jc w:val="center"/>
              <w:rPr>
                <w:b/>
                <w:sz w:val="20"/>
                <w:szCs w:val="20"/>
                <w:lang w:val="en-US"/>
              </w:rPr>
            </w:pPr>
            <w:r w:rsidRPr="00F917B6">
              <w:rPr>
                <w:b/>
                <w:sz w:val="20"/>
                <w:szCs w:val="20"/>
                <w:lang w:val="en-US"/>
              </w:rPr>
              <w:t>Water to</w:t>
            </w:r>
            <w:r w:rsidRPr="00F917B6">
              <w:rPr>
                <w:sz w:val="20"/>
                <w:szCs w:val="20"/>
                <w:lang w:val="en-US"/>
              </w:rPr>
              <w:t xml:space="preserve"> </w:t>
            </w:r>
            <w:r w:rsidRPr="00F917B6">
              <w:rPr>
                <w:b/>
                <w:bCs/>
                <w:sz w:val="20"/>
                <w:szCs w:val="20"/>
                <w:lang w:val="en-US"/>
              </w:rPr>
              <w:t>nonvegetative (reproductive) portions of</w:t>
            </w:r>
            <w:r w:rsidRPr="00F917B6">
              <w:rPr>
                <w:b/>
                <w:sz w:val="20"/>
                <w:szCs w:val="20"/>
                <w:lang w:val="en-US"/>
              </w:rPr>
              <w:t xml:space="preserve"> food crops and feed plants</w:t>
            </w:r>
          </w:p>
          <w:p w14:paraId="30EDF2E6" w14:textId="77777777" w:rsidR="00164B53" w:rsidRPr="00F917B6" w:rsidRDefault="00164B53" w:rsidP="00164B53">
            <w:pPr>
              <w:spacing w:line="276" w:lineRule="auto"/>
              <w:jc w:val="center"/>
              <w:rPr>
                <w:b/>
                <w:sz w:val="20"/>
                <w:szCs w:val="20"/>
                <w:lang w:val="en-US"/>
              </w:rPr>
            </w:pPr>
            <w:r w:rsidRPr="00F917B6">
              <w:rPr>
                <w:i/>
                <w:iCs/>
                <w:sz w:val="20"/>
                <w:szCs w:val="20"/>
                <w:lang w:val="en-US"/>
              </w:rPr>
              <w:t xml:space="preserve">Reference: </w:t>
            </w:r>
            <w:r w:rsidRPr="00F917B6">
              <w:rPr>
                <w:bCs/>
                <w:sz w:val="20"/>
                <w:szCs w:val="20"/>
                <w:vertAlign w:val="superscript"/>
                <w:lang w:val="en-US"/>
              </w:rPr>
              <w:t>c</w:t>
            </w:r>
          </w:p>
        </w:tc>
        <w:tc>
          <w:tcPr>
            <w:tcW w:w="1106" w:type="dxa"/>
            <w:tcBorders>
              <w:top w:val="single" w:sz="4" w:space="0" w:color="auto"/>
              <w:bottom w:val="double" w:sz="4" w:space="0" w:color="auto"/>
            </w:tcBorders>
            <w:vAlign w:val="center"/>
          </w:tcPr>
          <w:p w14:paraId="338C2118" w14:textId="5FA3B51C"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double" w:sz="4" w:space="0" w:color="auto"/>
            </w:tcBorders>
            <w:vAlign w:val="center"/>
          </w:tcPr>
          <w:p w14:paraId="21DE70C2" w14:textId="4BD066EF"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double" w:sz="4" w:space="0" w:color="auto"/>
            </w:tcBorders>
            <w:vAlign w:val="center"/>
          </w:tcPr>
          <w:p w14:paraId="6D98908D" w14:textId="6FB73D9D"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double" w:sz="4" w:space="0" w:color="auto"/>
            </w:tcBorders>
            <w:vAlign w:val="center"/>
          </w:tcPr>
          <w:p w14:paraId="10EE5568" w14:textId="56273734"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224F24B7" w14:textId="1C91B973"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51404138" w14:textId="04CB551E"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double" w:sz="4" w:space="0" w:color="auto"/>
            </w:tcBorders>
            <w:vAlign w:val="center"/>
          </w:tcPr>
          <w:p w14:paraId="2912D8C9" w14:textId="5FA96D58"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double" w:sz="4" w:space="0" w:color="auto"/>
            </w:tcBorders>
            <w:vAlign w:val="center"/>
          </w:tcPr>
          <w:p w14:paraId="53136FE2" w14:textId="1B24FC35"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double" w:sz="4" w:space="0" w:color="auto"/>
            </w:tcBorders>
            <w:vAlign w:val="center"/>
          </w:tcPr>
          <w:p w14:paraId="2BB81B47" w14:textId="322A4850"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double" w:sz="4" w:space="0" w:color="auto"/>
            </w:tcBorders>
            <w:vAlign w:val="center"/>
          </w:tcPr>
          <w:p w14:paraId="50FB3507" w14:textId="61D7E2F2" w:rsidR="00164B53" w:rsidRPr="00F917B6" w:rsidRDefault="00164B53" w:rsidP="00164B53">
            <w:pPr>
              <w:spacing w:line="276" w:lineRule="auto"/>
              <w:jc w:val="center"/>
              <w:rPr>
                <w:bCs/>
                <w:sz w:val="20"/>
                <w:szCs w:val="20"/>
                <w:lang w:val="en-US"/>
              </w:rPr>
            </w:pPr>
          </w:p>
        </w:tc>
      </w:tr>
    </w:tbl>
    <w:p w14:paraId="67627AC6" w14:textId="77777777" w:rsidR="0015508B" w:rsidRPr="00FF23ED" w:rsidRDefault="0015508B" w:rsidP="0015508B">
      <w:pPr>
        <w:spacing w:after="0"/>
        <w:ind w:left="709" w:right="797"/>
        <w:jc w:val="both"/>
        <w:rPr>
          <w:bCs/>
          <w:iCs/>
          <w:sz w:val="20"/>
          <w:szCs w:val="16"/>
          <w:lang w:val="en-US"/>
        </w:rPr>
      </w:pPr>
      <w:proofErr w:type="spellStart"/>
      <w:r w:rsidRPr="00426F20">
        <w:rPr>
          <w:bCs/>
          <w:iCs/>
          <w:sz w:val="20"/>
          <w:szCs w:val="16"/>
          <w:vertAlign w:val="superscript"/>
          <w:lang w:val="en-US"/>
        </w:rPr>
        <w:t>a</w:t>
      </w:r>
      <w:proofErr w:type="spellEnd"/>
      <w:r w:rsidRPr="00426F20">
        <w:rPr>
          <w:bCs/>
          <w:iCs/>
          <w:sz w:val="20"/>
          <w:szCs w:val="16"/>
          <w:lang w:val="en-US"/>
        </w:rPr>
        <w:t xml:space="preserve">  In the reference Baes III et al. </w:t>
      </w:r>
      <w:r w:rsidRPr="00FF23ED">
        <w:rPr>
          <w:bCs/>
          <w:iCs/>
          <w:sz w:val="20"/>
          <w:szCs w:val="16"/>
          <w:lang w:val="en-US"/>
        </w:rPr>
        <w:fldChar w:fldCharType="begin" w:fldLock="1"/>
      </w:r>
      <w:r w:rsidRPr="00426F20">
        <w:rPr>
          <w:bCs/>
          <w:iCs/>
          <w:sz w:val="20"/>
          <w:szCs w:val="16"/>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w:instrText>
      </w:r>
      <w:r w:rsidRPr="00FF23ED">
        <w:rPr>
          <w:bCs/>
          <w:iCs/>
          <w:sz w:val="20"/>
          <w:szCs w:val="16"/>
          <w:lang w:val="en-US"/>
        </w:rPr>
        <w:instrText xml:space="preserve">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iCs/>
          <w:sz w:val="20"/>
          <w:szCs w:val="16"/>
          <w:lang w:val="en-US"/>
        </w:rPr>
        <w:fldChar w:fldCharType="separate"/>
      </w:r>
      <w:r w:rsidRPr="00FF23ED">
        <w:rPr>
          <w:bCs/>
          <w:iCs/>
          <w:noProof/>
          <w:sz w:val="20"/>
          <w:szCs w:val="16"/>
          <w:lang w:val="en-US"/>
        </w:rPr>
        <w:t>(1984)</w:t>
      </w:r>
      <w:r w:rsidRPr="00FF23ED">
        <w:rPr>
          <w:bCs/>
          <w:iCs/>
          <w:sz w:val="20"/>
          <w:szCs w:val="16"/>
          <w:lang w:val="en-US"/>
        </w:rPr>
        <w:fldChar w:fldCharType="end"/>
      </w:r>
      <w:r w:rsidRPr="00FF23ED">
        <w:rPr>
          <w:bCs/>
          <w:iCs/>
          <w:sz w:val="20"/>
          <w:szCs w:val="16"/>
          <w:lang w:val="en-US"/>
        </w:rPr>
        <w:t xml:space="preserve"> </w:t>
      </w:r>
      <w:r w:rsidRPr="00FF23ED">
        <w:rPr>
          <w:bCs/>
          <w:i/>
          <w:sz w:val="20"/>
          <w:szCs w:val="16"/>
          <w:lang w:val="en-US"/>
        </w:rPr>
        <w:t>BTF</w:t>
      </w:r>
      <w:r w:rsidRPr="00FF23ED">
        <w:rPr>
          <w:bCs/>
          <w:iCs/>
          <w:sz w:val="20"/>
          <w:szCs w:val="16"/>
          <w:lang w:val="en-US"/>
        </w:rPr>
        <w:t xml:space="preserve"> for cattle meat and milk does not depend on the type of matrix ingested by the animal (water, soil or food);</w:t>
      </w:r>
    </w:p>
    <w:p w14:paraId="480CDD17" w14:textId="77777777" w:rsidR="0015508B" w:rsidRPr="00FF23ED" w:rsidRDefault="0015508B" w:rsidP="0015508B">
      <w:pPr>
        <w:spacing w:after="0"/>
        <w:ind w:left="709" w:right="797"/>
        <w:jc w:val="both"/>
        <w:rPr>
          <w:bCs/>
          <w:iCs/>
          <w:sz w:val="20"/>
          <w:szCs w:val="20"/>
          <w:lang w:val="en-US"/>
        </w:rPr>
      </w:pPr>
      <w:proofErr w:type="gramStart"/>
      <w:r w:rsidRPr="00FF23ED">
        <w:rPr>
          <w:bCs/>
          <w:iCs/>
          <w:sz w:val="20"/>
          <w:szCs w:val="16"/>
          <w:vertAlign w:val="superscript"/>
          <w:lang w:val="en-US"/>
        </w:rPr>
        <w:t>b</w:t>
      </w:r>
      <w:r w:rsidRPr="00FF23ED">
        <w:rPr>
          <w:bCs/>
          <w:iCs/>
          <w:sz w:val="20"/>
          <w:szCs w:val="16"/>
          <w:lang w:val="en-US"/>
        </w:rPr>
        <w:t xml:space="preserve">  </w:t>
      </w:r>
      <w:r w:rsidRPr="00FF23ED">
        <w:rPr>
          <w:rStyle w:val="tlid-translation"/>
          <w:sz w:val="20"/>
          <w:szCs w:val="20"/>
          <w:lang w:val="en-US"/>
        </w:rPr>
        <w:t>It</w:t>
      </w:r>
      <w:proofErr w:type="gramEnd"/>
      <w:r w:rsidRPr="00FF23ED">
        <w:rPr>
          <w:rStyle w:val="tlid-translation"/>
          <w:sz w:val="20"/>
          <w:szCs w:val="20"/>
          <w:lang w:val="en-US"/>
        </w:rPr>
        <w:t xml:space="preserve">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vegetative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vegetative portions of food crops and feed plants</w:t>
      </w:r>
      <w:r w:rsidRPr="00FF23ED">
        <w:rPr>
          <w:bCs/>
          <w:iCs/>
          <w:sz w:val="20"/>
          <w:szCs w:val="20"/>
          <w:lang w:val="en-US"/>
        </w:rPr>
        <w:t>;</w:t>
      </w:r>
    </w:p>
    <w:p w14:paraId="308A890F" w14:textId="77777777" w:rsidR="0015508B" w:rsidRPr="00127214" w:rsidRDefault="0015508B" w:rsidP="0015508B">
      <w:pPr>
        <w:spacing w:after="0"/>
        <w:ind w:left="709" w:right="797"/>
        <w:jc w:val="both"/>
        <w:rPr>
          <w:bCs/>
          <w:iCs/>
          <w:sz w:val="20"/>
          <w:szCs w:val="16"/>
          <w:lang w:val="en-US"/>
        </w:rPr>
      </w:pPr>
      <w:proofErr w:type="gramStart"/>
      <w:r w:rsidRPr="00FF23ED">
        <w:rPr>
          <w:bCs/>
          <w:iCs/>
          <w:sz w:val="20"/>
          <w:szCs w:val="16"/>
          <w:vertAlign w:val="superscript"/>
          <w:lang w:val="en-US"/>
        </w:rPr>
        <w:t>c</w:t>
      </w:r>
      <w:r w:rsidRPr="00FF23ED">
        <w:rPr>
          <w:bCs/>
          <w:iCs/>
          <w:sz w:val="20"/>
          <w:szCs w:val="16"/>
          <w:lang w:val="en-US"/>
        </w:rPr>
        <w:t xml:space="preserve">  </w:t>
      </w:r>
      <w:r w:rsidRPr="00FF23ED">
        <w:rPr>
          <w:rStyle w:val="tlid-translation"/>
          <w:sz w:val="20"/>
          <w:szCs w:val="20"/>
          <w:lang w:val="en-US"/>
        </w:rPr>
        <w:t>It</w:t>
      </w:r>
      <w:proofErr w:type="gramEnd"/>
      <w:r w:rsidRPr="00FF23ED">
        <w:rPr>
          <w:rStyle w:val="tlid-translation"/>
          <w:sz w:val="20"/>
          <w:szCs w:val="20"/>
          <w:lang w:val="en-US"/>
        </w:rPr>
        <w:t xml:space="preserve">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nonvegetative (reproductive)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nonvegetative (reproductive) portions of food crops and feed plants</w:t>
      </w:r>
      <w:r w:rsidRPr="00D070AF">
        <w:rPr>
          <w:bCs/>
          <w:iCs/>
          <w:sz w:val="20"/>
          <w:szCs w:val="20"/>
          <w:lang w:val="en-US"/>
        </w:rPr>
        <w:t>;</w:t>
      </w:r>
    </w:p>
    <w:p w14:paraId="4DB8C5C9" w14:textId="77777777" w:rsidR="0015508B" w:rsidRPr="00127214" w:rsidRDefault="0015508B" w:rsidP="0015508B">
      <w:pPr>
        <w:spacing w:after="0"/>
        <w:jc w:val="both"/>
        <w:rPr>
          <w:bCs/>
          <w:iCs/>
          <w:sz w:val="20"/>
          <w:szCs w:val="16"/>
          <w:lang w:val="en-US"/>
        </w:rPr>
      </w:pPr>
    </w:p>
    <w:p w14:paraId="448898D8" w14:textId="77777777" w:rsidR="0015508B" w:rsidRDefault="0015508B" w:rsidP="0015508B">
      <w:pPr>
        <w:ind w:left="142" w:hanging="142"/>
        <w:jc w:val="both"/>
        <w:rPr>
          <w:bCs/>
          <w:iCs/>
          <w:sz w:val="20"/>
          <w:szCs w:val="16"/>
          <w:lang w:val="en-US"/>
        </w:rPr>
      </w:pPr>
    </w:p>
    <w:p w14:paraId="475C74BA" w14:textId="77777777" w:rsidR="0015508B" w:rsidRPr="003B664B" w:rsidRDefault="0015508B" w:rsidP="0015508B">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0F6F0BE" w14:textId="77777777" w:rsidR="0015508B" w:rsidRDefault="0015508B" w:rsidP="0015508B">
      <w:pPr>
        <w:ind w:left="142" w:hanging="142"/>
        <w:jc w:val="both"/>
        <w:rPr>
          <w:bCs/>
          <w:iCs/>
          <w:sz w:val="20"/>
          <w:szCs w:val="16"/>
          <w:lang w:val="en-US"/>
        </w:rPr>
      </w:pPr>
      <w:r>
        <w:rPr>
          <w:bCs/>
          <w:iCs/>
          <w:sz w:val="20"/>
          <w:szCs w:val="16"/>
          <w:lang w:val="en-US"/>
        </w:rPr>
        <w:br w:type="page"/>
      </w:r>
    </w:p>
    <w:p w14:paraId="45C86DB3" w14:textId="6ADB7E6A" w:rsidR="001353ED" w:rsidRPr="001B3451" w:rsidRDefault="001B3451" w:rsidP="001B3451">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10</w:t>
      </w:r>
      <w:r>
        <w:rPr>
          <w:sz w:val="28"/>
          <w:lang w:val="en-US"/>
        </w:rPr>
        <w:t xml:space="preserve"> – Some </w:t>
      </w:r>
      <w:r w:rsidRPr="001B3451">
        <w:rPr>
          <w:sz w:val="28"/>
          <w:lang w:val="en-US"/>
        </w:rPr>
        <w:t>parameters</w:t>
      </w:r>
      <w:r>
        <w:rPr>
          <w:i/>
          <w:iCs/>
          <w:sz w:val="28"/>
          <w:lang w:val="en-US"/>
        </w:rPr>
        <w:t xml:space="preserve"> </w:t>
      </w:r>
      <w:r>
        <w:rPr>
          <w:sz w:val="28"/>
          <w:lang w:val="en-US"/>
        </w:rPr>
        <w:t>values</w:t>
      </w:r>
      <w:r w:rsidRPr="0017539F">
        <w:rPr>
          <w:sz w:val="28"/>
          <w:lang w:val="en-US"/>
        </w:rPr>
        <w:t xml:space="preserve"> used in </w:t>
      </w:r>
      <w:r>
        <w:rPr>
          <w:sz w:val="28"/>
          <w:lang w:val="en-US"/>
        </w:rPr>
        <w:t xml:space="preserve">the transport </w:t>
      </w:r>
      <w:r>
        <w:rPr>
          <w:rStyle w:val="tlid-translation"/>
          <w:color w:val="000000" w:themeColor="text1"/>
          <w:sz w:val="28"/>
          <w:lang w:val="en-US"/>
        </w:rPr>
        <w:t>m</w:t>
      </w:r>
      <w:r w:rsidRPr="0040297C">
        <w:rPr>
          <w:rStyle w:val="tlid-translation"/>
          <w:color w:val="000000" w:themeColor="text1"/>
          <w:sz w:val="28"/>
          <w:lang w:val="en-US"/>
        </w:rPr>
        <w:t>odeling</w:t>
      </w:r>
    </w:p>
    <w:tbl>
      <w:tblPr>
        <w:tblStyle w:val="Tabelacomgrade"/>
        <w:tblW w:w="9735"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2002"/>
        <w:gridCol w:w="3269"/>
      </w:tblGrid>
      <w:tr w:rsidR="009C43D3" w:rsidRPr="00E90906" w14:paraId="27F7538F" w14:textId="77777777" w:rsidTr="001B3451">
        <w:trPr>
          <w:trHeight w:val="303"/>
          <w:jc w:val="center"/>
        </w:trPr>
        <w:tc>
          <w:tcPr>
            <w:tcW w:w="4464" w:type="dxa"/>
            <w:tcBorders>
              <w:top w:val="double" w:sz="4" w:space="0" w:color="auto"/>
              <w:bottom w:val="double" w:sz="4" w:space="0" w:color="auto"/>
            </w:tcBorders>
          </w:tcPr>
          <w:p w14:paraId="352549C3" w14:textId="77777777" w:rsidR="009C43D3" w:rsidRPr="002209AE" w:rsidRDefault="003935A2" w:rsidP="001353ED">
            <w:pPr>
              <w:jc w:val="center"/>
              <w:rPr>
                <w:b/>
                <w:i/>
                <w:iCs/>
                <w:sz w:val="20"/>
                <w:szCs w:val="20"/>
                <w:lang w:val="en-US"/>
              </w:rPr>
            </w:pPr>
            <w:r>
              <w:rPr>
                <w:b/>
                <w:i/>
                <w:iCs/>
                <w:sz w:val="20"/>
                <w:szCs w:val="20"/>
                <w:lang w:val="en-US"/>
              </w:rPr>
              <w:t>Parameters</w:t>
            </w:r>
          </w:p>
        </w:tc>
        <w:tc>
          <w:tcPr>
            <w:tcW w:w="2002" w:type="dxa"/>
            <w:tcBorders>
              <w:top w:val="double" w:sz="4" w:space="0" w:color="auto"/>
              <w:bottom w:val="double" w:sz="4" w:space="0" w:color="auto"/>
            </w:tcBorders>
          </w:tcPr>
          <w:p w14:paraId="728BA098" w14:textId="77777777" w:rsidR="009C43D3" w:rsidRPr="001353ED" w:rsidRDefault="009C43D3" w:rsidP="001353ED">
            <w:pPr>
              <w:jc w:val="center"/>
              <w:rPr>
                <w:b/>
                <w:i/>
                <w:iCs/>
                <w:sz w:val="20"/>
                <w:szCs w:val="20"/>
                <w:lang w:val="en-US"/>
              </w:rPr>
            </w:pPr>
            <w:r>
              <w:rPr>
                <w:b/>
                <w:i/>
                <w:iCs/>
                <w:sz w:val="20"/>
                <w:szCs w:val="20"/>
                <w:lang w:val="en-US"/>
              </w:rPr>
              <w:t>Value</w:t>
            </w:r>
          </w:p>
        </w:tc>
        <w:tc>
          <w:tcPr>
            <w:tcW w:w="3269" w:type="dxa"/>
            <w:tcBorders>
              <w:top w:val="double" w:sz="4" w:space="0" w:color="auto"/>
              <w:bottom w:val="double" w:sz="4" w:space="0" w:color="auto"/>
            </w:tcBorders>
          </w:tcPr>
          <w:p w14:paraId="719CD07E" w14:textId="77777777" w:rsidR="009C43D3" w:rsidRPr="0048363F" w:rsidRDefault="009C43D3" w:rsidP="001353ED">
            <w:pPr>
              <w:jc w:val="center"/>
              <w:rPr>
                <w:b/>
                <w:sz w:val="20"/>
                <w:szCs w:val="20"/>
                <w:lang w:val="en-US"/>
              </w:rPr>
            </w:pPr>
            <w:r>
              <w:rPr>
                <w:b/>
                <w:sz w:val="20"/>
                <w:szCs w:val="20"/>
                <w:lang w:val="en-US"/>
              </w:rPr>
              <w:t>Reference</w:t>
            </w:r>
          </w:p>
        </w:tc>
      </w:tr>
      <w:tr w:rsidR="009C43D3" w:rsidRPr="00F95B47" w14:paraId="7CAAB243" w14:textId="77777777" w:rsidTr="001B3451">
        <w:trPr>
          <w:trHeight w:val="303"/>
          <w:jc w:val="center"/>
        </w:trPr>
        <w:tc>
          <w:tcPr>
            <w:tcW w:w="4464" w:type="dxa"/>
            <w:tcBorders>
              <w:top w:val="double" w:sz="4" w:space="0" w:color="auto"/>
            </w:tcBorders>
            <w:vAlign w:val="center"/>
          </w:tcPr>
          <w:p w14:paraId="564D4A13" w14:textId="369422B3" w:rsidR="009C43D3" w:rsidRPr="00555D10" w:rsidRDefault="003935A2" w:rsidP="001353ED">
            <w:pPr>
              <w:spacing w:line="276" w:lineRule="auto"/>
              <w:jc w:val="center"/>
              <w:rPr>
                <w:bCs/>
                <w:sz w:val="20"/>
                <w:szCs w:val="20"/>
                <w:lang w:val="en-US"/>
              </w:rPr>
            </w:pPr>
            <w:r w:rsidRPr="003935A2">
              <w:rPr>
                <w:bCs/>
                <w:i/>
                <w:iCs/>
                <w:sz w:val="20"/>
                <w:szCs w:val="20"/>
                <w:lang w:val="en-US"/>
              </w:rPr>
              <w:t>IR</w:t>
            </w:r>
            <w:r>
              <w:rPr>
                <w:bCs/>
                <w:i/>
                <w:iCs/>
                <w:sz w:val="20"/>
                <w:szCs w:val="20"/>
                <w:lang w:val="en-US"/>
              </w:rPr>
              <w:t xml:space="preserve"> </w:t>
            </w:r>
            <w:r w:rsidR="009C43D3" w:rsidRPr="003935A2">
              <w:rPr>
                <w:bCs/>
                <w:i/>
                <w:iCs/>
                <w:sz w:val="20"/>
                <w:szCs w:val="20"/>
                <w:vertAlign w:val="subscript"/>
                <w:lang w:val="en-US"/>
              </w:rPr>
              <w:t>Water</w:t>
            </w:r>
            <w:r w:rsidR="00555D10" w:rsidRPr="003935A2">
              <w:rPr>
                <w:bCs/>
                <w:i/>
                <w:iCs/>
                <w:sz w:val="20"/>
                <w:szCs w:val="20"/>
                <w:vertAlign w:val="subscript"/>
                <w:lang w:val="en-US"/>
              </w:rPr>
              <w:t>–</w:t>
            </w:r>
            <w:r w:rsidR="00EA574A">
              <w:rPr>
                <w:bCs/>
                <w:i/>
                <w:iCs/>
                <w:sz w:val="20"/>
                <w:szCs w:val="20"/>
                <w:vertAlign w:val="subscript"/>
                <w:lang w:val="en-US"/>
              </w:rPr>
              <w:t xml:space="preserve">beef </w:t>
            </w:r>
            <w:r w:rsidR="009C43D3" w:rsidRPr="003935A2">
              <w:rPr>
                <w:bCs/>
                <w:i/>
                <w:iCs/>
                <w:sz w:val="20"/>
                <w:szCs w:val="20"/>
                <w:vertAlign w:val="subscript"/>
                <w:lang w:val="en-US"/>
              </w:rPr>
              <w:t>cattle</w:t>
            </w:r>
            <w:r w:rsidR="009C43D3" w:rsidRPr="00555D10">
              <w:rPr>
                <w:bCs/>
                <w:sz w:val="20"/>
                <w:szCs w:val="20"/>
                <w:lang w:val="en-US"/>
              </w:rPr>
              <w:t xml:space="preserve"> (L day</w:t>
            </w:r>
            <w:r w:rsidR="009C43D3" w:rsidRPr="00555D10">
              <w:rPr>
                <w:bCs/>
                <w:sz w:val="20"/>
                <w:szCs w:val="20"/>
                <w:vertAlign w:val="superscript"/>
                <w:lang w:val="en-US"/>
              </w:rPr>
              <w:t>-1</w:t>
            </w:r>
            <w:r w:rsidR="009C43D3" w:rsidRPr="00555D10">
              <w:rPr>
                <w:bCs/>
                <w:sz w:val="20"/>
                <w:szCs w:val="20"/>
                <w:lang w:val="en-US"/>
              </w:rPr>
              <w:t>)</w:t>
            </w:r>
          </w:p>
        </w:tc>
        <w:tc>
          <w:tcPr>
            <w:tcW w:w="2002" w:type="dxa"/>
            <w:tcBorders>
              <w:top w:val="double" w:sz="4" w:space="0" w:color="auto"/>
            </w:tcBorders>
            <w:vAlign w:val="center"/>
          </w:tcPr>
          <w:p w14:paraId="6E1F8C6C" w14:textId="77777777" w:rsidR="009C43D3" w:rsidRPr="002209AE" w:rsidRDefault="009C43D3" w:rsidP="001353ED">
            <w:pPr>
              <w:spacing w:line="276" w:lineRule="auto"/>
              <w:jc w:val="center"/>
              <w:rPr>
                <w:bCs/>
                <w:sz w:val="20"/>
                <w:szCs w:val="20"/>
                <w:lang w:val="en-US"/>
              </w:rPr>
            </w:pPr>
            <w:r>
              <w:rPr>
                <w:bCs/>
                <w:sz w:val="20"/>
                <w:szCs w:val="20"/>
                <w:lang w:val="en-US"/>
              </w:rPr>
              <w:t>50.0</w:t>
            </w:r>
          </w:p>
        </w:tc>
        <w:tc>
          <w:tcPr>
            <w:tcW w:w="3269" w:type="dxa"/>
            <w:tcBorders>
              <w:top w:val="double" w:sz="4" w:space="0" w:color="auto"/>
            </w:tcBorders>
            <w:vAlign w:val="center"/>
          </w:tcPr>
          <w:p w14:paraId="4B5AFD0D" w14:textId="77777777" w:rsidR="009C43D3" w:rsidRPr="002209AE" w:rsidRDefault="009C43D3" w:rsidP="001353ED">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127214">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5B6BEC" w14:paraId="31356AFC" w14:textId="77777777" w:rsidTr="001B3451">
        <w:trPr>
          <w:trHeight w:val="303"/>
          <w:jc w:val="center"/>
        </w:trPr>
        <w:tc>
          <w:tcPr>
            <w:tcW w:w="4464" w:type="dxa"/>
            <w:vAlign w:val="center"/>
          </w:tcPr>
          <w:p w14:paraId="62313774" w14:textId="5A1B281A" w:rsidR="00EA574A" w:rsidRPr="003935A2" w:rsidRDefault="00EA574A" w:rsidP="00EA574A">
            <w:pPr>
              <w:spacing w:line="276" w:lineRule="auto"/>
              <w:jc w:val="center"/>
              <w:rPr>
                <w:bCs/>
                <w:i/>
                <w:iCs/>
                <w:sz w:val="20"/>
                <w:szCs w:val="20"/>
                <w:lang w:val="en-US"/>
              </w:rPr>
            </w:pPr>
            <w:r w:rsidRPr="003935A2">
              <w:rPr>
                <w:bCs/>
                <w:i/>
                <w:iCs/>
                <w:sz w:val="20"/>
                <w:szCs w:val="20"/>
                <w:lang w:val="en-US"/>
              </w:rPr>
              <w:t>IR</w:t>
            </w:r>
            <w:r>
              <w:rPr>
                <w:bCs/>
                <w:i/>
                <w:iCs/>
                <w:sz w:val="20"/>
                <w:szCs w:val="20"/>
                <w:lang w:val="en-US"/>
              </w:rPr>
              <w:t xml:space="preserve"> </w:t>
            </w:r>
            <w:r w:rsidRPr="003935A2">
              <w:rPr>
                <w:bCs/>
                <w:i/>
                <w:iCs/>
                <w:sz w:val="20"/>
                <w:szCs w:val="20"/>
                <w:vertAlign w:val="subscript"/>
                <w:lang w:val="en-US"/>
              </w:rPr>
              <w:t>Water–</w:t>
            </w:r>
            <w:r>
              <w:rPr>
                <w:bCs/>
                <w:i/>
                <w:iCs/>
                <w:sz w:val="20"/>
                <w:szCs w:val="20"/>
                <w:vertAlign w:val="subscript"/>
                <w:lang w:val="en-US"/>
              </w:rPr>
              <w:t xml:space="preserve">dairy </w:t>
            </w:r>
            <w:r w:rsidRPr="003935A2">
              <w:rPr>
                <w:bCs/>
                <w:i/>
                <w:iCs/>
                <w:sz w:val="20"/>
                <w:szCs w:val="20"/>
                <w:vertAlign w:val="subscript"/>
                <w:lang w:val="en-US"/>
              </w:rPr>
              <w:t>cattle</w:t>
            </w:r>
            <w:r w:rsidRPr="00555D10">
              <w:rPr>
                <w:bCs/>
                <w:sz w:val="20"/>
                <w:szCs w:val="20"/>
                <w:lang w:val="en-US"/>
              </w:rPr>
              <w:t xml:space="preserve"> (L day</w:t>
            </w:r>
            <w:r w:rsidRPr="00555D10">
              <w:rPr>
                <w:bCs/>
                <w:sz w:val="20"/>
                <w:szCs w:val="20"/>
                <w:vertAlign w:val="superscript"/>
                <w:lang w:val="en-US"/>
              </w:rPr>
              <w:t>-1</w:t>
            </w:r>
            <w:r w:rsidRPr="00555D10">
              <w:rPr>
                <w:bCs/>
                <w:sz w:val="20"/>
                <w:szCs w:val="20"/>
                <w:lang w:val="en-US"/>
              </w:rPr>
              <w:t>)</w:t>
            </w:r>
          </w:p>
        </w:tc>
        <w:tc>
          <w:tcPr>
            <w:tcW w:w="2002" w:type="dxa"/>
            <w:vAlign w:val="center"/>
          </w:tcPr>
          <w:p w14:paraId="152941EC" w14:textId="116FC10A" w:rsidR="00EA574A" w:rsidRDefault="00EA574A" w:rsidP="00EA574A">
            <w:pPr>
              <w:spacing w:line="276" w:lineRule="auto"/>
              <w:jc w:val="center"/>
              <w:rPr>
                <w:bCs/>
                <w:sz w:val="20"/>
                <w:szCs w:val="20"/>
                <w:lang w:val="en-US"/>
              </w:rPr>
            </w:pPr>
            <w:r>
              <w:rPr>
                <w:bCs/>
                <w:sz w:val="20"/>
                <w:szCs w:val="20"/>
                <w:lang w:val="en-US"/>
              </w:rPr>
              <w:t>90.0</w:t>
            </w:r>
          </w:p>
        </w:tc>
        <w:tc>
          <w:tcPr>
            <w:tcW w:w="3269" w:type="dxa"/>
            <w:vAlign w:val="center"/>
          </w:tcPr>
          <w:p w14:paraId="6AD2B9F9" w14:textId="665BA9CD" w:rsidR="00EA574A"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49A748CE" w14:textId="77777777" w:rsidTr="001B3451">
        <w:trPr>
          <w:trHeight w:val="303"/>
          <w:jc w:val="center"/>
        </w:trPr>
        <w:tc>
          <w:tcPr>
            <w:tcW w:w="4464" w:type="dxa"/>
            <w:vAlign w:val="center"/>
          </w:tcPr>
          <w:p w14:paraId="3B85ACAD" w14:textId="77777777" w:rsidR="00EA574A" w:rsidRPr="00555D10" w:rsidRDefault="00EA574A" w:rsidP="00EA574A">
            <w:pPr>
              <w:spacing w:line="276" w:lineRule="auto"/>
              <w:jc w:val="center"/>
              <w:rPr>
                <w:bCs/>
                <w:sz w:val="20"/>
                <w:szCs w:val="20"/>
                <w:lang w:val="en-US"/>
              </w:rPr>
            </w:pPr>
            <w:r>
              <w:rPr>
                <w:bCs/>
                <w:i/>
                <w:iCs/>
                <w:sz w:val="20"/>
                <w:szCs w:val="20"/>
                <w:lang w:val="en-US"/>
              </w:rPr>
              <w:t xml:space="preserve">IR </w:t>
            </w:r>
            <w:r w:rsidRPr="003935A2">
              <w:rPr>
                <w:bCs/>
                <w:i/>
                <w:iCs/>
                <w:sz w:val="20"/>
                <w:szCs w:val="20"/>
                <w:vertAlign w:val="subscript"/>
                <w:lang w:val="en-US"/>
              </w:rPr>
              <w:t>soil–cattle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123E37E6" w14:textId="77777777" w:rsidR="00EA574A" w:rsidRPr="002209AE" w:rsidRDefault="00EA574A" w:rsidP="00EA574A">
            <w:pPr>
              <w:spacing w:line="276" w:lineRule="auto"/>
              <w:jc w:val="center"/>
              <w:rPr>
                <w:bCs/>
                <w:sz w:val="20"/>
                <w:szCs w:val="20"/>
                <w:lang w:val="en-US"/>
              </w:rPr>
            </w:pPr>
            <w:r>
              <w:rPr>
                <w:bCs/>
                <w:sz w:val="20"/>
                <w:szCs w:val="20"/>
                <w:lang w:val="en-US"/>
              </w:rPr>
              <w:t>0.99</w:t>
            </w:r>
          </w:p>
        </w:tc>
        <w:tc>
          <w:tcPr>
            <w:tcW w:w="3269" w:type="dxa"/>
            <w:vAlign w:val="center"/>
          </w:tcPr>
          <w:p w14:paraId="77F33E3B" w14:textId="77777777" w:rsidR="00EA574A" w:rsidRPr="002209AE"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3726C565" w14:textId="77777777" w:rsidTr="001B3451">
        <w:trPr>
          <w:trHeight w:val="303"/>
          <w:jc w:val="center"/>
        </w:trPr>
        <w:tc>
          <w:tcPr>
            <w:tcW w:w="4464" w:type="dxa"/>
            <w:vAlign w:val="center"/>
          </w:tcPr>
          <w:p w14:paraId="31A0EBEA"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Pr>
                <w:bCs/>
                <w:i/>
                <w:iCs/>
                <w:sz w:val="20"/>
                <w:szCs w:val="20"/>
                <w:vertAlign w:val="subscript"/>
                <w:lang w:val="en-US"/>
              </w:rPr>
              <w:t xml:space="preserve">beef </w:t>
            </w:r>
            <w:r w:rsidRPr="003935A2">
              <w:rPr>
                <w:bCs/>
                <w:i/>
                <w:iCs/>
                <w:sz w:val="20"/>
                <w:szCs w:val="20"/>
                <w:vertAlign w:val="subscript"/>
                <w:lang w:val="en-US"/>
              </w:rPr>
              <w:t>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5874B20" w14:textId="77777777" w:rsidR="00EA574A" w:rsidRPr="003935A2" w:rsidRDefault="00EA574A" w:rsidP="00EA574A">
            <w:pPr>
              <w:spacing w:line="276" w:lineRule="auto"/>
              <w:jc w:val="center"/>
              <w:rPr>
                <w:bCs/>
                <w:sz w:val="20"/>
                <w:szCs w:val="20"/>
                <w:lang w:val="en-US"/>
              </w:rPr>
            </w:pPr>
            <w:r>
              <w:rPr>
                <w:bCs/>
                <w:sz w:val="20"/>
                <w:szCs w:val="20"/>
                <w:lang w:val="en-US"/>
              </w:rPr>
              <w:t>7.2</w:t>
            </w:r>
          </w:p>
        </w:tc>
        <w:tc>
          <w:tcPr>
            <w:tcW w:w="3269" w:type="dxa"/>
            <w:vAlign w:val="center"/>
          </w:tcPr>
          <w:p w14:paraId="3259B9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8275111" w14:textId="77777777" w:rsidTr="001B3451">
        <w:trPr>
          <w:trHeight w:val="303"/>
          <w:jc w:val="center"/>
        </w:trPr>
        <w:tc>
          <w:tcPr>
            <w:tcW w:w="4464" w:type="dxa"/>
            <w:vAlign w:val="center"/>
          </w:tcPr>
          <w:p w14:paraId="656F8849"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sidRPr="0029576C">
              <w:rPr>
                <w:rStyle w:val="tlid-translation"/>
                <w:i/>
                <w:iCs/>
                <w:sz w:val="20"/>
                <w:szCs w:val="22"/>
                <w:vertAlign w:val="subscript"/>
                <w:lang w:val="en"/>
              </w:rPr>
              <w:t>dairy cattle</w:t>
            </w:r>
            <w:r w:rsidRPr="0029576C">
              <w:rPr>
                <w:bCs/>
                <w:sz w:val="16"/>
                <w:szCs w:val="16"/>
                <w:lang w:val="en-US"/>
              </w:rPr>
              <w:t xml:space="preserve"> </w:t>
            </w:r>
            <w:r>
              <w:rPr>
                <w:bCs/>
                <w:sz w:val="20"/>
                <w:szCs w:val="20"/>
                <w:lang w:val="en-US"/>
              </w:rPr>
              <w:t>(kg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2CC3523" w14:textId="77777777" w:rsidR="00EA574A" w:rsidRPr="003935A2" w:rsidRDefault="00EA574A" w:rsidP="00EA574A">
            <w:pPr>
              <w:spacing w:line="276" w:lineRule="auto"/>
              <w:jc w:val="center"/>
              <w:rPr>
                <w:bCs/>
                <w:sz w:val="20"/>
                <w:szCs w:val="20"/>
                <w:lang w:val="en-US"/>
              </w:rPr>
            </w:pPr>
            <w:r>
              <w:rPr>
                <w:bCs/>
                <w:sz w:val="20"/>
                <w:szCs w:val="20"/>
                <w:lang w:val="en-US"/>
              </w:rPr>
              <w:t>16.1</w:t>
            </w:r>
          </w:p>
        </w:tc>
        <w:tc>
          <w:tcPr>
            <w:tcW w:w="3269" w:type="dxa"/>
            <w:vAlign w:val="center"/>
          </w:tcPr>
          <w:p w14:paraId="6F1F20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64AF766" w14:textId="77777777" w:rsidTr="001B3451">
        <w:trPr>
          <w:trHeight w:val="303"/>
          <w:jc w:val="center"/>
        </w:trPr>
        <w:tc>
          <w:tcPr>
            <w:tcW w:w="4464" w:type="dxa"/>
            <w:vAlign w:val="center"/>
          </w:tcPr>
          <w:p w14:paraId="375DC5FA" w14:textId="77777777" w:rsidR="00EA574A" w:rsidRPr="007D5EDA" w:rsidRDefault="00EA574A" w:rsidP="00EA574A">
            <w:pPr>
              <w:spacing w:line="276" w:lineRule="auto"/>
              <w:jc w:val="center"/>
              <w:rPr>
                <w:bCs/>
                <w:i/>
                <w:iCs/>
                <w:sz w:val="20"/>
                <w:szCs w:val="20"/>
                <w:vertAlign w:val="subscript"/>
                <w:lang w:val="en-US"/>
              </w:rPr>
            </w:pPr>
            <w:r>
              <w:rPr>
                <w:bCs/>
                <w:i/>
                <w:iCs/>
                <w:sz w:val="20"/>
                <w:szCs w:val="20"/>
                <w:lang w:val="en-US"/>
              </w:rPr>
              <w:t>CF</w:t>
            </w:r>
            <w:r>
              <w:rPr>
                <w:bCs/>
                <w:i/>
                <w:iCs/>
                <w:sz w:val="20"/>
                <w:szCs w:val="20"/>
                <w:vertAlign w:val="subscript"/>
                <w:lang w:val="en-US"/>
              </w:rPr>
              <w:t>3</w:t>
            </w:r>
          </w:p>
        </w:tc>
        <w:tc>
          <w:tcPr>
            <w:tcW w:w="2002" w:type="dxa"/>
            <w:vAlign w:val="center"/>
          </w:tcPr>
          <w:p w14:paraId="2380E8A1" w14:textId="77777777" w:rsidR="00EA574A" w:rsidRPr="003935A2" w:rsidRDefault="00EA574A" w:rsidP="00EA574A">
            <w:pPr>
              <w:spacing w:line="276" w:lineRule="auto"/>
              <w:jc w:val="center"/>
              <w:rPr>
                <w:bCs/>
                <w:sz w:val="20"/>
                <w:szCs w:val="20"/>
                <w:lang w:val="en-US"/>
              </w:rPr>
            </w:pPr>
            <w:r>
              <w:rPr>
                <w:bCs/>
                <w:sz w:val="20"/>
                <w:szCs w:val="20"/>
                <w:lang w:val="en-US"/>
              </w:rPr>
              <w:t>0.15</w:t>
            </w:r>
          </w:p>
        </w:tc>
        <w:tc>
          <w:tcPr>
            <w:tcW w:w="3269" w:type="dxa"/>
            <w:vAlign w:val="center"/>
          </w:tcPr>
          <w:p w14:paraId="2369360B" w14:textId="77777777" w:rsidR="00EA574A" w:rsidRPr="003935A2" w:rsidRDefault="00EA574A" w:rsidP="00EA574A">
            <w:pPr>
              <w:spacing w:line="276" w:lineRule="auto"/>
              <w:jc w:val="center"/>
              <w:rPr>
                <w:bCs/>
                <w:sz w:val="20"/>
                <w:szCs w:val="20"/>
                <w:lang w:val="en-US"/>
              </w:rPr>
            </w:pPr>
            <w:r>
              <w:rPr>
                <w:bCs/>
                <w:sz w:val="20"/>
                <w:szCs w:val="20"/>
                <w:lang w:val="en-US"/>
              </w:rPr>
              <w:t xml:space="preserve">U.S. EPA </w:t>
            </w:r>
            <w:r>
              <w:rPr>
                <w:bCs/>
                <w:sz w:val="20"/>
                <w:szCs w:val="20"/>
                <w:lang w:val="en-US"/>
              </w:rPr>
              <w:fldChar w:fldCharType="begin" w:fldLock="1"/>
            </w:r>
            <w:r>
              <w:rPr>
                <w:bCs/>
                <w:sz w:val="20"/>
                <w:szCs w:val="20"/>
                <w:lang w:val="en-US"/>
              </w:rPr>
              <w:instrText>ADDIN CSL_CITATION {"citationItems":[{"id":"ITEM-1","itemData":{"author":[{"dropping-particle":"","family":"U.S. EPA","given":"","non-dropping-particle":"","parse-names":false,"suffix":""}],"container-title":"U.S. Environmental Protection Agency","id":"ITEM-1","issued":{"date-parts":[["1998"]]},"publisher-place":"Washington","title":"Guidelines for ecological risk assessment","type":"report"},"suppress-author":1,"uris":["http://www.mendeley.com/documents/?uuid=24b32096-4b17-4a84-afa7-3b958fe63102"]}],"mendeley":{"formattedCitation":"(1998)","plainTextFormattedCitation":"(1998)","previouslyFormattedCitation":"(1998)"},"properties":{"noteIndex":0},"schema":"https://github.com/citation-style-language/schema/raw/master/csl-citation.json"}</w:instrText>
            </w:r>
            <w:r>
              <w:rPr>
                <w:bCs/>
                <w:sz w:val="20"/>
                <w:szCs w:val="20"/>
                <w:lang w:val="en-US"/>
              </w:rPr>
              <w:fldChar w:fldCharType="separate"/>
            </w:r>
            <w:r w:rsidRPr="002F0518">
              <w:rPr>
                <w:bCs/>
                <w:noProof/>
                <w:sz w:val="20"/>
                <w:szCs w:val="20"/>
                <w:lang w:val="en-US"/>
              </w:rPr>
              <w:t>(1998)</w:t>
            </w:r>
            <w:r>
              <w:rPr>
                <w:bCs/>
                <w:sz w:val="20"/>
                <w:szCs w:val="20"/>
                <w:lang w:val="en-US"/>
              </w:rPr>
              <w:fldChar w:fldCharType="end"/>
            </w:r>
          </w:p>
        </w:tc>
      </w:tr>
      <w:tr w:rsidR="00EA574A" w:rsidRPr="0048363F" w14:paraId="7A19301C" w14:textId="77777777" w:rsidTr="001B3451">
        <w:trPr>
          <w:trHeight w:val="303"/>
          <w:jc w:val="center"/>
        </w:trPr>
        <w:tc>
          <w:tcPr>
            <w:tcW w:w="4464" w:type="dxa"/>
            <w:vAlign w:val="center"/>
          </w:tcPr>
          <w:p w14:paraId="5501CEC2" w14:textId="77777777" w:rsidR="00EA574A" w:rsidRPr="003935A2" w:rsidRDefault="00EA574A" w:rsidP="00EA574A">
            <w:pPr>
              <w:spacing w:line="276" w:lineRule="auto"/>
              <w:jc w:val="center"/>
              <w:rPr>
                <w:bCs/>
                <w:i/>
                <w:iCs/>
                <w:sz w:val="20"/>
                <w:szCs w:val="20"/>
                <w:lang w:val="en-US"/>
              </w:rPr>
            </w:pPr>
            <w:proofErr w:type="spellStart"/>
            <w:r w:rsidRPr="003935A2">
              <w:rPr>
                <w:bCs/>
                <w:i/>
                <w:iCs/>
                <w:sz w:val="20"/>
                <w:szCs w:val="20"/>
                <w:lang w:val="en-US"/>
              </w:rPr>
              <w:t>Fp</w:t>
            </w:r>
            <w:proofErr w:type="spellEnd"/>
          </w:p>
        </w:tc>
        <w:tc>
          <w:tcPr>
            <w:tcW w:w="2002" w:type="dxa"/>
            <w:vAlign w:val="center"/>
          </w:tcPr>
          <w:p w14:paraId="4165C5FD"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86948C2"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r w:rsidR="00EA574A" w:rsidRPr="0048363F" w14:paraId="4091A405" w14:textId="77777777" w:rsidTr="001B3451">
        <w:trPr>
          <w:trHeight w:val="303"/>
          <w:jc w:val="center"/>
        </w:trPr>
        <w:tc>
          <w:tcPr>
            <w:tcW w:w="4464" w:type="dxa"/>
            <w:vAlign w:val="center"/>
          </w:tcPr>
          <w:p w14:paraId="3357A945"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Fa</w:t>
            </w:r>
          </w:p>
        </w:tc>
        <w:tc>
          <w:tcPr>
            <w:tcW w:w="2002" w:type="dxa"/>
            <w:vAlign w:val="center"/>
          </w:tcPr>
          <w:p w14:paraId="450582B9"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F74D80F"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bl>
    <w:p w14:paraId="2E4E354D" w14:textId="3C36F2C5" w:rsidR="00AE5777" w:rsidRPr="003935A2" w:rsidRDefault="003935A2" w:rsidP="001B3451">
      <w:pPr>
        <w:ind w:left="2835"/>
        <w:rPr>
          <w:rStyle w:val="tlid-translation"/>
          <w:sz w:val="20"/>
          <w:szCs w:val="22"/>
          <w:lang w:val="en"/>
        </w:rPr>
      </w:pPr>
      <w:proofErr w:type="spellStart"/>
      <w:r w:rsidRPr="00231920">
        <w:rPr>
          <w:bCs/>
          <w:iCs/>
          <w:sz w:val="20"/>
          <w:szCs w:val="16"/>
          <w:vertAlign w:val="superscript"/>
          <w:lang w:val="en-US"/>
        </w:rPr>
        <w:t>a</w:t>
      </w:r>
      <w:proofErr w:type="spellEnd"/>
      <w:r w:rsidRPr="00231920">
        <w:rPr>
          <w:bCs/>
          <w:iCs/>
          <w:sz w:val="20"/>
          <w:szCs w:val="16"/>
          <w:lang w:val="en-US"/>
        </w:rPr>
        <w:t xml:space="preserve"> </w:t>
      </w:r>
      <w:proofErr w:type="gramStart"/>
      <w:r w:rsidRPr="007C308F">
        <w:rPr>
          <w:rStyle w:val="tlid-translation"/>
          <w:sz w:val="20"/>
          <w:szCs w:val="22"/>
          <w:lang w:val="en"/>
        </w:rPr>
        <w:t>The</w:t>
      </w:r>
      <w:proofErr w:type="gramEnd"/>
      <w:r w:rsidRPr="007C308F">
        <w:rPr>
          <w:rStyle w:val="tlid-translation"/>
          <w:sz w:val="20"/>
          <w:szCs w:val="22"/>
          <w:lang w:val="en"/>
        </w:rPr>
        <w:t xml:space="preserve"> default value will consider that the entire fraction of water ingested is contaminated</w:t>
      </w:r>
      <w:r w:rsidR="00165C0E">
        <w:rPr>
          <w:rStyle w:val="tlid-translation"/>
          <w:sz w:val="20"/>
          <w:szCs w:val="22"/>
          <w:lang w:val="en"/>
        </w:rPr>
        <w:t>.</w:t>
      </w:r>
    </w:p>
    <w:p w14:paraId="095F8A84" w14:textId="77777777" w:rsidR="00AE5777" w:rsidRDefault="00AE5777" w:rsidP="00AE5777">
      <w:pPr>
        <w:pStyle w:val="Default"/>
        <w:spacing w:line="276" w:lineRule="auto"/>
        <w:ind w:left="360"/>
        <w:jc w:val="center"/>
        <w:rPr>
          <w:rStyle w:val="tlid-translation"/>
          <w:b/>
          <w:color w:val="FF0000"/>
          <w:lang w:val="en"/>
        </w:rPr>
      </w:pPr>
    </w:p>
    <w:p w14:paraId="31519EA1" w14:textId="77777777" w:rsidR="00A63F45" w:rsidRDefault="00A63F45" w:rsidP="00AE5777">
      <w:pPr>
        <w:pStyle w:val="Default"/>
        <w:spacing w:line="276" w:lineRule="auto"/>
        <w:ind w:left="360"/>
        <w:jc w:val="center"/>
        <w:rPr>
          <w:rStyle w:val="tlid-translation"/>
          <w:b/>
          <w:color w:val="FF0000"/>
          <w:lang w:val="en"/>
        </w:rPr>
      </w:pPr>
    </w:p>
    <w:p w14:paraId="233F5491" w14:textId="77777777" w:rsidR="001353ED" w:rsidRPr="00AE5777" w:rsidRDefault="00AE5777" w:rsidP="00AE5777">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F9BFC7E" w14:textId="77777777" w:rsidR="00AE5777" w:rsidRDefault="00AE5777" w:rsidP="00AE5777">
      <w:pPr>
        <w:rPr>
          <w:bCs/>
          <w:iCs/>
          <w:szCs w:val="20"/>
          <w:lang w:val="en-US"/>
        </w:rPr>
      </w:pPr>
      <w:r>
        <w:rPr>
          <w:bCs/>
          <w:iCs/>
          <w:szCs w:val="20"/>
          <w:lang w:val="en-US"/>
        </w:rPr>
        <w:br w:type="page"/>
      </w:r>
    </w:p>
    <w:p w14:paraId="2E3241FF" w14:textId="77777777" w:rsidR="00182A14" w:rsidRDefault="00182A14" w:rsidP="00182A14">
      <w:pPr>
        <w:jc w:val="center"/>
        <w:rPr>
          <w:rFonts w:eastAsia="Times New Roman"/>
          <w:b/>
          <w:kern w:val="36"/>
          <w:sz w:val="36"/>
          <w:szCs w:val="36"/>
          <w:lang w:val="en-US" w:eastAsia="pt-BR"/>
        </w:rPr>
        <w:sectPr w:rsidR="00182A14" w:rsidSect="00522189">
          <w:pgSz w:w="16838" w:h="11906" w:orient="landscape"/>
          <w:pgMar w:top="720" w:right="720" w:bottom="720" w:left="720" w:header="709" w:footer="709" w:gutter="0"/>
          <w:cols w:space="708"/>
          <w:docGrid w:linePitch="360"/>
        </w:sectPr>
      </w:pPr>
    </w:p>
    <w:p w14:paraId="09117E94" w14:textId="1A1FB7BC" w:rsidR="00E05808" w:rsidRPr="001B3451" w:rsidRDefault="00E05808" w:rsidP="00E05808">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11</w:t>
      </w:r>
      <w:r>
        <w:rPr>
          <w:sz w:val="28"/>
          <w:lang w:val="en-US"/>
        </w:rPr>
        <w:t xml:space="preserve"> – Some reference</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170" w:type="dxa"/>
        <w:jc w:val="center"/>
        <w:tblLook w:val="04A0" w:firstRow="1" w:lastRow="0" w:firstColumn="1" w:lastColumn="0" w:noHBand="0" w:noVBand="1"/>
      </w:tblPr>
      <w:tblGrid>
        <w:gridCol w:w="2536"/>
        <w:gridCol w:w="1003"/>
        <w:gridCol w:w="1418"/>
        <w:gridCol w:w="1073"/>
        <w:gridCol w:w="1135"/>
        <w:gridCol w:w="1194"/>
        <w:gridCol w:w="1377"/>
        <w:gridCol w:w="909"/>
        <w:gridCol w:w="1399"/>
        <w:gridCol w:w="992"/>
        <w:gridCol w:w="1134"/>
      </w:tblGrid>
      <w:tr w:rsidR="005C180F" w:rsidRPr="00C63DF9" w14:paraId="76DA4304" w14:textId="77777777" w:rsidTr="00B71194">
        <w:trPr>
          <w:trHeight w:val="531"/>
          <w:jc w:val="center"/>
        </w:trPr>
        <w:tc>
          <w:tcPr>
            <w:tcW w:w="2536" w:type="dxa"/>
            <w:vAlign w:val="center"/>
          </w:tcPr>
          <w:p w14:paraId="3159D43F" w14:textId="77777777" w:rsidR="00C7536E" w:rsidRPr="000E54E0" w:rsidRDefault="00C7536E" w:rsidP="00653136">
            <w:pPr>
              <w:jc w:val="center"/>
              <w:rPr>
                <w:b/>
                <w:sz w:val="20"/>
                <w:szCs w:val="20"/>
                <w:lang w:val="en-US"/>
              </w:rPr>
            </w:pPr>
            <w:r w:rsidRPr="000E54E0">
              <w:rPr>
                <w:b/>
                <w:sz w:val="20"/>
                <w:szCs w:val="20"/>
                <w:lang w:val="en-US"/>
              </w:rPr>
              <w:t>Chemical species</w:t>
            </w:r>
          </w:p>
        </w:tc>
        <w:tc>
          <w:tcPr>
            <w:tcW w:w="1003" w:type="dxa"/>
            <w:vAlign w:val="center"/>
          </w:tcPr>
          <w:p w14:paraId="5E304CA0" w14:textId="77777777" w:rsidR="00C7536E" w:rsidRPr="000E54E0" w:rsidRDefault="00C7536E" w:rsidP="00653136">
            <w:pPr>
              <w:jc w:val="center"/>
              <w:rPr>
                <w:b/>
                <w:sz w:val="20"/>
                <w:szCs w:val="20"/>
                <w:lang w:val="en-US"/>
              </w:rPr>
            </w:pPr>
            <w:r w:rsidRPr="000E54E0">
              <w:rPr>
                <w:b/>
                <w:sz w:val="20"/>
                <w:szCs w:val="20"/>
                <w:lang w:val="en-US"/>
              </w:rPr>
              <w:t xml:space="preserve">Oral </w:t>
            </w:r>
            <w:proofErr w:type="spellStart"/>
            <w:r w:rsidRPr="000E54E0">
              <w:rPr>
                <w:b/>
                <w:i/>
                <w:sz w:val="20"/>
                <w:szCs w:val="20"/>
                <w:lang w:val="en-US"/>
              </w:rPr>
              <w:t>RfD</w:t>
            </w:r>
            <w:proofErr w:type="spellEnd"/>
          </w:p>
        </w:tc>
        <w:tc>
          <w:tcPr>
            <w:tcW w:w="1418" w:type="dxa"/>
            <w:vAlign w:val="center"/>
          </w:tcPr>
          <w:p w14:paraId="7DF88ADC" w14:textId="77777777" w:rsidR="00C7536E" w:rsidRPr="00354200" w:rsidRDefault="00C7536E" w:rsidP="00653136">
            <w:pPr>
              <w:jc w:val="center"/>
              <w:rPr>
                <w:b/>
                <w:sz w:val="18"/>
                <w:szCs w:val="18"/>
                <w:lang w:val="en-US"/>
              </w:rPr>
            </w:pPr>
            <w:r w:rsidRPr="00354200">
              <w:rPr>
                <w:b/>
                <w:sz w:val="20"/>
                <w:szCs w:val="18"/>
                <w:lang w:val="en-US"/>
              </w:rPr>
              <w:t>Ref.</w:t>
            </w:r>
          </w:p>
        </w:tc>
        <w:tc>
          <w:tcPr>
            <w:tcW w:w="1073" w:type="dxa"/>
            <w:vAlign w:val="center"/>
          </w:tcPr>
          <w:p w14:paraId="42F419F9" w14:textId="77777777" w:rsidR="00C7536E" w:rsidRPr="000E54E0" w:rsidRDefault="00C7536E" w:rsidP="00653136">
            <w:pPr>
              <w:jc w:val="center"/>
              <w:rPr>
                <w:b/>
                <w:sz w:val="20"/>
                <w:szCs w:val="20"/>
                <w:lang w:val="en-US"/>
              </w:rPr>
            </w:pPr>
            <w:proofErr w:type="spellStart"/>
            <w:r w:rsidRPr="000E54E0">
              <w:rPr>
                <w:b/>
                <w:i/>
                <w:sz w:val="20"/>
                <w:szCs w:val="20"/>
                <w:lang w:val="en-US"/>
              </w:rPr>
              <w:t>RfC</w:t>
            </w:r>
            <w:proofErr w:type="spellEnd"/>
          </w:p>
        </w:tc>
        <w:tc>
          <w:tcPr>
            <w:tcW w:w="1135" w:type="dxa"/>
            <w:vAlign w:val="center"/>
          </w:tcPr>
          <w:p w14:paraId="29954FA2" w14:textId="77777777" w:rsidR="00C7536E" w:rsidRPr="00354200" w:rsidRDefault="00C7536E" w:rsidP="00653136">
            <w:pPr>
              <w:jc w:val="center"/>
              <w:rPr>
                <w:b/>
                <w:sz w:val="20"/>
                <w:szCs w:val="20"/>
                <w:lang w:val="en-US"/>
              </w:rPr>
            </w:pPr>
            <w:r w:rsidRPr="00354200">
              <w:rPr>
                <w:b/>
                <w:sz w:val="20"/>
                <w:szCs w:val="20"/>
                <w:lang w:val="en-US"/>
              </w:rPr>
              <w:t>Ref.</w:t>
            </w:r>
          </w:p>
        </w:tc>
        <w:tc>
          <w:tcPr>
            <w:tcW w:w="1194" w:type="dxa"/>
            <w:vAlign w:val="center"/>
          </w:tcPr>
          <w:p w14:paraId="601CBC16" w14:textId="77777777" w:rsidR="00C7536E" w:rsidRPr="00354200" w:rsidRDefault="00C7536E" w:rsidP="00653136">
            <w:pPr>
              <w:jc w:val="center"/>
              <w:rPr>
                <w:b/>
                <w:sz w:val="20"/>
                <w:szCs w:val="20"/>
                <w:lang w:val="en-US"/>
              </w:rPr>
            </w:pPr>
            <w:r w:rsidRPr="00354200">
              <w:rPr>
                <w:b/>
                <w:sz w:val="20"/>
                <w:szCs w:val="20"/>
                <w:lang w:val="en-US"/>
              </w:rPr>
              <w:t xml:space="preserve">Oral </w:t>
            </w:r>
            <w:r w:rsidRPr="00354200">
              <w:rPr>
                <w:b/>
                <w:i/>
                <w:sz w:val="20"/>
                <w:szCs w:val="20"/>
                <w:lang w:val="en-US"/>
              </w:rPr>
              <w:t>SF</w:t>
            </w:r>
          </w:p>
        </w:tc>
        <w:tc>
          <w:tcPr>
            <w:tcW w:w="1377" w:type="dxa"/>
            <w:vAlign w:val="center"/>
          </w:tcPr>
          <w:p w14:paraId="496887B6" w14:textId="77777777" w:rsidR="00C7536E" w:rsidRPr="00354200" w:rsidRDefault="00C7536E" w:rsidP="00653136">
            <w:pPr>
              <w:jc w:val="center"/>
              <w:rPr>
                <w:b/>
                <w:sz w:val="20"/>
                <w:szCs w:val="20"/>
                <w:lang w:val="en-US"/>
              </w:rPr>
            </w:pPr>
            <w:r w:rsidRPr="00354200">
              <w:rPr>
                <w:b/>
                <w:sz w:val="20"/>
                <w:szCs w:val="20"/>
                <w:lang w:val="en-US"/>
              </w:rPr>
              <w:t>Ref.</w:t>
            </w:r>
          </w:p>
        </w:tc>
        <w:tc>
          <w:tcPr>
            <w:tcW w:w="909" w:type="dxa"/>
            <w:vAlign w:val="center"/>
          </w:tcPr>
          <w:p w14:paraId="4A2B244A" w14:textId="77777777" w:rsidR="00C7536E" w:rsidRPr="00354200" w:rsidRDefault="00C7536E" w:rsidP="00653136">
            <w:pPr>
              <w:jc w:val="center"/>
              <w:rPr>
                <w:b/>
                <w:sz w:val="20"/>
                <w:szCs w:val="20"/>
                <w:lang w:val="en-US"/>
              </w:rPr>
            </w:pPr>
            <w:r w:rsidRPr="00354200">
              <w:rPr>
                <w:b/>
                <w:sz w:val="20"/>
                <w:szCs w:val="20"/>
                <w:lang w:val="en-US"/>
              </w:rPr>
              <w:t>IUR</w:t>
            </w:r>
          </w:p>
        </w:tc>
        <w:tc>
          <w:tcPr>
            <w:tcW w:w="1399" w:type="dxa"/>
            <w:vAlign w:val="center"/>
          </w:tcPr>
          <w:p w14:paraId="741BF62F" w14:textId="77777777" w:rsidR="00C7536E" w:rsidRPr="00354200" w:rsidRDefault="00C7536E" w:rsidP="00653136">
            <w:pPr>
              <w:jc w:val="center"/>
              <w:rPr>
                <w:b/>
                <w:sz w:val="20"/>
                <w:szCs w:val="20"/>
                <w:lang w:val="en-US"/>
              </w:rPr>
            </w:pPr>
            <w:r w:rsidRPr="00354200">
              <w:rPr>
                <w:b/>
                <w:sz w:val="20"/>
                <w:szCs w:val="20"/>
                <w:lang w:val="en-US"/>
              </w:rPr>
              <w:t>Ref.</w:t>
            </w:r>
          </w:p>
        </w:tc>
        <w:tc>
          <w:tcPr>
            <w:tcW w:w="992" w:type="dxa"/>
            <w:vAlign w:val="center"/>
          </w:tcPr>
          <w:p w14:paraId="6FC057F7" w14:textId="77777777" w:rsidR="00C7536E" w:rsidRPr="00354200" w:rsidRDefault="00C7536E" w:rsidP="00653136">
            <w:pPr>
              <w:jc w:val="center"/>
              <w:rPr>
                <w:b/>
                <w:sz w:val="20"/>
                <w:szCs w:val="20"/>
                <w:vertAlign w:val="subscript"/>
                <w:lang w:val="en-US"/>
              </w:rPr>
            </w:pPr>
            <w:r w:rsidRPr="00354200">
              <w:rPr>
                <w:b/>
                <w:sz w:val="20"/>
                <w:szCs w:val="20"/>
                <w:lang w:val="en-US"/>
              </w:rPr>
              <w:t xml:space="preserve">Dermal </w:t>
            </w:r>
            <w:proofErr w:type="spellStart"/>
            <w:r w:rsidRPr="00354200">
              <w:rPr>
                <w:b/>
                <w:i/>
                <w:sz w:val="20"/>
                <w:szCs w:val="20"/>
                <w:lang w:val="en-US"/>
              </w:rPr>
              <w:t>RfD</w:t>
            </w:r>
            <w:proofErr w:type="spellEnd"/>
            <w:r w:rsidRPr="00354200">
              <w:rPr>
                <w:b/>
                <w:i/>
                <w:sz w:val="20"/>
                <w:szCs w:val="20"/>
                <w:lang w:val="en-US"/>
              </w:rPr>
              <w:t xml:space="preserve"> *</w:t>
            </w:r>
          </w:p>
        </w:tc>
        <w:tc>
          <w:tcPr>
            <w:tcW w:w="1134" w:type="dxa"/>
            <w:vAlign w:val="center"/>
          </w:tcPr>
          <w:p w14:paraId="40FB9857" w14:textId="77777777" w:rsidR="00C7536E" w:rsidRDefault="00C7536E" w:rsidP="00C7536E">
            <w:pPr>
              <w:jc w:val="center"/>
              <w:rPr>
                <w:b/>
                <w:sz w:val="20"/>
                <w:szCs w:val="20"/>
                <w:lang w:val="en-US"/>
              </w:rPr>
            </w:pPr>
            <w:r w:rsidRPr="000E54E0">
              <w:rPr>
                <w:b/>
                <w:sz w:val="20"/>
                <w:szCs w:val="20"/>
                <w:lang w:val="en-US"/>
              </w:rPr>
              <w:t>Dermal</w:t>
            </w:r>
          </w:p>
          <w:p w14:paraId="0F1013F4" w14:textId="77777777" w:rsidR="00C7536E" w:rsidRPr="000E54E0" w:rsidRDefault="00C7536E" w:rsidP="00C7536E">
            <w:pPr>
              <w:jc w:val="center"/>
              <w:rPr>
                <w:b/>
                <w:sz w:val="20"/>
                <w:szCs w:val="20"/>
                <w:lang w:val="en-US"/>
              </w:rPr>
            </w:pPr>
            <w:r w:rsidRPr="000E54E0">
              <w:rPr>
                <w:b/>
                <w:i/>
                <w:sz w:val="20"/>
                <w:szCs w:val="20"/>
                <w:lang w:val="en-US"/>
              </w:rPr>
              <w:t>SF</w:t>
            </w:r>
            <w:r>
              <w:rPr>
                <w:b/>
                <w:i/>
                <w:sz w:val="20"/>
                <w:szCs w:val="20"/>
                <w:lang w:val="en-US"/>
              </w:rPr>
              <w:t xml:space="preserve"> **</w:t>
            </w:r>
          </w:p>
        </w:tc>
      </w:tr>
      <w:tr w:rsidR="005C180F" w:rsidRPr="000E54E0" w14:paraId="6A8F96DA" w14:textId="77777777" w:rsidTr="00B71194">
        <w:trPr>
          <w:trHeight w:val="280"/>
          <w:jc w:val="center"/>
        </w:trPr>
        <w:tc>
          <w:tcPr>
            <w:tcW w:w="2536" w:type="dxa"/>
            <w:vAlign w:val="center"/>
          </w:tcPr>
          <w:p w14:paraId="2E49E651" w14:textId="77777777" w:rsidR="00C7536E" w:rsidRPr="000E54E0" w:rsidRDefault="00C7536E" w:rsidP="00653136">
            <w:pPr>
              <w:jc w:val="center"/>
              <w:rPr>
                <w:sz w:val="20"/>
                <w:szCs w:val="20"/>
                <w:lang w:val="en-US"/>
              </w:rPr>
            </w:pPr>
            <w:r w:rsidRPr="000E54E0">
              <w:rPr>
                <w:i/>
                <w:iCs/>
                <w:sz w:val="20"/>
                <w:szCs w:val="52"/>
                <w:lang w:val="en-US"/>
              </w:rPr>
              <w:t>p</w:t>
            </w:r>
            <w:r w:rsidRPr="000E54E0">
              <w:rPr>
                <w:iCs/>
                <w:sz w:val="20"/>
                <w:szCs w:val="52"/>
                <w:lang w:val="en-US"/>
              </w:rPr>
              <w:t>-Benzoquinone</w:t>
            </w:r>
          </w:p>
        </w:tc>
        <w:tc>
          <w:tcPr>
            <w:tcW w:w="1003" w:type="dxa"/>
            <w:vAlign w:val="center"/>
          </w:tcPr>
          <w:p w14:paraId="641580A0"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418" w:type="dxa"/>
            <w:vAlign w:val="center"/>
          </w:tcPr>
          <w:p w14:paraId="27F453BE" w14:textId="77777777" w:rsidR="00C7536E" w:rsidRPr="00354200" w:rsidRDefault="00C7536E" w:rsidP="00653136">
            <w:pPr>
              <w:jc w:val="center"/>
              <w:rPr>
                <w:sz w:val="18"/>
                <w:szCs w:val="18"/>
                <w:lang w:val="en-US"/>
              </w:rPr>
            </w:pPr>
            <w:r w:rsidRPr="00354200">
              <w:rPr>
                <w:sz w:val="18"/>
                <w:szCs w:val="18"/>
                <w:lang w:val="en-US"/>
              </w:rPr>
              <w:t>#</w:t>
            </w:r>
          </w:p>
        </w:tc>
        <w:tc>
          <w:tcPr>
            <w:tcW w:w="1073" w:type="dxa"/>
            <w:vAlign w:val="center"/>
          </w:tcPr>
          <w:p w14:paraId="633D5CCA"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135" w:type="dxa"/>
            <w:vAlign w:val="center"/>
          </w:tcPr>
          <w:p w14:paraId="441D9723" w14:textId="77777777" w:rsidR="00C7536E" w:rsidRPr="00354200" w:rsidRDefault="00C7536E" w:rsidP="00653136">
            <w:pPr>
              <w:jc w:val="center"/>
              <w:rPr>
                <w:sz w:val="18"/>
                <w:szCs w:val="18"/>
                <w:lang w:val="en-US"/>
              </w:rPr>
            </w:pPr>
            <w:r w:rsidRPr="00354200">
              <w:rPr>
                <w:sz w:val="18"/>
                <w:szCs w:val="18"/>
                <w:lang w:val="en-US"/>
              </w:rPr>
              <w:t>#</w:t>
            </w:r>
          </w:p>
        </w:tc>
        <w:tc>
          <w:tcPr>
            <w:tcW w:w="1194" w:type="dxa"/>
            <w:vAlign w:val="center"/>
          </w:tcPr>
          <w:p w14:paraId="3E3BE6D1"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377" w:type="dxa"/>
            <w:vAlign w:val="center"/>
          </w:tcPr>
          <w:p w14:paraId="1B12B63F" w14:textId="77777777" w:rsidR="00C7536E" w:rsidRPr="00354200" w:rsidRDefault="00C7536E" w:rsidP="00653136">
            <w:pPr>
              <w:jc w:val="center"/>
              <w:rPr>
                <w:sz w:val="18"/>
                <w:szCs w:val="18"/>
                <w:lang w:val="en-US"/>
              </w:rPr>
            </w:pPr>
            <w:r w:rsidRPr="00354200">
              <w:rPr>
                <w:sz w:val="18"/>
                <w:szCs w:val="18"/>
                <w:lang w:val="en-US"/>
              </w:rPr>
              <w:t>#</w:t>
            </w:r>
          </w:p>
        </w:tc>
        <w:tc>
          <w:tcPr>
            <w:tcW w:w="909" w:type="dxa"/>
            <w:vAlign w:val="center"/>
          </w:tcPr>
          <w:p w14:paraId="37E64BF4"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399" w:type="dxa"/>
            <w:vAlign w:val="center"/>
          </w:tcPr>
          <w:p w14:paraId="18FCAAE8" w14:textId="77777777" w:rsidR="00C7536E" w:rsidRPr="00354200" w:rsidRDefault="00C7536E" w:rsidP="00653136">
            <w:pPr>
              <w:jc w:val="center"/>
              <w:rPr>
                <w:sz w:val="18"/>
                <w:szCs w:val="18"/>
                <w:lang w:val="en-US"/>
              </w:rPr>
            </w:pPr>
            <w:r w:rsidRPr="00354200">
              <w:rPr>
                <w:sz w:val="18"/>
                <w:szCs w:val="18"/>
                <w:lang w:val="en-US"/>
              </w:rPr>
              <w:t>#</w:t>
            </w:r>
          </w:p>
        </w:tc>
        <w:tc>
          <w:tcPr>
            <w:tcW w:w="992" w:type="dxa"/>
            <w:vAlign w:val="center"/>
          </w:tcPr>
          <w:p w14:paraId="303542E6"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134" w:type="dxa"/>
            <w:vAlign w:val="center"/>
          </w:tcPr>
          <w:p w14:paraId="06544960"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r>
      <w:tr w:rsidR="005C180F" w:rsidRPr="000E54E0" w14:paraId="3460E8EB" w14:textId="77777777" w:rsidTr="00B71194">
        <w:trPr>
          <w:trHeight w:val="265"/>
          <w:jc w:val="center"/>
        </w:trPr>
        <w:tc>
          <w:tcPr>
            <w:tcW w:w="2536" w:type="dxa"/>
            <w:vAlign w:val="center"/>
          </w:tcPr>
          <w:p w14:paraId="219B2521" w14:textId="77777777" w:rsidR="00C7536E" w:rsidRPr="00AD4EA0" w:rsidRDefault="00C7536E" w:rsidP="00AD4EA0">
            <w:pPr>
              <w:jc w:val="center"/>
              <w:rPr>
                <w:sz w:val="20"/>
                <w:szCs w:val="20"/>
                <w:lang w:val="en-US"/>
              </w:rPr>
            </w:pPr>
            <w:proofErr w:type="spellStart"/>
            <w:r w:rsidRPr="00AD4EA0">
              <w:rPr>
                <w:sz w:val="20"/>
                <w:szCs w:val="52"/>
              </w:rPr>
              <w:t>Acetophenone</w:t>
            </w:r>
            <w:proofErr w:type="spellEnd"/>
          </w:p>
        </w:tc>
        <w:tc>
          <w:tcPr>
            <w:tcW w:w="1003" w:type="dxa"/>
            <w:vAlign w:val="center"/>
          </w:tcPr>
          <w:p w14:paraId="57EC2719" w14:textId="77777777" w:rsidR="00C7536E" w:rsidRPr="000E54E0" w:rsidRDefault="00C7536E" w:rsidP="00AD4EA0">
            <w:pPr>
              <w:jc w:val="center"/>
              <w:rPr>
                <w:sz w:val="20"/>
                <w:szCs w:val="20"/>
                <w:lang w:val="en-US"/>
              </w:rPr>
            </w:pPr>
            <w:r>
              <w:rPr>
                <w:sz w:val="20"/>
                <w:szCs w:val="20"/>
                <w:lang w:val="en-US"/>
              </w:rPr>
              <w:t>1.00E-1</w:t>
            </w:r>
          </w:p>
        </w:tc>
        <w:tc>
          <w:tcPr>
            <w:tcW w:w="1418" w:type="dxa"/>
            <w:vAlign w:val="center"/>
          </w:tcPr>
          <w:p w14:paraId="19A4C832" w14:textId="037D8A31" w:rsidR="00C7536E" w:rsidRPr="00354200" w:rsidRDefault="00C7536E" w:rsidP="00AD4EA0">
            <w:pPr>
              <w:jc w:val="center"/>
              <w:rPr>
                <w:sz w:val="18"/>
                <w:szCs w:val="18"/>
                <w:lang w:val="en-US"/>
              </w:rPr>
            </w:pPr>
            <w:r w:rsidRPr="00354200">
              <w:rPr>
                <w:sz w:val="18"/>
                <w:szCs w:val="18"/>
                <w:lang w:val="en-US"/>
              </w:rPr>
              <w:t>IRIS/EPA</w:t>
            </w:r>
            <w:r w:rsidR="00D5020A" w:rsidRPr="00354200">
              <w:rPr>
                <w:sz w:val="18"/>
                <w:szCs w:val="18"/>
                <w:lang w:val="en-US"/>
              </w:rPr>
              <w:t xml:space="preserve"> </w:t>
            </w:r>
            <w:r w:rsidR="00D5020A"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00D5020A" w:rsidRPr="00354200">
              <w:rPr>
                <w:sz w:val="18"/>
                <w:szCs w:val="18"/>
                <w:lang w:val="en-US"/>
              </w:rPr>
              <w:fldChar w:fldCharType="separate"/>
            </w:r>
            <w:r w:rsidR="0057137A" w:rsidRPr="0057137A">
              <w:rPr>
                <w:noProof/>
                <w:sz w:val="18"/>
                <w:szCs w:val="18"/>
                <w:lang w:val="en-US"/>
              </w:rPr>
              <w:t>(2020)</w:t>
            </w:r>
            <w:r w:rsidR="00D5020A" w:rsidRPr="00354200">
              <w:rPr>
                <w:sz w:val="18"/>
                <w:szCs w:val="18"/>
                <w:lang w:val="en-US"/>
              </w:rPr>
              <w:fldChar w:fldCharType="end"/>
            </w:r>
          </w:p>
        </w:tc>
        <w:tc>
          <w:tcPr>
            <w:tcW w:w="1073" w:type="dxa"/>
            <w:vAlign w:val="center"/>
          </w:tcPr>
          <w:p w14:paraId="61A0DF08" w14:textId="77777777" w:rsidR="00C7536E" w:rsidRPr="000E54E0" w:rsidRDefault="00C7536E" w:rsidP="00AD4EA0">
            <w:pPr>
              <w:jc w:val="center"/>
              <w:rPr>
                <w:sz w:val="20"/>
                <w:szCs w:val="20"/>
                <w:lang w:val="en-US"/>
              </w:rPr>
            </w:pPr>
            <w:r>
              <w:rPr>
                <w:sz w:val="20"/>
                <w:szCs w:val="20"/>
                <w:lang w:val="en-US"/>
              </w:rPr>
              <w:t>3.20E+0</w:t>
            </w:r>
          </w:p>
        </w:tc>
        <w:tc>
          <w:tcPr>
            <w:tcW w:w="1135" w:type="dxa"/>
            <w:vAlign w:val="center"/>
          </w:tcPr>
          <w:p w14:paraId="739930F0" w14:textId="77777777" w:rsidR="00C7536E" w:rsidRPr="00354200" w:rsidRDefault="00C7536E" w:rsidP="00AD4EA0">
            <w:pPr>
              <w:jc w:val="center"/>
              <w:rPr>
                <w:sz w:val="18"/>
                <w:szCs w:val="18"/>
                <w:lang w:val="en-US"/>
              </w:rPr>
            </w:pPr>
            <w:r w:rsidRPr="00354200">
              <w:rPr>
                <w:sz w:val="18"/>
                <w:szCs w:val="18"/>
                <w:lang w:val="en-US"/>
              </w:rPr>
              <w:t>Michigan DEQ</w:t>
            </w:r>
            <w:r w:rsidR="00354200" w:rsidRPr="00354200">
              <w:rPr>
                <w:sz w:val="18"/>
                <w:szCs w:val="18"/>
                <w:lang w:val="en-US"/>
              </w:rPr>
              <w:t xml:space="preserve"> </w:t>
            </w:r>
            <w:r w:rsidR="00354200" w:rsidRPr="00354200">
              <w:rPr>
                <w:sz w:val="18"/>
                <w:szCs w:val="18"/>
                <w:lang w:val="en-US"/>
              </w:rPr>
              <w:fldChar w:fldCharType="begin" w:fldLock="1"/>
            </w:r>
            <w:r w:rsidR="00354200">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00354200" w:rsidRPr="00354200">
              <w:rPr>
                <w:sz w:val="18"/>
                <w:szCs w:val="18"/>
                <w:lang w:val="en-US"/>
              </w:rPr>
              <w:fldChar w:fldCharType="separate"/>
            </w:r>
            <w:r w:rsidR="00354200" w:rsidRPr="00354200">
              <w:rPr>
                <w:noProof/>
                <w:sz w:val="18"/>
                <w:szCs w:val="18"/>
                <w:lang w:val="en-US"/>
              </w:rPr>
              <w:t>(2015)</w:t>
            </w:r>
            <w:r w:rsidR="00354200" w:rsidRPr="00354200">
              <w:rPr>
                <w:sz w:val="18"/>
                <w:szCs w:val="18"/>
                <w:lang w:val="en-US"/>
              </w:rPr>
              <w:fldChar w:fldCharType="end"/>
            </w:r>
          </w:p>
        </w:tc>
        <w:tc>
          <w:tcPr>
            <w:tcW w:w="1194" w:type="dxa"/>
            <w:vAlign w:val="center"/>
          </w:tcPr>
          <w:p w14:paraId="56F74AC4" w14:textId="77777777" w:rsidR="00C7536E" w:rsidRPr="000E54E0" w:rsidRDefault="00C7536E" w:rsidP="00AD4EA0">
            <w:pPr>
              <w:jc w:val="center"/>
              <w:rPr>
                <w:sz w:val="20"/>
                <w:szCs w:val="20"/>
                <w:lang w:val="en-US"/>
              </w:rPr>
            </w:pPr>
            <w:proofErr w:type="spellStart"/>
            <w:r>
              <w:rPr>
                <w:sz w:val="20"/>
                <w:szCs w:val="20"/>
                <w:lang w:val="en-US"/>
              </w:rPr>
              <w:t>n.a.</w:t>
            </w:r>
            <w:proofErr w:type="spellEnd"/>
          </w:p>
        </w:tc>
        <w:tc>
          <w:tcPr>
            <w:tcW w:w="1377" w:type="dxa"/>
            <w:vAlign w:val="center"/>
          </w:tcPr>
          <w:p w14:paraId="67FC2A7A" w14:textId="77777777" w:rsidR="00C7536E" w:rsidRPr="00354200" w:rsidRDefault="00C7536E" w:rsidP="00AD4EA0">
            <w:pPr>
              <w:jc w:val="center"/>
              <w:rPr>
                <w:sz w:val="18"/>
                <w:szCs w:val="18"/>
                <w:lang w:val="en-US"/>
              </w:rPr>
            </w:pPr>
            <w:r w:rsidRPr="00354200">
              <w:rPr>
                <w:sz w:val="18"/>
                <w:szCs w:val="18"/>
                <w:lang w:val="en-US"/>
              </w:rPr>
              <w:t>#</w:t>
            </w:r>
          </w:p>
        </w:tc>
        <w:tc>
          <w:tcPr>
            <w:tcW w:w="909" w:type="dxa"/>
            <w:vAlign w:val="center"/>
          </w:tcPr>
          <w:p w14:paraId="4FF66C07" w14:textId="77777777" w:rsidR="00C7536E" w:rsidRPr="000E54E0" w:rsidRDefault="00C7536E" w:rsidP="00AD4EA0">
            <w:pPr>
              <w:jc w:val="center"/>
              <w:rPr>
                <w:sz w:val="20"/>
                <w:szCs w:val="20"/>
                <w:lang w:val="en-US"/>
              </w:rPr>
            </w:pPr>
            <w:proofErr w:type="spellStart"/>
            <w:r>
              <w:rPr>
                <w:sz w:val="20"/>
                <w:szCs w:val="20"/>
                <w:lang w:val="en-US"/>
              </w:rPr>
              <w:t>n.a.</w:t>
            </w:r>
            <w:proofErr w:type="spellEnd"/>
          </w:p>
        </w:tc>
        <w:tc>
          <w:tcPr>
            <w:tcW w:w="1399" w:type="dxa"/>
            <w:vAlign w:val="center"/>
          </w:tcPr>
          <w:p w14:paraId="3B9B1CFD" w14:textId="77777777" w:rsidR="00C7536E" w:rsidRPr="00354200" w:rsidRDefault="00C7536E" w:rsidP="00AD4EA0">
            <w:pPr>
              <w:jc w:val="center"/>
              <w:rPr>
                <w:sz w:val="18"/>
                <w:szCs w:val="18"/>
                <w:lang w:val="en-US"/>
              </w:rPr>
            </w:pPr>
            <w:r w:rsidRPr="00354200">
              <w:rPr>
                <w:sz w:val="18"/>
                <w:szCs w:val="18"/>
                <w:lang w:val="en-US"/>
              </w:rPr>
              <w:t>#</w:t>
            </w:r>
          </w:p>
        </w:tc>
        <w:tc>
          <w:tcPr>
            <w:tcW w:w="992" w:type="dxa"/>
            <w:vAlign w:val="center"/>
          </w:tcPr>
          <w:p w14:paraId="48B3E496" w14:textId="77777777" w:rsidR="00C7536E" w:rsidRPr="000E54E0" w:rsidRDefault="00C7536E" w:rsidP="00AD4EA0">
            <w:pPr>
              <w:jc w:val="center"/>
              <w:rPr>
                <w:sz w:val="20"/>
                <w:szCs w:val="20"/>
                <w:lang w:val="en-US"/>
              </w:rPr>
            </w:pPr>
            <w:r>
              <w:rPr>
                <w:sz w:val="20"/>
                <w:szCs w:val="20"/>
                <w:lang w:val="en-US"/>
              </w:rPr>
              <w:t>5.00E-2</w:t>
            </w:r>
          </w:p>
        </w:tc>
        <w:tc>
          <w:tcPr>
            <w:tcW w:w="1134" w:type="dxa"/>
            <w:vAlign w:val="center"/>
          </w:tcPr>
          <w:p w14:paraId="38551DB1" w14:textId="77777777" w:rsidR="00C7536E" w:rsidRPr="000E54E0" w:rsidRDefault="00C7536E" w:rsidP="00AD4EA0">
            <w:pPr>
              <w:jc w:val="center"/>
              <w:rPr>
                <w:sz w:val="20"/>
                <w:szCs w:val="20"/>
                <w:lang w:val="en-US"/>
              </w:rPr>
            </w:pPr>
            <w:proofErr w:type="spellStart"/>
            <w:r>
              <w:rPr>
                <w:sz w:val="20"/>
                <w:szCs w:val="20"/>
                <w:lang w:val="en-US"/>
              </w:rPr>
              <w:t>n.a.</w:t>
            </w:r>
            <w:proofErr w:type="spellEnd"/>
          </w:p>
        </w:tc>
      </w:tr>
      <w:tr w:rsidR="005C180F" w:rsidRPr="000E54E0" w14:paraId="3964177D" w14:textId="77777777" w:rsidTr="00B71194">
        <w:trPr>
          <w:trHeight w:val="265"/>
          <w:jc w:val="center"/>
        </w:trPr>
        <w:tc>
          <w:tcPr>
            <w:tcW w:w="2536" w:type="dxa"/>
            <w:vAlign w:val="center"/>
          </w:tcPr>
          <w:p w14:paraId="04D43C24" w14:textId="77777777" w:rsidR="00354200" w:rsidRPr="000E54E0" w:rsidRDefault="00354200" w:rsidP="00354200">
            <w:pPr>
              <w:jc w:val="center"/>
              <w:rPr>
                <w:sz w:val="20"/>
                <w:szCs w:val="20"/>
                <w:lang w:val="en-US"/>
              </w:rPr>
            </w:pPr>
            <w:proofErr w:type="spellStart"/>
            <w:r w:rsidRPr="00C7536E">
              <w:rPr>
                <w:sz w:val="20"/>
                <w:szCs w:val="52"/>
              </w:rPr>
              <w:t>Naphthalene</w:t>
            </w:r>
            <w:proofErr w:type="spellEnd"/>
          </w:p>
        </w:tc>
        <w:tc>
          <w:tcPr>
            <w:tcW w:w="1003" w:type="dxa"/>
            <w:vAlign w:val="center"/>
          </w:tcPr>
          <w:p w14:paraId="5D13F077" w14:textId="77777777" w:rsidR="00354200" w:rsidRPr="000E54E0" w:rsidRDefault="00354200" w:rsidP="00354200">
            <w:pPr>
              <w:jc w:val="center"/>
              <w:rPr>
                <w:sz w:val="20"/>
                <w:szCs w:val="20"/>
                <w:lang w:val="en-US"/>
              </w:rPr>
            </w:pPr>
            <w:r>
              <w:rPr>
                <w:sz w:val="20"/>
                <w:szCs w:val="20"/>
                <w:lang w:val="en-US"/>
              </w:rPr>
              <w:t>2.00E-1</w:t>
            </w:r>
          </w:p>
        </w:tc>
        <w:tc>
          <w:tcPr>
            <w:tcW w:w="1418" w:type="dxa"/>
            <w:vAlign w:val="center"/>
          </w:tcPr>
          <w:p w14:paraId="60FCF8B1" w14:textId="0DC79FFA"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3DD9AFB" w14:textId="77777777" w:rsidR="00354200" w:rsidRPr="000E54E0" w:rsidRDefault="00354200" w:rsidP="00354200">
            <w:pPr>
              <w:jc w:val="center"/>
              <w:rPr>
                <w:sz w:val="20"/>
                <w:szCs w:val="20"/>
                <w:lang w:val="en-US"/>
              </w:rPr>
            </w:pPr>
            <w:r>
              <w:rPr>
                <w:sz w:val="20"/>
                <w:szCs w:val="20"/>
                <w:lang w:val="en-US"/>
              </w:rPr>
              <w:t>3.00E-3</w:t>
            </w:r>
          </w:p>
        </w:tc>
        <w:tc>
          <w:tcPr>
            <w:tcW w:w="1135" w:type="dxa"/>
            <w:vAlign w:val="center"/>
          </w:tcPr>
          <w:p w14:paraId="478F729D" w14:textId="1C16F43B"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52CCC4C" w14:textId="77777777" w:rsidR="00354200" w:rsidRPr="000E54E0" w:rsidRDefault="00354200" w:rsidP="00354200">
            <w:pPr>
              <w:jc w:val="center"/>
              <w:rPr>
                <w:sz w:val="20"/>
                <w:szCs w:val="20"/>
                <w:lang w:val="en-US"/>
              </w:rPr>
            </w:pPr>
            <w:r>
              <w:rPr>
                <w:sz w:val="20"/>
                <w:szCs w:val="20"/>
                <w:lang w:val="en-US"/>
              </w:rPr>
              <w:t>1.20E-1</w:t>
            </w:r>
            <w:r w:rsidR="00A41950">
              <w:rPr>
                <w:sz w:val="20"/>
                <w:szCs w:val="20"/>
                <w:lang w:val="en-US"/>
              </w:rPr>
              <w:t xml:space="preserve"> ± 1.03E-2</w:t>
            </w:r>
          </w:p>
        </w:tc>
        <w:tc>
          <w:tcPr>
            <w:tcW w:w="1377" w:type="dxa"/>
            <w:vAlign w:val="center"/>
          </w:tcPr>
          <w:p w14:paraId="02A66298"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442112AC" w14:textId="77777777" w:rsidR="00354200" w:rsidRPr="000E54E0" w:rsidRDefault="00354200" w:rsidP="00354200">
            <w:pPr>
              <w:jc w:val="center"/>
              <w:rPr>
                <w:sz w:val="20"/>
                <w:szCs w:val="20"/>
                <w:lang w:val="en-US"/>
              </w:rPr>
            </w:pPr>
            <w:r>
              <w:rPr>
                <w:sz w:val="20"/>
                <w:szCs w:val="20"/>
                <w:lang w:val="en-US"/>
              </w:rPr>
              <w:t>3.4E-2</w:t>
            </w:r>
          </w:p>
        </w:tc>
        <w:tc>
          <w:tcPr>
            <w:tcW w:w="1399" w:type="dxa"/>
            <w:vAlign w:val="center"/>
          </w:tcPr>
          <w:p w14:paraId="43D625D5"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09762297" w14:textId="77777777" w:rsidR="00354200" w:rsidRPr="000E54E0" w:rsidRDefault="00354200" w:rsidP="00354200">
            <w:pPr>
              <w:jc w:val="center"/>
              <w:rPr>
                <w:sz w:val="20"/>
                <w:szCs w:val="20"/>
                <w:lang w:val="en-US"/>
              </w:rPr>
            </w:pPr>
            <w:r>
              <w:rPr>
                <w:sz w:val="20"/>
                <w:szCs w:val="20"/>
                <w:lang w:val="en-US"/>
              </w:rPr>
              <w:t>1.78E-2</w:t>
            </w:r>
          </w:p>
        </w:tc>
        <w:tc>
          <w:tcPr>
            <w:tcW w:w="1134" w:type="dxa"/>
            <w:vAlign w:val="center"/>
          </w:tcPr>
          <w:p w14:paraId="1419B5E7" w14:textId="77777777" w:rsidR="00354200" w:rsidRPr="000E54E0" w:rsidRDefault="00354200" w:rsidP="00354200">
            <w:pPr>
              <w:jc w:val="center"/>
              <w:rPr>
                <w:sz w:val="20"/>
                <w:szCs w:val="20"/>
                <w:lang w:val="en-US"/>
              </w:rPr>
            </w:pPr>
            <w:r>
              <w:rPr>
                <w:sz w:val="20"/>
                <w:szCs w:val="20"/>
                <w:lang w:val="en-US"/>
              </w:rPr>
              <w:t>1.35E-1</w:t>
            </w:r>
            <w:r w:rsidR="007D47E3">
              <w:rPr>
                <w:sz w:val="20"/>
                <w:szCs w:val="20"/>
                <w:lang w:val="en-US"/>
              </w:rPr>
              <w:t xml:space="preserve"> ± 1.16E-2</w:t>
            </w:r>
          </w:p>
        </w:tc>
      </w:tr>
      <w:tr w:rsidR="005C180F" w:rsidRPr="000E54E0" w14:paraId="01A41A97" w14:textId="77777777" w:rsidTr="00B71194">
        <w:trPr>
          <w:trHeight w:val="265"/>
          <w:jc w:val="center"/>
        </w:trPr>
        <w:tc>
          <w:tcPr>
            <w:tcW w:w="2536" w:type="dxa"/>
            <w:vAlign w:val="center"/>
          </w:tcPr>
          <w:p w14:paraId="4FE5F592" w14:textId="77777777" w:rsidR="00354200" w:rsidRPr="000E54E0" w:rsidRDefault="00354200" w:rsidP="00354200">
            <w:pPr>
              <w:jc w:val="center"/>
              <w:rPr>
                <w:sz w:val="20"/>
                <w:szCs w:val="20"/>
                <w:lang w:val="en-US"/>
              </w:rPr>
            </w:pPr>
            <w:r w:rsidRPr="00ED12F3">
              <w:rPr>
                <w:sz w:val="20"/>
                <w:szCs w:val="52"/>
              </w:rPr>
              <w:t>1,4-Naphthoquinone</w:t>
            </w:r>
          </w:p>
        </w:tc>
        <w:tc>
          <w:tcPr>
            <w:tcW w:w="1003" w:type="dxa"/>
            <w:vAlign w:val="center"/>
          </w:tcPr>
          <w:p w14:paraId="440AAFBD"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6904CD5C"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8472B3E"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5D52EE25"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186EEC3"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40828934"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6AD66BF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3EF93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02086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3B09CA5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26BE9748" w14:textId="77777777" w:rsidTr="00B71194">
        <w:trPr>
          <w:trHeight w:val="265"/>
          <w:jc w:val="center"/>
        </w:trPr>
        <w:tc>
          <w:tcPr>
            <w:tcW w:w="2536" w:type="dxa"/>
            <w:vAlign w:val="center"/>
          </w:tcPr>
          <w:p w14:paraId="0F9CC210" w14:textId="77777777" w:rsidR="00354200" w:rsidRPr="000E54E0" w:rsidRDefault="00354200" w:rsidP="00354200">
            <w:pPr>
              <w:jc w:val="center"/>
              <w:rPr>
                <w:sz w:val="20"/>
                <w:szCs w:val="20"/>
                <w:lang w:val="en-US"/>
              </w:rPr>
            </w:pPr>
            <w:proofErr w:type="spellStart"/>
            <w:r w:rsidRPr="00ED12F3">
              <w:rPr>
                <w:sz w:val="20"/>
                <w:szCs w:val="52"/>
              </w:rPr>
              <w:t>Acenaphthylene</w:t>
            </w:r>
            <w:proofErr w:type="spellEnd"/>
          </w:p>
        </w:tc>
        <w:tc>
          <w:tcPr>
            <w:tcW w:w="1003" w:type="dxa"/>
            <w:vAlign w:val="center"/>
          </w:tcPr>
          <w:p w14:paraId="0BCDA3ED"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6B167E5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58F9E3DA"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05A6F76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16D7EF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10AC6FB9"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46C34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2FBE680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6AA1B07"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36DBBBC0"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451C5EE4" w14:textId="77777777" w:rsidTr="00B71194">
        <w:trPr>
          <w:trHeight w:val="265"/>
          <w:jc w:val="center"/>
        </w:trPr>
        <w:tc>
          <w:tcPr>
            <w:tcW w:w="2536" w:type="dxa"/>
            <w:vAlign w:val="center"/>
          </w:tcPr>
          <w:p w14:paraId="78BE7986" w14:textId="77777777" w:rsidR="00354200" w:rsidRPr="000E54E0" w:rsidRDefault="00354200" w:rsidP="00354200">
            <w:pPr>
              <w:jc w:val="center"/>
              <w:rPr>
                <w:sz w:val="20"/>
                <w:szCs w:val="20"/>
                <w:lang w:val="en-US"/>
              </w:rPr>
            </w:pPr>
            <w:proofErr w:type="spellStart"/>
            <w:r w:rsidRPr="00DD4AD2">
              <w:rPr>
                <w:sz w:val="20"/>
                <w:szCs w:val="52"/>
              </w:rPr>
              <w:t>Acenaphthene</w:t>
            </w:r>
            <w:proofErr w:type="spellEnd"/>
          </w:p>
        </w:tc>
        <w:tc>
          <w:tcPr>
            <w:tcW w:w="1003" w:type="dxa"/>
            <w:vAlign w:val="center"/>
          </w:tcPr>
          <w:p w14:paraId="3E48F7C0"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10555426" w14:textId="6E3826A1"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489EFA6"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2ABB95D6"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970071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59CDAB3E"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2F3CEB"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2940E395"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967874C"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53BE42F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5BE02917" w14:textId="77777777" w:rsidTr="00B71194">
        <w:trPr>
          <w:trHeight w:val="265"/>
          <w:jc w:val="center"/>
        </w:trPr>
        <w:tc>
          <w:tcPr>
            <w:tcW w:w="2536" w:type="dxa"/>
            <w:vAlign w:val="center"/>
          </w:tcPr>
          <w:p w14:paraId="6C712425" w14:textId="77777777" w:rsidR="00354200" w:rsidRPr="000E54E0" w:rsidRDefault="00354200" w:rsidP="00354200">
            <w:pPr>
              <w:jc w:val="center"/>
              <w:rPr>
                <w:sz w:val="20"/>
                <w:szCs w:val="20"/>
                <w:lang w:val="en-US"/>
              </w:rPr>
            </w:pPr>
            <w:proofErr w:type="spellStart"/>
            <w:r w:rsidRPr="00B86065">
              <w:rPr>
                <w:sz w:val="20"/>
                <w:szCs w:val="52"/>
              </w:rPr>
              <w:t>Fluorene</w:t>
            </w:r>
            <w:proofErr w:type="spellEnd"/>
          </w:p>
        </w:tc>
        <w:tc>
          <w:tcPr>
            <w:tcW w:w="1003" w:type="dxa"/>
            <w:vAlign w:val="center"/>
          </w:tcPr>
          <w:p w14:paraId="4B849F0B"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39D64FB9" w14:textId="5ED42E9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BD472B" w14:textId="77777777" w:rsidR="00354200" w:rsidRPr="000E54E0" w:rsidRDefault="00354200" w:rsidP="00354200">
            <w:pPr>
              <w:jc w:val="center"/>
              <w:rPr>
                <w:sz w:val="20"/>
                <w:szCs w:val="20"/>
                <w:lang w:val="en-US"/>
              </w:rPr>
            </w:pPr>
            <w:r>
              <w:rPr>
                <w:sz w:val="20"/>
                <w:szCs w:val="20"/>
                <w:lang w:val="en-US"/>
              </w:rPr>
              <w:t>1.4E-1</w:t>
            </w:r>
          </w:p>
        </w:tc>
        <w:tc>
          <w:tcPr>
            <w:tcW w:w="1135" w:type="dxa"/>
            <w:vAlign w:val="center"/>
          </w:tcPr>
          <w:p w14:paraId="11602A1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13B9CBB"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56F88CBF"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83C5AE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5E78D9E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5D4CB91A"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6366052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179720BB" w14:textId="77777777" w:rsidTr="00B71194">
        <w:trPr>
          <w:trHeight w:val="265"/>
          <w:jc w:val="center"/>
        </w:trPr>
        <w:tc>
          <w:tcPr>
            <w:tcW w:w="2536" w:type="dxa"/>
            <w:vAlign w:val="center"/>
          </w:tcPr>
          <w:p w14:paraId="41955097" w14:textId="77777777" w:rsidR="00354200" w:rsidRPr="0081441B" w:rsidRDefault="00354200" w:rsidP="00354200">
            <w:pPr>
              <w:jc w:val="center"/>
              <w:rPr>
                <w:sz w:val="20"/>
                <w:szCs w:val="20"/>
                <w:lang w:val="en-US"/>
              </w:rPr>
            </w:pPr>
            <w:r w:rsidRPr="0081441B">
              <w:rPr>
                <w:sz w:val="20"/>
                <w:szCs w:val="20"/>
              </w:rPr>
              <w:t>2-Nitrobiphenyl</w:t>
            </w:r>
          </w:p>
        </w:tc>
        <w:tc>
          <w:tcPr>
            <w:tcW w:w="1003" w:type="dxa"/>
            <w:vAlign w:val="center"/>
          </w:tcPr>
          <w:p w14:paraId="184186A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24D7675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6A3868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7A6D1620"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5F6BA3E"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2553B6AA"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7935EF1"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0BAE0C76"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2F20B43B"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14AEF91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1D09AB60" w14:textId="77777777" w:rsidTr="00B71194">
        <w:trPr>
          <w:trHeight w:val="265"/>
          <w:jc w:val="center"/>
        </w:trPr>
        <w:tc>
          <w:tcPr>
            <w:tcW w:w="2536" w:type="dxa"/>
            <w:vAlign w:val="center"/>
          </w:tcPr>
          <w:p w14:paraId="1BCF67F3" w14:textId="77777777" w:rsidR="00354200" w:rsidRPr="0081441B" w:rsidRDefault="00354200" w:rsidP="00354200">
            <w:pPr>
              <w:jc w:val="center"/>
              <w:rPr>
                <w:sz w:val="20"/>
                <w:szCs w:val="20"/>
                <w:lang w:val="en-US"/>
              </w:rPr>
            </w:pPr>
            <w:proofErr w:type="spellStart"/>
            <w:r w:rsidRPr="0081441B">
              <w:rPr>
                <w:sz w:val="20"/>
                <w:szCs w:val="20"/>
              </w:rPr>
              <w:t>Phenanthrene</w:t>
            </w:r>
            <w:proofErr w:type="spellEnd"/>
          </w:p>
        </w:tc>
        <w:tc>
          <w:tcPr>
            <w:tcW w:w="1003" w:type="dxa"/>
            <w:vAlign w:val="center"/>
          </w:tcPr>
          <w:p w14:paraId="7ED389B9"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1457841B"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7C73CA0F" w14:textId="77777777" w:rsidR="00354200" w:rsidRPr="000E54E0" w:rsidRDefault="00354200" w:rsidP="00354200">
            <w:pPr>
              <w:jc w:val="center"/>
              <w:rPr>
                <w:sz w:val="20"/>
                <w:szCs w:val="20"/>
                <w:lang w:val="en-US"/>
              </w:rPr>
            </w:pPr>
            <w:r>
              <w:rPr>
                <w:sz w:val="20"/>
                <w:szCs w:val="20"/>
                <w:lang w:val="en-US"/>
              </w:rPr>
              <w:t>1.00E-4</w:t>
            </w:r>
          </w:p>
        </w:tc>
        <w:tc>
          <w:tcPr>
            <w:tcW w:w="1135" w:type="dxa"/>
            <w:vAlign w:val="center"/>
          </w:tcPr>
          <w:p w14:paraId="011BA1E1"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C1DF51B" w14:textId="77777777" w:rsidR="00354200" w:rsidRPr="000E54E0" w:rsidRDefault="00354200" w:rsidP="00354200">
            <w:pPr>
              <w:jc w:val="center"/>
              <w:rPr>
                <w:sz w:val="20"/>
                <w:szCs w:val="20"/>
                <w:lang w:val="en-US"/>
              </w:rPr>
            </w:pPr>
            <w:r>
              <w:rPr>
                <w:sz w:val="20"/>
                <w:szCs w:val="20"/>
                <w:lang w:val="en-US"/>
              </w:rPr>
              <w:t>2.30E-3</w:t>
            </w:r>
            <w:r w:rsidR="00A635B5">
              <w:rPr>
                <w:sz w:val="20"/>
                <w:szCs w:val="20"/>
                <w:lang w:val="en-US"/>
              </w:rPr>
              <w:t xml:space="preserve"> ± 1.98E-4</w:t>
            </w:r>
          </w:p>
        </w:tc>
        <w:tc>
          <w:tcPr>
            <w:tcW w:w="1377" w:type="dxa"/>
            <w:vAlign w:val="center"/>
          </w:tcPr>
          <w:p w14:paraId="4450C169" w14:textId="77777777" w:rsidR="00354200" w:rsidRPr="00354200" w:rsidRDefault="00354200" w:rsidP="00E5371B">
            <w:pPr>
              <w:jc w:val="center"/>
              <w:rPr>
                <w:sz w:val="18"/>
                <w:szCs w:val="18"/>
                <w:lang w:val="en-US"/>
              </w:rPr>
            </w:pPr>
            <w:r w:rsidRPr="00354200">
              <w:rPr>
                <w:sz w:val="18"/>
                <w:szCs w:val="18"/>
                <w:lang w:val="en-US"/>
              </w:rPr>
              <w:t xml:space="preserve">Health Canada </w:t>
            </w:r>
            <w:r w:rsidR="00E5371B">
              <w:rPr>
                <w:sz w:val="18"/>
                <w:szCs w:val="18"/>
                <w:lang w:val="en-US"/>
              </w:rPr>
              <w:fldChar w:fldCharType="begin" w:fldLock="1"/>
            </w:r>
            <w:r w:rsidR="00E5371B">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E5371B">
              <w:rPr>
                <w:sz w:val="18"/>
                <w:szCs w:val="18"/>
                <w:lang w:val="en-US"/>
              </w:rPr>
              <w:fldChar w:fldCharType="separate"/>
            </w:r>
            <w:r w:rsidR="00E5371B" w:rsidRPr="00E5371B">
              <w:rPr>
                <w:noProof/>
                <w:sz w:val="18"/>
                <w:szCs w:val="18"/>
                <w:lang w:val="en-US"/>
              </w:rPr>
              <w:t>(2004)</w:t>
            </w:r>
            <w:r w:rsidR="00E5371B">
              <w:rPr>
                <w:sz w:val="18"/>
                <w:szCs w:val="18"/>
                <w:lang w:val="en-US"/>
              </w:rPr>
              <w:fldChar w:fldCharType="end"/>
            </w:r>
          </w:p>
        </w:tc>
        <w:tc>
          <w:tcPr>
            <w:tcW w:w="909" w:type="dxa"/>
            <w:vAlign w:val="center"/>
          </w:tcPr>
          <w:p w14:paraId="6918ABC0"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281DBBC"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AD7A637"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E1093FA" w14:textId="77777777" w:rsidR="00354200" w:rsidRPr="000E54E0" w:rsidRDefault="00354200" w:rsidP="00354200">
            <w:pPr>
              <w:jc w:val="center"/>
              <w:rPr>
                <w:sz w:val="20"/>
                <w:szCs w:val="20"/>
                <w:lang w:val="en-US"/>
              </w:rPr>
            </w:pPr>
            <w:r>
              <w:rPr>
                <w:sz w:val="20"/>
                <w:szCs w:val="20"/>
                <w:lang w:val="en-US"/>
              </w:rPr>
              <w:t>2.58E-3</w:t>
            </w:r>
            <w:r w:rsidR="00A635B5">
              <w:rPr>
                <w:sz w:val="20"/>
                <w:szCs w:val="20"/>
                <w:lang w:val="en-US"/>
              </w:rPr>
              <w:t xml:space="preserve"> ± 2.23E-4</w:t>
            </w:r>
          </w:p>
        </w:tc>
      </w:tr>
      <w:tr w:rsidR="005C180F" w:rsidRPr="000E54E0" w14:paraId="6ADBE5E9" w14:textId="77777777" w:rsidTr="00B71194">
        <w:trPr>
          <w:trHeight w:val="265"/>
          <w:jc w:val="center"/>
        </w:trPr>
        <w:tc>
          <w:tcPr>
            <w:tcW w:w="2536" w:type="dxa"/>
            <w:vAlign w:val="center"/>
          </w:tcPr>
          <w:p w14:paraId="17003547" w14:textId="77777777" w:rsidR="00354200" w:rsidRPr="00A73BD0" w:rsidRDefault="00354200" w:rsidP="00354200">
            <w:pPr>
              <w:jc w:val="center"/>
              <w:rPr>
                <w:sz w:val="20"/>
                <w:szCs w:val="20"/>
                <w:lang w:val="en-US"/>
              </w:rPr>
            </w:pPr>
            <w:proofErr w:type="spellStart"/>
            <w:r w:rsidRPr="00A73BD0">
              <w:rPr>
                <w:sz w:val="20"/>
                <w:szCs w:val="52"/>
              </w:rPr>
              <w:t>Anthracene</w:t>
            </w:r>
            <w:proofErr w:type="spellEnd"/>
          </w:p>
        </w:tc>
        <w:tc>
          <w:tcPr>
            <w:tcW w:w="1003" w:type="dxa"/>
            <w:vAlign w:val="center"/>
          </w:tcPr>
          <w:p w14:paraId="7E08AF7E" w14:textId="77777777" w:rsidR="00354200" w:rsidRPr="000E54E0" w:rsidRDefault="00354200" w:rsidP="00354200">
            <w:pPr>
              <w:jc w:val="center"/>
              <w:rPr>
                <w:sz w:val="20"/>
                <w:szCs w:val="20"/>
                <w:lang w:val="en-US"/>
              </w:rPr>
            </w:pPr>
            <w:r>
              <w:rPr>
                <w:sz w:val="20"/>
                <w:szCs w:val="20"/>
                <w:lang w:val="en-US"/>
              </w:rPr>
              <w:t>3.00E-1</w:t>
            </w:r>
          </w:p>
        </w:tc>
        <w:tc>
          <w:tcPr>
            <w:tcW w:w="1418" w:type="dxa"/>
            <w:vAlign w:val="center"/>
          </w:tcPr>
          <w:p w14:paraId="2E4178A6" w14:textId="4C8F3A75"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0BE4628" w14:textId="77777777" w:rsidR="00354200" w:rsidRPr="000E54E0" w:rsidRDefault="00354200" w:rsidP="00354200">
            <w:pPr>
              <w:jc w:val="center"/>
              <w:rPr>
                <w:sz w:val="20"/>
                <w:szCs w:val="20"/>
                <w:lang w:val="en-US"/>
              </w:rPr>
            </w:pPr>
            <w:r>
              <w:rPr>
                <w:sz w:val="20"/>
                <w:szCs w:val="20"/>
                <w:lang w:val="en-US"/>
              </w:rPr>
              <w:t>1.20E+0</w:t>
            </w:r>
          </w:p>
        </w:tc>
        <w:tc>
          <w:tcPr>
            <w:tcW w:w="1135" w:type="dxa"/>
            <w:vAlign w:val="center"/>
          </w:tcPr>
          <w:p w14:paraId="3E963BC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24812E6C" w14:textId="77777777" w:rsidR="00354200" w:rsidRPr="000E54E0" w:rsidRDefault="00354200" w:rsidP="00354200">
            <w:pPr>
              <w:jc w:val="center"/>
              <w:rPr>
                <w:sz w:val="20"/>
                <w:szCs w:val="20"/>
                <w:lang w:val="en-US"/>
              </w:rPr>
            </w:pPr>
            <w:r>
              <w:rPr>
                <w:sz w:val="20"/>
                <w:szCs w:val="20"/>
                <w:lang w:val="en-US"/>
              </w:rPr>
              <w:t>2.30E-1</w:t>
            </w:r>
            <w:r w:rsidR="00A635B5">
              <w:rPr>
                <w:sz w:val="20"/>
                <w:szCs w:val="20"/>
                <w:lang w:val="en-US"/>
              </w:rPr>
              <w:t xml:space="preserve"> ± 1.98</w:t>
            </w:r>
            <w:r w:rsidR="005C4A90">
              <w:rPr>
                <w:sz w:val="20"/>
                <w:szCs w:val="20"/>
                <w:lang w:val="en-US"/>
              </w:rPr>
              <w:t>E-2</w:t>
            </w:r>
          </w:p>
        </w:tc>
        <w:tc>
          <w:tcPr>
            <w:tcW w:w="1377" w:type="dxa"/>
            <w:vAlign w:val="center"/>
          </w:tcPr>
          <w:p w14:paraId="0ADE9DE2"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195BA6DE"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1D5C3A"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3D680525" w14:textId="77777777" w:rsidR="00354200" w:rsidRPr="000E54E0" w:rsidRDefault="00354200" w:rsidP="00354200">
            <w:pPr>
              <w:jc w:val="center"/>
              <w:rPr>
                <w:sz w:val="20"/>
                <w:szCs w:val="20"/>
                <w:lang w:val="en-US"/>
              </w:rPr>
            </w:pPr>
            <w:r>
              <w:rPr>
                <w:sz w:val="20"/>
                <w:szCs w:val="20"/>
                <w:lang w:val="en-US"/>
              </w:rPr>
              <w:t>2.67E-1</w:t>
            </w:r>
          </w:p>
        </w:tc>
        <w:tc>
          <w:tcPr>
            <w:tcW w:w="1134" w:type="dxa"/>
            <w:vAlign w:val="center"/>
          </w:tcPr>
          <w:p w14:paraId="5A9A41D1" w14:textId="77777777" w:rsidR="00354200" w:rsidRPr="000E54E0" w:rsidRDefault="00354200" w:rsidP="00354200">
            <w:pPr>
              <w:jc w:val="center"/>
              <w:rPr>
                <w:sz w:val="20"/>
                <w:szCs w:val="20"/>
                <w:lang w:val="en-US"/>
              </w:rPr>
            </w:pPr>
            <w:r>
              <w:rPr>
                <w:sz w:val="20"/>
                <w:szCs w:val="20"/>
                <w:lang w:val="en-US"/>
              </w:rPr>
              <w:t>2.58E-1</w:t>
            </w:r>
            <w:r w:rsidR="00A635B5">
              <w:rPr>
                <w:sz w:val="20"/>
                <w:szCs w:val="20"/>
                <w:lang w:val="en-US"/>
              </w:rPr>
              <w:t xml:space="preserve"> ± 2.23</w:t>
            </w:r>
            <w:r w:rsidR="005C4A90">
              <w:rPr>
                <w:sz w:val="20"/>
                <w:szCs w:val="20"/>
                <w:lang w:val="en-US"/>
              </w:rPr>
              <w:t>E-2</w:t>
            </w:r>
          </w:p>
        </w:tc>
      </w:tr>
      <w:tr w:rsidR="005C180F" w:rsidRPr="000E54E0" w14:paraId="63D0CA85" w14:textId="77777777" w:rsidTr="00B71194">
        <w:trPr>
          <w:trHeight w:val="265"/>
          <w:jc w:val="center"/>
        </w:trPr>
        <w:tc>
          <w:tcPr>
            <w:tcW w:w="2536" w:type="dxa"/>
            <w:vAlign w:val="center"/>
          </w:tcPr>
          <w:p w14:paraId="11100692" w14:textId="77777777" w:rsidR="00354200" w:rsidRPr="000E54E0" w:rsidRDefault="00354200" w:rsidP="00354200">
            <w:pPr>
              <w:jc w:val="center"/>
              <w:rPr>
                <w:sz w:val="20"/>
                <w:szCs w:val="20"/>
                <w:lang w:val="en-US"/>
              </w:rPr>
            </w:pPr>
            <w:r w:rsidRPr="00C241DA">
              <w:rPr>
                <w:sz w:val="20"/>
                <w:szCs w:val="52"/>
              </w:rPr>
              <w:t>5-Nitroacenaphthene</w:t>
            </w:r>
          </w:p>
        </w:tc>
        <w:tc>
          <w:tcPr>
            <w:tcW w:w="1003" w:type="dxa"/>
            <w:vAlign w:val="center"/>
          </w:tcPr>
          <w:p w14:paraId="2ED8CA4F"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DD6062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6B7BF2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722CBD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965B6D7" w14:textId="77777777" w:rsidR="00354200" w:rsidRPr="000E54E0" w:rsidRDefault="00354200" w:rsidP="00354200">
            <w:pPr>
              <w:jc w:val="center"/>
              <w:rPr>
                <w:sz w:val="20"/>
                <w:szCs w:val="20"/>
                <w:lang w:val="en-US"/>
              </w:rPr>
            </w:pPr>
            <w:r>
              <w:rPr>
                <w:sz w:val="20"/>
                <w:szCs w:val="20"/>
                <w:lang w:val="en-US"/>
              </w:rPr>
              <w:t>1.30E-1</w:t>
            </w:r>
            <w:r w:rsidR="00A635B5">
              <w:rPr>
                <w:sz w:val="20"/>
                <w:szCs w:val="20"/>
                <w:lang w:val="en-US"/>
              </w:rPr>
              <w:t xml:space="preserve"> ± 1.12E-2</w:t>
            </w:r>
          </w:p>
        </w:tc>
        <w:tc>
          <w:tcPr>
            <w:tcW w:w="1377" w:type="dxa"/>
            <w:vAlign w:val="center"/>
          </w:tcPr>
          <w:p w14:paraId="0E24278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1C0E3713" w14:textId="77777777" w:rsidR="00354200" w:rsidRPr="000E54E0" w:rsidRDefault="00354200" w:rsidP="00354200">
            <w:pPr>
              <w:jc w:val="center"/>
              <w:rPr>
                <w:sz w:val="20"/>
                <w:szCs w:val="20"/>
                <w:lang w:val="en-US"/>
              </w:rPr>
            </w:pPr>
            <w:r>
              <w:rPr>
                <w:sz w:val="20"/>
                <w:szCs w:val="20"/>
                <w:lang w:val="en-US"/>
              </w:rPr>
              <w:t>3.70E-2</w:t>
            </w:r>
          </w:p>
        </w:tc>
        <w:tc>
          <w:tcPr>
            <w:tcW w:w="1399" w:type="dxa"/>
            <w:vAlign w:val="center"/>
          </w:tcPr>
          <w:p w14:paraId="68638820"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D6A249E" w14:textId="77777777" w:rsidR="00354200" w:rsidRPr="000E54E0" w:rsidRDefault="00354200" w:rsidP="00354200">
            <w:pPr>
              <w:jc w:val="center"/>
              <w:rPr>
                <w:sz w:val="20"/>
                <w:szCs w:val="20"/>
                <w:lang w:val="en-US"/>
              </w:rPr>
            </w:pPr>
            <w:proofErr w:type="spellStart"/>
            <w:proofErr w:type="gramStart"/>
            <w:r>
              <w:rPr>
                <w:sz w:val="20"/>
                <w:szCs w:val="20"/>
                <w:lang w:val="en-US"/>
              </w:rPr>
              <w:t>n.a</w:t>
            </w:r>
            <w:proofErr w:type="spellEnd"/>
            <w:proofErr w:type="gramEnd"/>
          </w:p>
        </w:tc>
        <w:tc>
          <w:tcPr>
            <w:tcW w:w="1134" w:type="dxa"/>
            <w:vAlign w:val="center"/>
          </w:tcPr>
          <w:p w14:paraId="7C0B97F0" w14:textId="77777777" w:rsidR="00354200" w:rsidRPr="000E54E0" w:rsidRDefault="00354200" w:rsidP="00354200">
            <w:pPr>
              <w:jc w:val="center"/>
              <w:rPr>
                <w:sz w:val="20"/>
                <w:szCs w:val="20"/>
                <w:lang w:val="en-US"/>
              </w:rPr>
            </w:pPr>
            <w:r>
              <w:rPr>
                <w:sz w:val="20"/>
                <w:szCs w:val="20"/>
                <w:lang w:val="en-US"/>
              </w:rPr>
              <w:t>2.60E-1</w:t>
            </w:r>
            <w:r w:rsidR="00A635B5">
              <w:rPr>
                <w:sz w:val="20"/>
                <w:szCs w:val="20"/>
                <w:lang w:val="en-US"/>
              </w:rPr>
              <w:t xml:space="preserve"> ± 2.24E-2</w:t>
            </w:r>
          </w:p>
        </w:tc>
      </w:tr>
      <w:tr w:rsidR="005C180F" w:rsidRPr="000E54E0" w14:paraId="6AE407A0" w14:textId="77777777" w:rsidTr="00B71194">
        <w:trPr>
          <w:trHeight w:val="265"/>
          <w:jc w:val="center"/>
        </w:trPr>
        <w:tc>
          <w:tcPr>
            <w:tcW w:w="2536" w:type="dxa"/>
            <w:vAlign w:val="center"/>
          </w:tcPr>
          <w:p w14:paraId="5BF645BA" w14:textId="77777777" w:rsidR="00354200" w:rsidRPr="000E54E0" w:rsidRDefault="00354200" w:rsidP="00354200">
            <w:pPr>
              <w:jc w:val="center"/>
              <w:rPr>
                <w:sz w:val="20"/>
                <w:szCs w:val="20"/>
                <w:lang w:val="en-US"/>
              </w:rPr>
            </w:pPr>
            <w:proofErr w:type="spellStart"/>
            <w:r w:rsidRPr="008B26A5">
              <w:rPr>
                <w:sz w:val="20"/>
                <w:szCs w:val="52"/>
              </w:rPr>
              <w:t>Fluoranthene</w:t>
            </w:r>
            <w:proofErr w:type="spellEnd"/>
          </w:p>
        </w:tc>
        <w:tc>
          <w:tcPr>
            <w:tcW w:w="1003" w:type="dxa"/>
            <w:vAlign w:val="center"/>
          </w:tcPr>
          <w:p w14:paraId="11DDE29D"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084B660C" w14:textId="2D87D82C"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F969900" w14:textId="77777777" w:rsidR="00354200" w:rsidRPr="000E54E0" w:rsidRDefault="00354200" w:rsidP="00354200">
            <w:pPr>
              <w:jc w:val="center"/>
              <w:rPr>
                <w:sz w:val="20"/>
                <w:szCs w:val="20"/>
                <w:lang w:val="en-US"/>
              </w:rPr>
            </w:pPr>
            <w:r>
              <w:rPr>
                <w:sz w:val="20"/>
                <w:szCs w:val="20"/>
                <w:lang w:val="en-US"/>
              </w:rPr>
              <w:t>1.40E-1</w:t>
            </w:r>
          </w:p>
        </w:tc>
        <w:tc>
          <w:tcPr>
            <w:tcW w:w="1135" w:type="dxa"/>
            <w:vAlign w:val="center"/>
          </w:tcPr>
          <w:p w14:paraId="5F78692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966899C" w14:textId="77777777" w:rsidR="00354200" w:rsidRPr="000E54E0" w:rsidRDefault="00354200" w:rsidP="00354200">
            <w:pPr>
              <w:jc w:val="center"/>
              <w:rPr>
                <w:sz w:val="20"/>
                <w:szCs w:val="20"/>
                <w:lang w:val="en-US"/>
              </w:rPr>
            </w:pPr>
            <w:r>
              <w:rPr>
                <w:sz w:val="20"/>
                <w:szCs w:val="20"/>
                <w:lang w:val="en-US"/>
              </w:rPr>
              <w:t>2.30E-3</w:t>
            </w:r>
            <w:r w:rsidR="005C4A90">
              <w:rPr>
                <w:sz w:val="20"/>
                <w:szCs w:val="20"/>
                <w:lang w:val="en-US"/>
              </w:rPr>
              <w:t xml:space="preserve"> ± 1.98E-4</w:t>
            </w:r>
          </w:p>
        </w:tc>
        <w:tc>
          <w:tcPr>
            <w:tcW w:w="1377" w:type="dxa"/>
            <w:vAlign w:val="center"/>
          </w:tcPr>
          <w:p w14:paraId="5DB9DEF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EAC8E64"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CDF5D2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069929"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382E7FA7" w14:textId="77777777" w:rsidR="00354200" w:rsidRPr="000E54E0" w:rsidRDefault="00354200" w:rsidP="00354200">
            <w:pPr>
              <w:jc w:val="center"/>
              <w:rPr>
                <w:sz w:val="20"/>
                <w:szCs w:val="20"/>
                <w:lang w:val="en-US"/>
              </w:rPr>
            </w:pPr>
            <w:r>
              <w:rPr>
                <w:sz w:val="20"/>
                <w:szCs w:val="20"/>
                <w:lang w:val="en-US"/>
              </w:rPr>
              <w:t>2.58E-3</w:t>
            </w:r>
            <w:r w:rsidR="005C4A90">
              <w:rPr>
                <w:sz w:val="20"/>
                <w:szCs w:val="20"/>
                <w:lang w:val="en-US"/>
              </w:rPr>
              <w:t xml:space="preserve"> ± 2.23E-4</w:t>
            </w:r>
          </w:p>
        </w:tc>
      </w:tr>
      <w:tr w:rsidR="005C180F" w:rsidRPr="000E54E0" w14:paraId="1A19C747" w14:textId="77777777" w:rsidTr="00B71194">
        <w:trPr>
          <w:trHeight w:val="265"/>
          <w:jc w:val="center"/>
        </w:trPr>
        <w:tc>
          <w:tcPr>
            <w:tcW w:w="2536" w:type="dxa"/>
            <w:vAlign w:val="center"/>
          </w:tcPr>
          <w:p w14:paraId="49057CC9" w14:textId="77777777" w:rsidR="00354200" w:rsidRPr="00D04884" w:rsidRDefault="00354200" w:rsidP="00354200">
            <w:pPr>
              <w:jc w:val="center"/>
              <w:rPr>
                <w:sz w:val="20"/>
                <w:szCs w:val="20"/>
                <w:lang w:val="en-US"/>
              </w:rPr>
            </w:pPr>
            <w:r w:rsidRPr="00D04884">
              <w:rPr>
                <w:sz w:val="20"/>
                <w:szCs w:val="20"/>
              </w:rPr>
              <w:t>2-Nitrofluorene</w:t>
            </w:r>
          </w:p>
        </w:tc>
        <w:tc>
          <w:tcPr>
            <w:tcW w:w="1003" w:type="dxa"/>
            <w:vAlign w:val="center"/>
          </w:tcPr>
          <w:p w14:paraId="72910801"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0ECF82A"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DF9290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3AA75C6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1911FCE" w14:textId="77777777" w:rsidR="00354200" w:rsidRPr="000E54E0" w:rsidRDefault="00354200" w:rsidP="00354200">
            <w:pPr>
              <w:jc w:val="center"/>
              <w:rPr>
                <w:sz w:val="20"/>
                <w:szCs w:val="20"/>
                <w:lang w:val="en-US"/>
              </w:rPr>
            </w:pPr>
            <w:r>
              <w:rPr>
                <w:sz w:val="20"/>
                <w:szCs w:val="20"/>
                <w:lang w:val="en-US"/>
              </w:rPr>
              <w:t>1.20E-1</w:t>
            </w:r>
            <w:r w:rsidR="005C4A90">
              <w:rPr>
                <w:sz w:val="20"/>
                <w:szCs w:val="20"/>
                <w:lang w:val="en-US"/>
              </w:rPr>
              <w:t xml:space="preserve"> ± 1.04E-2</w:t>
            </w:r>
          </w:p>
        </w:tc>
        <w:tc>
          <w:tcPr>
            <w:tcW w:w="1377" w:type="dxa"/>
            <w:vAlign w:val="center"/>
          </w:tcPr>
          <w:p w14:paraId="777DFEB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37A2C838" w14:textId="77777777" w:rsidR="00354200" w:rsidRPr="000E54E0" w:rsidRDefault="00354200" w:rsidP="00354200">
            <w:pPr>
              <w:jc w:val="center"/>
              <w:rPr>
                <w:sz w:val="20"/>
                <w:szCs w:val="20"/>
                <w:lang w:val="en-US"/>
              </w:rPr>
            </w:pPr>
            <w:r>
              <w:rPr>
                <w:sz w:val="20"/>
                <w:szCs w:val="20"/>
                <w:lang w:val="en-US"/>
              </w:rPr>
              <w:t>1.10E-1</w:t>
            </w:r>
          </w:p>
        </w:tc>
        <w:tc>
          <w:tcPr>
            <w:tcW w:w="1399" w:type="dxa"/>
            <w:vAlign w:val="center"/>
          </w:tcPr>
          <w:p w14:paraId="7AE7D64B"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2B15062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609A4A1B" w14:textId="77777777" w:rsidR="00354200" w:rsidRPr="000E54E0" w:rsidRDefault="00354200" w:rsidP="00354200">
            <w:pPr>
              <w:jc w:val="center"/>
              <w:rPr>
                <w:sz w:val="20"/>
                <w:szCs w:val="20"/>
                <w:lang w:val="en-US"/>
              </w:rPr>
            </w:pPr>
            <w:r>
              <w:rPr>
                <w:sz w:val="20"/>
                <w:szCs w:val="20"/>
                <w:lang w:val="en-US"/>
              </w:rPr>
              <w:t>2.40E-1</w:t>
            </w:r>
            <w:r w:rsidR="005C4A90">
              <w:rPr>
                <w:sz w:val="20"/>
                <w:szCs w:val="20"/>
                <w:lang w:val="en-US"/>
              </w:rPr>
              <w:t xml:space="preserve"> ± 2.07E-2</w:t>
            </w:r>
          </w:p>
        </w:tc>
      </w:tr>
      <w:tr w:rsidR="005C180F" w:rsidRPr="000E54E0" w14:paraId="217FE4BB" w14:textId="77777777" w:rsidTr="00B71194">
        <w:trPr>
          <w:trHeight w:val="265"/>
          <w:jc w:val="center"/>
        </w:trPr>
        <w:tc>
          <w:tcPr>
            <w:tcW w:w="2536" w:type="dxa"/>
            <w:vAlign w:val="center"/>
          </w:tcPr>
          <w:p w14:paraId="69FE9D9F" w14:textId="77777777" w:rsidR="00354200" w:rsidRPr="000E54E0" w:rsidRDefault="00354200" w:rsidP="00354200">
            <w:pPr>
              <w:jc w:val="center"/>
              <w:rPr>
                <w:sz w:val="20"/>
                <w:szCs w:val="20"/>
                <w:lang w:val="en-US"/>
              </w:rPr>
            </w:pPr>
            <w:proofErr w:type="spellStart"/>
            <w:r w:rsidRPr="00170748">
              <w:rPr>
                <w:sz w:val="20"/>
                <w:szCs w:val="52"/>
              </w:rPr>
              <w:t>Pyrene</w:t>
            </w:r>
            <w:proofErr w:type="spellEnd"/>
          </w:p>
        </w:tc>
        <w:tc>
          <w:tcPr>
            <w:tcW w:w="1003" w:type="dxa"/>
            <w:vAlign w:val="center"/>
          </w:tcPr>
          <w:p w14:paraId="67F1CAC1"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41FC40D4" w14:textId="26BF0C0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054FE261" w14:textId="77777777" w:rsidR="00354200" w:rsidRPr="000E54E0" w:rsidRDefault="00354200" w:rsidP="00354200">
            <w:pPr>
              <w:jc w:val="center"/>
              <w:rPr>
                <w:sz w:val="20"/>
                <w:szCs w:val="20"/>
                <w:lang w:val="en-US"/>
              </w:rPr>
            </w:pPr>
            <w:r>
              <w:rPr>
                <w:sz w:val="20"/>
                <w:szCs w:val="20"/>
                <w:lang w:val="en-US"/>
              </w:rPr>
              <w:t>1.20E-1</w:t>
            </w:r>
          </w:p>
        </w:tc>
        <w:tc>
          <w:tcPr>
            <w:tcW w:w="1135" w:type="dxa"/>
            <w:vAlign w:val="center"/>
          </w:tcPr>
          <w:p w14:paraId="64AC6326"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4464A6AF"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645B6768"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19AE6D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4E96625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4802E3"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7A3C9C2"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5EA5128C" w14:textId="77777777" w:rsidTr="00B71194">
        <w:trPr>
          <w:trHeight w:val="265"/>
          <w:jc w:val="center"/>
        </w:trPr>
        <w:tc>
          <w:tcPr>
            <w:tcW w:w="2536" w:type="dxa"/>
            <w:vAlign w:val="center"/>
          </w:tcPr>
          <w:p w14:paraId="427697D3" w14:textId="77777777" w:rsidR="00354200" w:rsidRPr="00926F2A" w:rsidRDefault="00354200" w:rsidP="00354200">
            <w:pPr>
              <w:jc w:val="center"/>
              <w:rPr>
                <w:sz w:val="20"/>
                <w:szCs w:val="20"/>
                <w:lang w:val="en-US"/>
              </w:rPr>
            </w:pPr>
            <w:r w:rsidRPr="00926F2A">
              <w:rPr>
                <w:sz w:val="20"/>
                <w:szCs w:val="20"/>
              </w:rPr>
              <w:t>9,10-Phenanthrenequinone</w:t>
            </w:r>
          </w:p>
        </w:tc>
        <w:tc>
          <w:tcPr>
            <w:tcW w:w="1003" w:type="dxa"/>
            <w:vAlign w:val="center"/>
          </w:tcPr>
          <w:p w14:paraId="5AAB54D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79E2981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4F292D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68F7F0C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0ADD2F1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6263E6DC"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D9C628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637CE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9F901EF"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70CC09E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1DA95992" w14:textId="77777777" w:rsidTr="00B71194">
        <w:trPr>
          <w:trHeight w:val="280"/>
          <w:jc w:val="center"/>
        </w:trPr>
        <w:tc>
          <w:tcPr>
            <w:tcW w:w="2536" w:type="dxa"/>
            <w:vAlign w:val="center"/>
          </w:tcPr>
          <w:p w14:paraId="7DC57C11" w14:textId="77777777" w:rsidR="00354200" w:rsidRPr="000E54E0" w:rsidRDefault="00354200" w:rsidP="00354200">
            <w:pPr>
              <w:jc w:val="center"/>
              <w:rPr>
                <w:sz w:val="20"/>
                <w:szCs w:val="20"/>
                <w:lang w:val="en-US"/>
              </w:rPr>
            </w:pPr>
            <w:proofErr w:type="spellStart"/>
            <w:r>
              <w:rPr>
                <w:sz w:val="20"/>
                <w:szCs w:val="20"/>
                <w:lang w:val="en-US"/>
              </w:rPr>
              <w:t>Retene</w:t>
            </w:r>
            <w:proofErr w:type="spellEnd"/>
          </w:p>
        </w:tc>
        <w:tc>
          <w:tcPr>
            <w:tcW w:w="1003" w:type="dxa"/>
            <w:vAlign w:val="center"/>
          </w:tcPr>
          <w:p w14:paraId="1C359802"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F1533B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B6D7C52"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324740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7279288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2D1482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6EDE8A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70030C42"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FFA25A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7A83643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7EB93EE3" w14:textId="77777777" w:rsidTr="00B71194">
        <w:trPr>
          <w:trHeight w:val="265"/>
          <w:jc w:val="center"/>
        </w:trPr>
        <w:tc>
          <w:tcPr>
            <w:tcW w:w="2536" w:type="dxa"/>
            <w:vAlign w:val="center"/>
          </w:tcPr>
          <w:p w14:paraId="04DDEE9D" w14:textId="77777777" w:rsidR="00354200" w:rsidRPr="00926F2A" w:rsidRDefault="00354200" w:rsidP="00354200">
            <w:pPr>
              <w:jc w:val="center"/>
              <w:rPr>
                <w:sz w:val="20"/>
                <w:szCs w:val="20"/>
                <w:lang w:val="en-US"/>
              </w:rPr>
            </w:pPr>
            <w:r w:rsidRPr="00926F2A">
              <w:rPr>
                <w:sz w:val="20"/>
                <w:szCs w:val="20"/>
              </w:rPr>
              <w:t>9-Nitrophenanthrene</w:t>
            </w:r>
          </w:p>
        </w:tc>
        <w:tc>
          <w:tcPr>
            <w:tcW w:w="1003" w:type="dxa"/>
            <w:vAlign w:val="center"/>
          </w:tcPr>
          <w:p w14:paraId="5117B5D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15A77A1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50338F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77AD448D"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D2BD9D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265120CB"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163BFC0"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3ABFDE7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6DC6AAD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7995B121"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372C3DC4" w14:textId="77777777" w:rsidTr="00B71194">
        <w:trPr>
          <w:trHeight w:val="265"/>
          <w:jc w:val="center"/>
        </w:trPr>
        <w:tc>
          <w:tcPr>
            <w:tcW w:w="2536" w:type="dxa"/>
            <w:vAlign w:val="center"/>
          </w:tcPr>
          <w:p w14:paraId="23AE8D11" w14:textId="77777777" w:rsidR="00354200" w:rsidRPr="00926F2A" w:rsidRDefault="00354200" w:rsidP="00354200">
            <w:pPr>
              <w:jc w:val="center"/>
              <w:rPr>
                <w:sz w:val="20"/>
                <w:szCs w:val="20"/>
                <w:lang w:val="en-US"/>
              </w:rPr>
            </w:pPr>
            <w:r w:rsidRPr="00926F2A">
              <w:rPr>
                <w:sz w:val="20"/>
                <w:szCs w:val="20"/>
              </w:rPr>
              <w:t>9-Nitroantracene</w:t>
            </w:r>
          </w:p>
        </w:tc>
        <w:tc>
          <w:tcPr>
            <w:tcW w:w="1003" w:type="dxa"/>
            <w:vAlign w:val="center"/>
          </w:tcPr>
          <w:p w14:paraId="7A668FB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BA4C88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BACF97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05EB4D0F"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2EF7F17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78F76B3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6D85EDD"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75BC2E4E"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F49675D"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4E0F2C8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3C45EB51" w14:textId="77777777" w:rsidTr="00B71194">
        <w:trPr>
          <w:trHeight w:val="265"/>
          <w:jc w:val="center"/>
        </w:trPr>
        <w:tc>
          <w:tcPr>
            <w:tcW w:w="2536" w:type="dxa"/>
            <w:vAlign w:val="center"/>
          </w:tcPr>
          <w:p w14:paraId="374A524F" w14:textId="77777777" w:rsidR="00354200" w:rsidRPr="00926F2A" w:rsidRDefault="00354200" w:rsidP="00354200">
            <w:pPr>
              <w:jc w:val="center"/>
              <w:rPr>
                <w:sz w:val="20"/>
                <w:szCs w:val="20"/>
                <w:lang w:val="en-US"/>
              </w:rPr>
            </w:pPr>
            <w:r w:rsidRPr="00926F2A">
              <w:rPr>
                <w:sz w:val="20"/>
                <w:szCs w:val="20"/>
              </w:rPr>
              <w:t>Benzo[</w:t>
            </w:r>
            <w:r w:rsidRPr="00926F2A">
              <w:rPr>
                <w:i/>
                <w:sz w:val="20"/>
                <w:szCs w:val="20"/>
              </w:rPr>
              <w:t>a</w:t>
            </w:r>
            <w:r w:rsidRPr="00926F2A">
              <w:rPr>
                <w:sz w:val="20"/>
                <w:szCs w:val="20"/>
              </w:rPr>
              <w:t>]</w:t>
            </w:r>
            <w:proofErr w:type="spellStart"/>
            <w:r w:rsidRPr="00926F2A">
              <w:rPr>
                <w:sz w:val="20"/>
                <w:szCs w:val="20"/>
              </w:rPr>
              <w:t>fluorenone</w:t>
            </w:r>
            <w:proofErr w:type="spellEnd"/>
          </w:p>
        </w:tc>
        <w:tc>
          <w:tcPr>
            <w:tcW w:w="1003" w:type="dxa"/>
            <w:vAlign w:val="center"/>
          </w:tcPr>
          <w:p w14:paraId="39446CD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110FC97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5B0F33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10701B31"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7CFEAD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3E70EA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CEFC37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652A33CC"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1F12003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109EEF10"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67D4D791" w14:textId="77777777" w:rsidTr="00B71194">
        <w:trPr>
          <w:trHeight w:val="265"/>
          <w:jc w:val="center"/>
        </w:trPr>
        <w:tc>
          <w:tcPr>
            <w:tcW w:w="2536" w:type="dxa"/>
            <w:vAlign w:val="center"/>
          </w:tcPr>
          <w:p w14:paraId="6161463C" w14:textId="77777777" w:rsidR="00354200" w:rsidRPr="00926F2A" w:rsidRDefault="00354200" w:rsidP="00354200">
            <w:pPr>
              <w:jc w:val="center"/>
              <w:rPr>
                <w:sz w:val="20"/>
                <w:szCs w:val="20"/>
                <w:lang w:val="en-US"/>
              </w:rPr>
            </w:pPr>
            <w:r w:rsidRPr="00926F2A">
              <w:rPr>
                <w:sz w:val="20"/>
                <w:szCs w:val="20"/>
              </w:rPr>
              <w:t>Benz[</w:t>
            </w:r>
            <w:r w:rsidRPr="00926F2A">
              <w:rPr>
                <w:i/>
                <w:sz w:val="20"/>
                <w:szCs w:val="20"/>
              </w:rPr>
              <w:t>a</w:t>
            </w:r>
            <w:r w:rsidRPr="00926F2A">
              <w:rPr>
                <w:sz w:val="20"/>
                <w:szCs w:val="20"/>
              </w:rPr>
              <w:t>]</w:t>
            </w:r>
            <w:proofErr w:type="spellStart"/>
            <w:r w:rsidRPr="00926F2A">
              <w:rPr>
                <w:sz w:val="20"/>
                <w:szCs w:val="20"/>
              </w:rPr>
              <w:t>anthracene</w:t>
            </w:r>
            <w:proofErr w:type="spellEnd"/>
          </w:p>
        </w:tc>
        <w:tc>
          <w:tcPr>
            <w:tcW w:w="1003" w:type="dxa"/>
            <w:vAlign w:val="center"/>
          </w:tcPr>
          <w:p w14:paraId="6BD0546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3242966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3F910D6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3ABB879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74DE35B"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1217EDA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B05FAF6"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F798588"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404AE4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629E23EB"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5C180F" w:rsidRPr="000E54E0" w14:paraId="63759EDE" w14:textId="77777777" w:rsidTr="00B71194">
        <w:trPr>
          <w:trHeight w:val="265"/>
          <w:jc w:val="center"/>
        </w:trPr>
        <w:tc>
          <w:tcPr>
            <w:tcW w:w="2536" w:type="dxa"/>
            <w:vAlign w:val="center"/>
          </w:tcPr>
          <w:p w14:paraId="6B5ED6C6" w14:textId="77777777" w:rsidR="00354200" w:rsidRPr="00926F2A" w:rsidRDefault="00354200" w:rsidP="00354200">
            <w:pPr>
              <w:jc w:val="center"/>
              <w:rPr>
                <w:sz w:val="20"/>
                <w:szCs w:val="20"/>
                <w:lang w:val="en-US"/>
              </w:rPr>
            </w:pPr>
            <w:proofErr w:type="spellStart"/>
            <w:r w:rsidRPr="00926F2A">
              <w:rPr>
                <w:sz w:val="20"/>
                <w:szCs w:val="20"/>
              </w:rPr>
              <w:t>Chrysene</w:t>
            </w:r>
            <w:proofErr w:type="spellEnd"/>
          </w:p>
        </w:tc>
        <w:tc>
          <w:tcPr>
            <w:tcW w:w="1003" w:type="dxa"/>
            <w:vAlign w:val="center"/>
          </w:tcPr>
          <w:p w14:paraId="306268D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A5D8E5F"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22BB32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61855E9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48AF597"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71FC82C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F33410C"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536151"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55C9594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28731EE9"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0E35D0" w:rsidRPr="000E54E0" w14:paraId="6863EB30" w14:textId="77777777" w:rsidTr="00B71194">
        <w:trPr>
          <w:trHeight w:val="265"/>
          <w:jc w:val="center"/>
        </w:trPr>
        <w:tc>
          <w:tcPr>
            <w:tcW w:w="2536" w:type="dxa"/>
            <w:vAlign w:val="center"/>
          </w:tcPr>
          <w:p w14:paraId="325C9CC4" w14:textId="77777777" w:rsidR="000E35D0" w:rsidRPr="00926F2A" w:rsidRDefault="000E35D0" w:rsidP="00E5371B">
            <w:pPr>
              <w:jc w:val="center"/>
              <w:rPr>
                <w:sz w:val="20"/>
                <w:szCs w:val="20"/>
                <w:lang w:val="en-US"/>
              </w:rPr>
            </w:pPr>
            <w:r w:rsidRPr="000E54E0">
              <w:rPr>
                <w:b/>
                <w:sz w:val="20"/>
                <w:szCs w:val="20"/>
                <w:lang w:val="en-US"/>
              </w:rPr>
              <w:lastRenderedPageBreak/>
              <w:t>Chemical species</w:t>
            </w:r>
          </w:p>
        </w:tc>
        <w:tc>
          <w:tcPr>
            <w:tcW w:w="1003" w:type="dxa"/>
            <w:vAlign w:val="center"/>
          </w:tcPr>
          <w:p w14:paraId="25F6D72F" w14:textId="77777777" w:rsidR="000E35D0" w:rsidRPr="000E54E0" w:rsidRDefault="000E35D0" w:rsidP="00E5371B">
            <w:pPr>
              <w:jc w:val="center"/>
              <w:rPr>
                <w:sz w:val="20"/>
                <w:szCs w:val="20"/>
                <w:lang w:val="en-US"/>
              </w:rPr>
            </w:pPr>
            <w:r w:rsidRPr="000E54E0">
              <w:rPr>
                <w:b/>
                <w:sz w:val="20"/>
                <w:szCs w:val="20"/>
                <w:lang w:val="en-US"/>
              </w:rPr>
              <w:t xml:space="preserve">Oral </w:t>
            </w:r>
            <w:proofErr w:type="spellStart"/>
            <w:r w:rsidRPr="000E54E0">
              <w:rPr>
                <w:b/>
                <w:i/>
                <w:sz w:val="20"/>
                <w:szCs w:val="20"/>
                <w:lang w:val="en-US"/>
              </w:rPr>
              <w:t>RfD</w:t>
            </w:r>
            <w:proofErr w:type="spellEnd"/>
          </w:p>
        </w:tc>
        <w:tc>
          <w:tcPr>
            <w:tcW w:w="1418" w:type="dxa"/>
            <w:vAlign w:val="center"/>
          </w:tcPr>
          <w:p w14:paraId="09A9E099" w14:textId="77777777" w:rsidR="000E35D0" w:rsidRPr="00354200" w:rsidRDefault="000E35D0" w:rsidP="00E5371B">
            <w:pPr>
              <w:jc w:val="center"/>
              <w:rPr>
                <w:sz w:val="18"/>
                <w:szCs w:val="18"/>
                <w:lang w:val="en-US"/>
              </w:rPr>
            </w:pPr>
            <w:r w:rsidRPr="00354200">
              <w:rPr>
                <w:b/>
                <w:sz w:val="18"/>
                <w:szCs w:val="18"/>
                <w:lang w:val="en-US"/>
              </w:rPr>
              <w:t>Ref.</w:t>
            </w:r>
          </w:p>
        </w:tc>
        <w:tc>
          <w:tcPr>
            <w:tcW w:w="1073" w:type="dxa"/>
            <w:vAlign w:val="center"/>
          </w:tcPr>
          <w:p w14:paraId="5519FBBD" w14:textId="77777777" w:rsidR="000E35D0" w:rsidRPr="000E54E0" w:rsidRDefault="000E35D0" w:rsidP="00E5371B">
            <w:pPr>
              <w:jc w:val="center"/>
              <w:rPr>
                <w:sz w:val="20"/>
                <w:szCs w:val="20"/>
                <w:lang w:val="en-US"/>
              </w:rPr>
            </w:pPr>
            <w:proofErr w:type="spellStart"/>
            <w:r w:rsidRPr="000E54E0">
              <w:rPr>
                <w:b/>
                <w:i/>
                <w:sz w:val="20"/>
                <w:szCs w:val="20"/>
                <w:lang w:val="en-US"/>
              </w:rPr>
              <w:t>RfC</w:t>
            </w:r>
            <w:proofErr w:type="spellEnd"/>
          </w:p>
        </w:tc>
        <w:tc>
          <w:tcPr>
            <w:tcW w:w="1135" w:type="dxa"/>
            <w:vAlign w:val="center"/>
          </w:tcPr>
          <w:p w14:paraId="60DB574D" w14:textId="77777777" w:rsidR="000E35D0" w:rsidRPr="00354200" w:rsidRDefault="000E35D0" w:rsidP="00E5371B">
            <w:pPr>
              <w:jc w:val="center"/>
              <w:rPr>
                <w:sz w:val="18"/>
                <w:szCs w:val="18"/>
                <w:lang w:val="en-US"/>
              </w:rPr>
            </w:pPr>
            <w:r w:rsidRPr="00354200">
              <w:rPr>
                <w:b/>
                <w:sz w:val="18"/>
                <w:szCs w:val="18"/>
                <w:lang w:val="en-US"/>
              </w:rPr>
              <w:t>Ref.</w:t>
            </w:r>
          </w:p>
        </w:tc>
        <w:tc>
          <w:tcPr>
            <w:tcW w:w="1194" w:type="dxa"/>
            <w:vAlign w:val="center"/>
          </w:tcPr>
          <w:p w14:paraId="59B1166A"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79B5BA7E" w14:textId="77777777" w:rsidR="000E35D0" w:rsidRPr="00354200" w:rsidRDefault="000E35D0" w:rsidP="00E5371B">
            <w:pPr>
              <w:jc w:val="center"/>
              <w:rPr>
                <w:sz w:val="18"/>
                <w:szCs w:val="18"/>
                <w:lang w:val="en-US"/>
              </w:rPr>
            </w:pPr>
            <w:r w:rsidRPr="00354200">
              <w:rPr>
                <w:b/>
                <w:sz w:val="18"/>
                <w:szCs w:val="18"/>
                <w:lang w:val="en-US"/>
              </w:rPr>
              <w:t>Ref.</w:t>
            </w:r>
          </w:p>
        </w:tc>
        <w:tc>
          <w:tcPr>
            <w:tcW w:w="909" w:type="dxa"/>
            <w:vAlign w:val="center"/>
          </w:tcPr>
          <w:p w14:paraId="4BC079BF" w14:textId="77777777" w:rsidR="000E35D0" w:rsidRPr="000E54E0" w:rsidRDefault="000E35D0" w:rsidP="00E5371B">
            <w:pPr>
              <w:jc w:val="center"/>
              <w:rPr>
                <w:sz w:val="20"/>
                <w:szCs w:val="20"/>
                <w:lang w:val="en-US"/>
              </w:rPr>
            </w:pPr>
            <w:r w:rsidRPr="000E54E0">
              <w:rPr>
                <w:b/>
                <w:sz w:val="20"/>
                <w:szCs w:val="20"/>
                <w:lang w:val="en-US"/>
              </w:rPr>
              <w:t>IUR</w:t>
            </w:r>
          </w:p>
        </w:tc>
        <w:tc>
          <w:tcPr>
            <w:tcW w:w="1399" w:type="dxa"/>
            <w:vAlign w:val="center"/>
          </w:tcPr>
          <w:p w14:paraId="320B6589" w14:textId="77777777" w:rsidR="000E35D0" w:rsidRPr="00354200" w:rsidRDefault="000E35D0" w:rsidP="00E5371B">
            <w:pPr>
              <w:jc w:val="center"/>
              <w:rPr>
                <w:sz w:val="18"/>
                <w:szCs w:val="18"/>
                <w:lang w:val="en-US"/>
              </w:rPr>
            </w:pPr>
            <w:r w:rsidRPr="00354200">
              <w:rPr>
                <w:b/>
                <w:sz w:val="18"/>
                <w:szCs w:val="18"/>
                <w:lang w:val="en-US"/>
              </w:rPr>
              <w:t>Ref.</w:t>
            </w:r>
          </w:p>
        </w:tc>
        <w:tc>
          <w:tcPr>
            <w:tcW w:w="992" w:type="dxa"/>
            <w:vAlign w:val="center"/>
          </w:tcPr>
          <w:p w14:paraId="7A4307BE" w14:textId="77777777" w:rsidR="000E35D0" w:rsidRPr="000E54E0" w:rsidRDefault="000E35D0" w:rsidP="00E5371B">
            <w:pPr>
              <w:jc w:val="center"/>
              <w:rPr>
                <w:sz w:val="20"/>
                <w:szCs w:val="20"/>
                <w:lang w:val="en-US"/>
              </w:rPr>
            </w:pPr>
            <w:r w:rsidRPr="000E54E0">
              <w:rPr>
                <w:b/>
                <w:sz w:val="20"/>
                <w:szCs w:val="20"/>
                <w:lang w:val="en-US"/>
              </w:rPr>
              <w:t xml:space="preserve">Dermal </w:t>
            </w:r>
            <w:proofErr w:type="spellStart"/>
            <w:r w:rsidRPr="000E54E0">
              <w:rPr>
                <w:b/>
                <w:i/>
                <w:sz w:val="20"/>
                <w:szCs w:val="20"/>
                <w:lang w:val="en-US"/>
              </w:rPr>
              <w:t>RfD</w:t>
            </w:r>
            <w:proofErr w:type="spellEnd"/>
            <w:r>
              <w:rPr>
                <w:b/>
                <w:i/>
                <w:sz w:val="20"/>
                <w:szCs w:val="20"/>
                <w:lang w:val="en-US"/>
              </w:rPr>
              <w:t xml:space="preserve"> *</w:t>
            </w:r>
          </w:p>
        </w:tc>
        <w:tc>
          <w:tcPr>
            <w:tcW w:w="1134" w:type="dxa"/>
            <w:vAlign w:val="center"/>
          </w:tcPr>
          <w:p w14:paraId="788CEF18" w14:textId="77777777" w:rsidR="000E35D0" w:rsidRDefault="000E35D0" w:rsidP="00E5371B">
            <w:pPr>
              <w:jc w:val="center"/>
              <w:rPr>
                <w:b/>
                <w:sz w:val="20"/>
                <w:szCs w:val="20"/>
                <w:lang w:val="en-US"/>
              </w:rPr>
            </w:pPr>
            <w:r w:rsidRPr="000E54E0">
              <w:rPr>
                <w:b/>
                <w:sz w:val="20"/>
                <w:szCs w:val="20"/>
                <w:lang w:val="en-US"/>
              </w:rPr>
              <w:t>Dermal</w:t>
            </w:r>
          </w:p>
          <w:p w14:paraId="51BD5B49" w14:textId="77777777" w:rsidR="000E35D0" w:rsidRPr="000E54E0" w:rsidRDefault="000E35D0" w:rsidP="00E5371B">
            <w:pPr>
              <w:jc w:val="center"/>
              <w:rPr>
                <w:sz w:val="20"/>
                <w:szCs w:val="20"/>
                <w:lang w:val="en-US"/>
              </w:rPr>
            </w:pPr>
            <w:r w:rsidRPr="000E54E0">
              <w:rPr>
                <w:b/>
                <w:i/>
                <w:sz w:val="20"/>
                <w:szCs w:val="20"/>
                <w:lang w:val="en-US"/>
              </w:rPr>
              <w:t>SF</w:t>
            </w:r>
            <w:r>
              <w:rPr>
                <w:b/>
                <w:i/>
                <w:sz w:val="20"/>
                <w:szCs w:val="20"/>
                <w:lang w:val="en-US"/>
              </w:rPr>
              <w:t xml:space="preserve"> **</w:t>
            </w:r>
          </w:p>
        </w:tc>
      </w:tr>
      <w:tr w:rsidR="000E35D0" w:rsidRPr="000E54E0" w14:paraId="26FC1C39" w14:textId="77777777" w:rsidTr="00B71194">
        <w:trPr>
          <w:trHeight w:val="265"/>
          <w:jc w:val="center"/>
        </w:trPr>
        <w:tc>
          <w:tcPr>
            <w:tcW w:w="2536" w:type="dxa"/>
            <w:vAlign w:val="center"/>
          </w:tcPr>
          <w:p w14:paraId="5C429150" w14:textId="77777777" w:rsidR="000E35D0" w:rsidRPr="000E54E0" w:rsidRDefault="000E35D0" w:rsidP="00E5371B">
            <w:pPr>
              <w:jc w:val="center"/>
              <w:rPr>
                <w:b/>
                <w:sz w:val="20"/>
                <w:szCs w:val="20"/>
                <w:lang w:val="en-US"/>
              </w:rPr>
            </w:pPr>
            <w:r w:rsidRPr="00926F2A">
              <w:rPr>
                <w:sz w:val="20"/>
                <w:szCs w:val="20"/>
              </w:rPr>
              <w:t>1-Nitropyrene</w:t>
            </w:r>
          </w:p>
        </w:tc>
        <w:tc>
          <w:tcPr>
            <w:tcW w:w="1003" w:type="dxa"/>
            <w:vAlign w:val="center"/>
          </w:tcPr>
          <w:p w14:paraId="00CD9417" w14:textId="77777777" w:rsidR="000E35D0" w:rsidRPr="000E54E0" w:rsidRDefault="000E35D0" w:rsidP="00E5371B">
            <w:pPr>
              <w:jc w:val="center"/>
              <w:rPr>
                <w:b/>
                <w:sz w:val="20"/>
                <w:szCs w:val="20"/>
                <w:lang w:val="en-US"/>
              </w:rPr>
            </w:pPr>
            <w:proofErr w:type="spellStart"/>
            <w:r>
              <w:rPr>
                <w:sz w:val="20"/>
                <w:szCs w:val="20"/>
                <w:lang w:val="en-US"/>
              </w:rPr>
              <w:t>n.a.</w:t>
            </w:r>
            <w:proofErr w:type="spellEnd"/>
          </w:p>
        </w:tc>
        <w:tc>
          <w:tcPr>
            <w:tcW w:w="1418" w:type="dxa"/>
            <w:vAlign w:val="center"/>
          </w:tcPr>
          <w:p w14:paraId="69B6EAA7" w14:textId="77777777" w:rsidR="000E35D0" w:rsidRPr="00354200" w:rsidRDefault="000E35D0" w:rsidP="00E5371B">
            <w:pPr>
              <w:jc w:val="center"/>
              <w:rPr>
                <w:b/>
                <w:sz w:val="18"/>
                <w:szCs w:val="18"/>
                <w:lang w:val="en-US"/>
              </w:rPr>
            </w:pPr>
            <w:r w:rsidRPr="00354200">
              <w:rPr>
                <w:sz w:val="18"/>
                <w:szCs w:val="18"/>
                <w:lang w:val="en-US"/>
              </w:rPr>
              <w:t>#</w:t>
            </w:r>
          </w:p>
        </w:tc>
        <w:tc>
          <w:tcPr>
            <w:tcW w:w="1073" w:type="dxa"/>
            <w:vAlign w:val="center"/>
          </w:tcPr>
          <w:p w14:paraId="295500A2" w14:textId="77777777" w:rsidR="000E35D0" w:rsidRPr="000E54E0" w:rsidRDefault="000E35D0" w:rsidP="00E5371B">
            <w:pPr>
              <w:jc w:val="center"/>
              <w:rPr>
                <w:b/>
                <w:sz w:val="20"/>
                <w:szCs w:val="20"/>
                <w:lang w:val="en-US"/>
              </w:rPr>
            </w:pPr>
            <w:proofErr w:type="spellStart"/>
            <w:r>
              <w:rPr>
                <w:sz w:val="20"/>
                <w:szCs w:val="20"/>
                <w:lang w:val="en-US"/>
              </w:rPr>
              <w:t>n.a.</w:t>
            </w:r>
            <w:proofErr w:type="spellEnd"/>
          </w:p>
        </w:tc>
        <w:tc>
          <w:tcPr>
            <w:tcW w:w="1135" w:type="dxa"/>
            <w:vAlign w:val="center"/>
          </w:tcPr>
          <w:p w14:paraId="3D05FE60" w14:textId="77777777" w:rsidR="000E35D0" w:rsidRPr="00354200" w:rsidRDefault="000E35D0" w:rsidP="00E5371B">
            <w:pPr>
              <w:jc w:val="center"/>
              <w:rPr>
                <w:b/>
                <w:sz w:val="18"/>
                <w:szCs w:val="18"/>
                <w:lang w:val="en-US"/>
              </w:rPr>
            </w:pPr>
            <w:r w:rsidRPr="00354200">
              <w:rPr>
                <w:sz w:val="18"/>
                <w:szCs w:val="18"/>
                <w:lang w:val="en-US"/>
              </w:rPr>
              <w:t>#</w:t>
            </w:r>
          </w:p>
        </w:tc>
        <w:tc>
          <w:tcPr>
            <w:tcW w:w="1194" w:type="dxa"/>
            <w:vAlign w:val="center"/>
          </w:tcPr>
          <w:p w14:paraId="29FC7335" w14:textId="77777777" w:rsidR="000E35D0" w:rsidRPr="000E54E0" w:rsidRDefault="000E35D0" w:rsidP="00E5371B">
            <w:pPr>
              <w:jc w:val="center"/>
              <w:rPr>
                <w:b/>
                <w:sz w:val="20"/>
                <w:szCs w:val="20"/>
                <w:lang w:val="en-US"/>
              </w:rPr>
            </w:pPr>
            <w:r>
              <w:rPr>
                <w:sz w:val="20"/>
                <w:szCs w:val="20"/>
                <w:lang w:val="en-US"/>
              </w:rPr>
              <w:t>1.20E+0</w:t>
            </w:r>
            <w:r w:rsidR="00721D46">
              <w:rPr>
                <w:sz w:val="20"/>
                <w:szCs w:val="20"/>
                <w:lang w:val="en-US"/>
              </w:rPr>
              <w:t xml:space="preserve"> ± 1.04E-1</w:t>
            </w:r>
          </w:p>
        </w:tc>
        <w:tc>
          <w:tcPr>
            <w:tcW w:w="1377" w:type="dxa"/>
            <w:vAlign w:val="center"/>
          </w:tcPr>
          <w:p w14:paraId="54DC72EC"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2831AA31" w14:textId="77777777" w:rsidR="000E35D0" w:rsidRPr="000E54E0" w:rsidRDefault="000E35D0" w:rsidP="00E5371B">
            <w:pPr>
              <w:jc w:val="center"/>
              <w:rPr>
                <w:b/>
                <w:sz w:val="20"/>
                <w:szCs w:val="20"/>
                <w:lang w:val="en-US"/>
              </w:rPr>
            </w:pPr>
            <w:r>
              <w:rPr>
                <w:sz w:val="20"/>
                <w:szCs w:val="20"/>
                <w:lang w:val="en-US"/>
              </w:rPr>
              <w:t>1.10E-1</w:t>
            </w:r>
          </w:p>
        </w:tc>
        <w:tc>
          <w:tcPr>
            <w:tcW w:w="1399" w:type="dxa"/>
            <w:vAlign w:val="center"/>
          </w:tcPr>
          <w:p w14:paraId="145AE734"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7E6481B7" w14:textId="77777777" w:rsidR="000E35D0" w:rsidRPr="000E54E0" w:rsidRDefault="000E35D0" w:rsidP="00E5371B">
            <w:pPr>
              <w:jc w:val="center"/>
              <w:rPr>
                <w:b/>
                <w:sz w:val="20"/>
                <w:szCs w:val="20"/>
                <w:vertAlign w:val="subscript"/>
                <w:lang w:val="en-US"/>
              </w:rPr>
            </w:pPr>
            <w:proofErr w:type="spellStart"/>
            <w:r>
              <w:rPr>
                <w:sz w:val="20"/>
                <w:szCs w:val="20"/>
                <w:lang w:val="en-US"/>
              </w:rPr>
              <w:t>n.a.</w:t>
            </w:r>
            <w:proofErr w:type="spellEnd"/>
          </w:p>
        </w:tc>
        <w:tc>
          <w:tcPr>
            <w:tcW w:w="1134" w:type="dxa"/>
            <w:vAlign w:val="center"/>
          </w:tcPr>
          <w:p w14:paraId="70D142C9" w14:textId="77777777" w:rsidR="000E35D0" w:rsidRPr="000E54E0" w:rsidRDefault="000E35D0" w:rsidP="00E5371B">
            <w:pPr>
              <w:jc w:val="center"/>
              <w:rPr>
                <w:b/>
                <w:sz w:val="20"/>
                <w:szCs w:val="20"/>
                <w:lang w:val="en-US"/>
              </w:rPr>
            </w:pPr>
            <w:r>
              <w:rPr>
                <w:sz w:val="20"/>
                <w:szCs w:val="20"/>
                <w:lang w:val="en-US"/>
              </w:rPr>
              <w:t>2.40E+0</w:t>
            </w:r>
            <w:r w:rsidR="00721D46">
              <w:rPr>
                <w:sz w:val="20"/>
                <w:szCs w:val="20"/>
                <w:lang w:val="en-US"/>
              </w:rPr>
              <w:t xml:space="preserve"> ± 2.07E-1</w:t>
            </w:r>
          </w:p>
        </w:tc>
      </w:tr>
      <w:tr w:rsidR="000E35D0" w:rsidRPr="000E54E0" w14:paraId="2D7807EB" w14:textId="77777777" w:rsidTr="00B71194">
        <w:trPr>
          <w:trHeight w:val="265"/>
          <w:jc w:val="center"/>
        </w:trPr>
        <w:tc>
          <w:tcPr>
            <w:tcW w:w="2536" w:type="dxa"/>
            <w:vAlign w:val="center"/>
          </w:tcPr>
          <w:p w14:paraId="30D36C48" w14:textId="77777777" w:rsidR="000E35D0" w:rsidRPr="00926F2A" w:rsidRDefault="000E35D0" w:rsidP="000E35D0">
            <w:pPr>
              <w:jc w:val="center"/>
              <w:rPr>
                <w:sz w:val="20"/>
                <w:szCs w:val="20"/>
                <w:lang w:val="en-US"/>
              </w:rPr>
            </w:pPr>
            <w:r w:rsidRPr="008B59B4">
              <w:rPr>
                <w:sz w:val="20"/>
                <w:szCs w:val="20"/>
              </w:rPr>
              <w:t>Benzo[</w:t>
            </w:r>
            <w:r w:rsidRPr="008B59B4">
              <w:rPr>
                <w:i/>
                <w:sz w:val="20"/>
                <w:szCs w:val="20"/>
              </w:rPr>
              <w:t>b</w:t>
            </w:r>
            <w:r w:rsidRPr="008B59B4">
              <w:rPr>
                <w:sz w:val="20"/>
                <w:szCs w:val="20"/>
              </w:rPr>
              <w:t>]</w:t>
            </w:r>
            <w:proofErr w:type="spellStart"/>
            <w:r w:rsidRPr="008B59B4">
              <w:rPr>
                <w:sz w:val="20"/>
                <w:szCs w:val="20"/>
              </w:rPr>
              <w:t>fluoranthene</w:t>
            </w:r>
            <w:proofErr w:type="spellEnd"/>
          </w:p>
        </w:tc>
        <w:tc>
          <w:tcPr>
            <w:tcW w:w="1003" w:type="dxa"/>
            <w:vAlign w:val="center"/>
          </w:tcPr>
          <w:p w14:paraId="39EDDB20" w14:textId="77777777" w:rsidR="000E35D0" w:rsidRPr="000E54E0" w:rsidRDefault="000E35D0" w:rsidP="000E35D0">
            <w:pPr>
              <w:jc w:val="center"/>
              <w:rPr>
                <w:sz w:val="20"/>
                <w:szCs w:val="20"/>
                <w:lang w:val="en-US"/>
              </w:rPr>
            </w:pPr>
            <w:proofErr w:type="spellStart"/>
            <w:r>
              <w:rPr>
                <w:sz w:val="20"/>
                <w:szCs w:val="20"/>
                <w:lang w:val="en-US"/>
              </w:rPr>
              <w:t>n.a.</w:t>
            </w:r>
            <w:proofErr w:type="spellEnd"/>
          </w:p>
        </w:tc>
        <w:tc>
          <w:tcPr>
            <w:tcW w:w="1418" w:type="dxa"/>
            <w:vAlign w:val="center"/>
          </w:tcPr>
          <w:p w14:paraId="74FC33B6" w14:textId="77777777" w:rsidR="000E35D0" w:rsidRPr="00354200" w:rsidRDefault="000E35D0" w:rsidP="000E35D0">
            <w:pPr>
              <w:jc w:val="center"/>
              <w:rPr>
                <w:sz w:val="18"/>
                <w:szCs w:val="18"/>
                <w:lang w:val="en-US"/>
              </w:rPr>
            </w:pPr>
            <w:r w:rsidRPr="00354200">
              <w:rPr>
                <w:sz w:val="18"/>
                <w:szCs w:val="18"/>
                <w:lang w:val="en-US"/>
              </w:rPr>
              <w:t>#</w:t>
            </w:r>
          </w:p>
        </w:tc>
        <w:tc>
          <w:tcPr>
            <w:tcW w:w="1073" w:type="dxa"/>
            <w:vAlign w:val="center"/>
          </w:tcPr>
          <w:p w14:paraId="0A58CC33" w14:textId="77777777" w:rsidR="000E35D0" w:rsidRPr="000E54E0" w:rsidRDefault="000E35D0" w:rsidP="000E35D0">
            <w:pPr>
              <w:jc w:val="center"/>
              <w:rPr>
                <w:sz w:val="20"/>
                <w:szCs w:val="20"/>
                <w:lang w:val="en-US"/>
              </w:rPr>
            </w:pPr>
            <w:proofErr w:type="spellStart"/>
            <w:r>
              <w:rPr>
                <w:sz w:val="20"/>
                <w:szCs w:val="20"/>
                <w:lang w:val="en-US"/>
              </w:rPr>
              <w:t>n.a.</w:t>
            </w:r>
            <w:proofErr w:type="spellEnd"/>
          </w:p>
        </w:tc>
        <w:tc>
          <w:tcPr>
            <w:tcW w:w="1135" w:type="dxa"/>
            <w:vAlign w:val="center"/>
          </w:tcPr>
          <w:p w14:paraId="0B9E7668" w14:textId="77777777" w:rsidR="000E35D0" w:rsidRPr="00354200" w:rsidRDefault="000E35D0" w:rsidP="000E35D0">
            <w:pPr>
              <w:jc w:val="center"/>
              <w:rPr>
                <w:sz w:val="18"/>
                <w:szCs w:val="18"/>
                <w:lang w:val="en-US"/>
              </w:rPr>
            </w:pPr>
            <w:r w:rsidRPr="00354200">
              <w:rPr>
                <w:sz w:val="18"/>
                <w:szCs w:val="18"/>
                <w:lang w:val="en-US"/>
              </w:rPr>
              <w:t>#</w:t>
            </w:r>
          </w:p>
        </w:tc>
        <w:tc>
          <w:tcPr>
            <w:tcW w:w="1194" w:type="dxa"/>
            <w:vAlign w:val="center"/>
          </w:tcPr>
          <w:p w14:paraId="593117E5" w14:textId="77777777" w:rsidR="000E35D0" w:rsidRPr="000E54E0" w:rsidRDefault="000E35D0" w:rsidP="000E35D0">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4B6E9B29"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6D434E1B" w14:textId="77777777" w:rsidR="000E35D0" w:rsidRPr="000E54E0" w:rsidRDefault="000E35D0" w:rsidP="000E35D0">
            <w:pPr>
              <w:jc w:val="center"/>
              <w:rPr>
                <w:sz w:val="20"/>
                <w:szCs w:val="20"/>
                <w:lang w:val="en-US"/>
              </w:rPr>
            </w:pPr>
            <w:r>
              <w:rPr>
                <w:sz w:val="20"/>
                <w:szCs w:val="20"/>
                <w:lang w:val="en-US"/>
              </w:rPr>
              <w:t>3.10E-3</w:t>
            </w:r>
          </w:p>
        </w:tc>
        <w:tc>
          <w:tcPr>
            <w:tcW w:w="1399" w:type="dxa"/>
            <w:vAlign w:val="center"/>
          </w:tcPr>
          <w:p w14:paraId="4A185652"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2B47303" w14:textId="77777777" w:rsidR="000E35D0" w:rsidRPr="000E54E0" w:rsidRDefault="000E35D0" w:rsidP="000E35D0">
            <w:pPr>
              <w:jc w:val="center"/>
              <w:rPr>
                <w:sz w:val="20"/>
                <w:szCs w:val="20"/>
                <w:lang w:val="en-US"/>
              </w:rPr>
            </w:pPr>
            <w:proofErr w:type="spellStart"/>
            <w:r>
              <w:rPr>
                <w:sz w:val="20"/>
                <w:szCs w:val="20"/>
                <w:lang w:val="en-US"/>
              </w:rPr>
              <w:t>n.a.</w:t>
            </w:r>
            <w:proofErr w:type="spellEnd"/>
          </w:p>
        </w:tc>
        <w:tc>
          <w:tcPr>
            <w:tcW w:w="1134" w:type="dxa"/>
            <w:vAlign w:val="center"/>
          </w:tcPr>
          <w:p w14:paraId="7FAD1127" w14:textId="77777777" w:rsidR="000E35D0" w:rsidRPr="000E54E0" w:rsidRDefault="000E35D0" w:rsidP="000E35D0">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C3067ED" w14:textId="77777777" w:rsidTr="00B71194">
        <w:trPr>
          <w:trHeight w:val="265"/>
          <w:jc w:val="center"/>
        </w:trPr>
        <w:tc>
          <w:tcPr>
            <w:tcW w:w="2536" w:type="dxa"/>
            <w:vAlign w:val="center"/>
          </w:tcPr>
          <w:p w14:paraId="70D49ADC" w14:textId="77777777" w:rsidR="000E35D0" w:rsidRPr="00926F2A" w:rsidRDefault="000E35D0" w:rsidP="00E5371B">
            <w:pPr>
              <w:jc w:val="center"/>
              <w:rPr>
                <w:sz w:val="20"/>
                <w:szCs w:val="20"/>
                <w:lang w:val="en-US"/>
              </w:rPr>
            </w:pPr>
            <w:r w:rsidRPr="008B59B4">
              <w:rPr>
                <w:sz w:val="20"/>
                <w:szCs w:val="20"/>
              </w:rPr>
              <w:t>Benzo[</w:t>
            </w:r>
            <w:r>
              <w:rPr>
                <w:i/>
                <w:sz w:val="20"/>
                <w:szCs w:val="20"/>
              </w:rPr>
              <w:t>k</w:t>
            </w:r>
            <w:r w:rsidRPr="008B59B4">
              <w:rPr>
                <w:sz w:val="20"/>
                <w:szCs w:val="20"/>
              </w:rPr>
              <w:t>]</w:t>
            </w:r>
            <w:proofErr w:type="spellStart"/>
            <w:r w:rsidRPr="008B59B4">
              <w:rPr>
                <w:sz w:val="20"/>
                <w:szCs w:val="20"/>
              </w:rPr>
              <w:t>fluoranthene</w:t>
            </w:r>
            <w:proofErr w:type="spellEnd"/>
          </w:p>
        </w:tc>
        <w:tc>
          <w:tcPr>
            <w:tcW w:w="1003" w:type="dxa"/>
            <w:vAlign w:val="center"/>
          </w:tcPr>
          <w:p w14:paraId="2745D79E"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3D6D9F3E"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182D502"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03326C2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406B86A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781AA6BD"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17B9639"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6D3EE26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8026CB"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6F5CF50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223CE88" w14:textId="77777777" w:rsidTr="00B71194">
        <w:trPr>
          <w:trHeight w:val="265"/>
          <w:jc w:val="center"/>
        </w:trPr>
        <w:tc>
          <w:tcPr>
            <w:tcW w:w="2536" w:type="dxa"/>
            <w:vAlign w:val="center"/>
          </w:tcPr>
          <w:p w14:paraId="480FE868" w14:textId="77777777" w:rsidR="000E35D0" w:rsidRPr="008B59B4" w:rsidRDefault="000E35D0" w:rsidP="00E5371B">
            <w:pPr>
              <w:jc w:val="center"/>
              <w:rPr>
                <w:sz w:val="20"/>
                <w:szCs w:val="20"/>
                <w:lang w:val="en-US"/>
              </w:rPr>
            </w:pPr>
            <w:r w:rsidRPr="00AC1247">
              <w:rPr>
                <w:sz w:val="20"/>
                <w:szCs w:val="20"/>
              </w:rPr>
              <w:t>Benzo[</w:t>
            </w:r>
            <w:r w:rsidRPr="00AC1247">
              <w:rPr>
                <w:i/>
                <w:sz w:val="20"/>
                <w:szCs w:val="20"/>
              </w:rPr>
              <w:t>e</w:t>
            </w:r>
            <w:r w:rsidRPr="00AC1247">
              <w:rPr>
                <w:sz w:val="20"/>
                <w:szCs w:val="20"/>
              </w:rPr>
              <w:t>]</w:t>
            </w:r>
            <w:proofErr w:type="spellStart"/>
            <w:r w:rsidRPr="00AC1247">
              <w:rPr>
                <w:sz w:val="20"/>
                <w:szCs w:val="20"/>
              </w:rPr>
              <w:t>pyrene</w:t>
            </w:r>
            <w:proofErr w:type="spellEnd"/>
          </w:p>
        </w:tc>
        <w:tc>
          <w:tcPr>
            <w:tcW w:w="1003" w:type="dxa"/>
            <w:vAlign w:val="center"/>
          </w:tcPr>
          <w:p w14:paraId="2553BA8B"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18283B65"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A7B3D73"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44F1419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66EFFE5"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77" w:type="dxa"/>
            <w:vAlign w:val="center"/>
          </w:tcPr>
          <w:p w14:paraId="1B5BE88F"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FF56CDF"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99" w:type="dxa"/>
            <w:vAlign w:val="center"/>
          </w:tcPr>
          <w:p w14:paraId="755E8651"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4653D36D"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18E2DC22"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r>
      <w:tr w:rsidR="000E35D0" w:rsidRPr="000E54E0" w14:paraId="3ED9574C" w14:textId="77777777" w:rsidTr="00B71194">
        <w:trPr>
          <w:trHeight w:val="265"/>
          <w:jc w:val="center"/>
        </w:trPr>
        <w:tc>
          <w:tcPr>
            <w:tcW w:w="2536" w:type="dxa"/>
            <w:vAlign w:val="center"/>
          </w:tcPr>
          <w:p w14:paraId="42B70A80" w14:textId="77777777" w:rsidR="000E35D0" w:rsidRPr="000E54E0" w:rsidRDefault="000E35D0" w:rsidP="00E5371B">
            <w:pPr>
              <w:jc w:val="center"/>
              <w:rPr>
                <w:sz w:val="20"/>
                <w:szCs w:val="20"/>
                <w:lang w:val="en-US"/>
              </w:rPr>
            </w:pPr>
            <w:r w:rsidRPr="00AC1247">
              <w:rPr>
                <w:sz w:val="20"/>
                <w:szCs w:val="20"/>
              </w:rPr>
              <w:t>Benzo[</w:t>
            </w:r>
            <w:r>
              <w:rPr>
                <w:i/>
                <w:sz w:val="20"/>
                <w:szCs w:val="20"/>
              </w:rPr>
              <w:t>a</w:t>
            </w:r>
            <w:r w:rsidRPr="00AC1247">
              <w:rPr>
                <w:sz w:val="20"/>
                <w:szCs w:val="20"/>
              </w:rPr>
              <w:t>]</w:t>
            </w:r>
            <w:proofErr w:type="spellStart"/>
            <w:r w:rsidRPr="00AC1247">
              <w:rPr>
                <w:sz w:val="20"/>
                <w:szCs w:val="20"/>
              </w:rPr>
              <w:t>pyrene</w:t>
            </w:r>
            <w:proofErr w:type="spellEnd"/>
          </w:p>
        </w:tc>
        <w:tc>
          <w:tcPr>
            <w:tcW w:w="1003" w:type="dxa"/>
            <w:vAlign w:val="center"/>
          </w:tcPr>
          <w:p w14:paraId="031ABB34" w14:textId="77777777" w:rsidR="000E35D0" w:rsidRPr="000E54E0" w:rsidRDefault="000E35D0" w:rsidP="00E5371B">
            <w:pPr>
              <w:jc w:val="center"/>
              <w:rPr>
                <w:sz w:val="20"/>
                <w:szCs w:val="20"/>
                <w:lang w:val="en-US"/>
              </w:rPr>
            </w:pPr>
            <w:r>
              <w:rPr>
                <w:sz w:val="20"/>
                <w:szCs w:val="20"/>
                <w:lang w:val="en-US"/>
              </w:rPr>
              <w:t>3.00E-4</w:t>
            </w:r>
          </w:p>
        </w:tc>
        <w:tc>
          <w:tcPr>
            <w:tcW w:w="1418" w:type="dxa"/>
            <w:vAlign w:val="center"/>
          </w:tcPr>
          <w:p w14:paraId="338C602E" w14:textId="3DD60800"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B529796" w14:textId="77777777" w:rsidR="000E35D0" w:rsidRPr="000E54E0" w:rsidRDefault="000E35D0" w:rsidP="00E5371B">
            <w:pPr>
              <w:jc w:val="center"/>
              <w:rPr>
                <w:sz w:val="20"/>
                <w:szCs w:val="20"/>
                <w:lang w:val="en-US"/>
              </w:rPr>
            </w:pPr>
            <w:r>
              <w:rPr>
                <w:sz w:val="20"/>
                <w:szCs w:val="20"/>
                <w:lang w:val="en-US"/>
              </w:rPr>
              <w:t>2.00E-6</w:t>
            </w:r>
          </w:p>
        </w:tc>
        <w:tc>
          <w:tcPr>
            <w:tcW w:w="1135" w:type="dxa"/>
            <w:vAlign w:val="center"/>
          </w:tcPr>
          <w:p w14:paraId="1A8E1BED" w14:textId="1A6B9559"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58D2230C" w14:textId="77777777" w:rsidR="000E35D0" w:rsidRPr="000E54E0" w:rsidRDefault="000E35D0" w:rsidP="00E5371B">
            <w:pPr>
              <w:jc w:val="center"/>
              <w:rPr>
                <w:sz w:val="20"/>
                <w:szCs w:val="20"/>
                <w:lang w:val="en-US"/>
              </w:rPr>
            </w:pPr>
            <w:r>
              <w:rPr>
                <w:sz w:val="20"/>
                <w:szCs w:val="20"/>
                <w:lang w:val="en-US"/>
              </w:rPr>
              <w:t>1.00E+0</w:t>
            </w:r>
            <w:r w:rsidR="00721D46">
              <w:rPr>
                <w:sz w:val="20"/>
                <w:szCs w:val="20"/>
                <w:lang w:val="en-US"/>
              </w:rPr>
              <w:t xml:space="preserve"> ± 8.63E-2</w:t>
            </w:r>
          </w:p>
        </w:tc>
        <w:tc>
          <w:tcPr>
            <w:tcW w:w="1377" w:type="dxa"/>
            <w:vAlign w:val="center"/>
          </w:tcPr>
          <w:p w14:paraId="109755EF" w14:textId="14126F06"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8C86BBF" w14:textId="77777777" w:rsidR="000E35D0" w:rsidRPr="000E54E0" w:rsidRDefault="000E35D0" w:rsidP="00E5371B">
            <w:pPr>
              <w:jc w:val="center"/>
              <w:rPr>
                <w:sz w:val="20"/>
                <w:szCs w:val="20"/>
                <w:lang w:val="en-US"/>
              </w:rPr>
            </w:pPr>
            <w:r>
              <w:rPr>
                <w:sz w:val="20"/>
                <w:szCs w:val="20"/>
                <w:lang w:val="en-US"/>
              </w:rPr>
              <w:t>6.00E-1</w:t>
            </w:r>
          </w:p>
        </w:tc>
        <w:tc>
          <w:tcPr>
            <w:tcW w:w="1399" w:type="dxa"/>
            <w:vAlign w:val="center"/>
          </w:tcPr>
          <w:p w14:paraId="5BDA4185" w14:textId="50C8079E"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F1081ED" w14:textId="77777777" w:rsidR="000E35D0" w:rsidRPr="000E54E0" w:rsidRDefault="000E35D0" w:rsidP="00E5371B">
            <w:pPr>
              <w:jc w:val="center"/>
              <w:rPr>
                <w:sz w:val="20"/>
                <w:szCs w:val="20"/>
                <w:lang w:val="en-US"/>
              </w:rPr>
            </w:pPr>
            <w:r>
              <w:rPr>
                <w:sz w:val="20"/>
                <w:szCs w:val="20"/>
                <w:lang w:val="en-US"/>
              </w:rPr>
              <w:t>2.67E-4</w:t>
            </w:r>
          </w:p>
        </w:tc>
        <w:tc>
          <w:tcPr>
            <w:tcW w:w="1134" w:type="dxa"/>
            <w:vAlign w:val="center"/>
          </w:tcPr>
          <w:p w14:paraId="17554F8B" w14:textId="77777777" w:rsidR="000E35D0" w:rsidRPr="000E54E0" w:rsidRDefault="000E35D0" w:rsidP="00E5371B">
            <w:pPr>
              <w:jc w:val="center"/>
              <w:rPr>
                <w:sz w:val="20"/>
                <w:szCs w:val="20"/>
                <w:lang w:val="en-US"/>
              </w:rPr>
            </w:pPr>
            <w:r>
              <w:rPr>
                <w:sz w:val="20"/>
                <w:szCs w:val="20"/>
                <w:lang w:val="en-US"/>
              </w:rPr>
              <w:t>1.12E+0</w:t>
            </w:r>
            <w:r w:rsidR="00721D46">
              <w:rPr>
                <w:sz w:val="20"/>
                <w:szCs w:val="20"/>
                <w:lang w:val="en-US"/>
              </w:rPr>
              <w:t xml:space="preserve"> ± 9.66E-2</w:t>
            </w:r>
          </w:p>
        </w:tc>
      </w:tr>
      <w:tr w:rsidR="000E35D0" w:rsidRPr="000E54E0" w14:paraId="35C77D1C" w14:textId="77777777" w:rsidTr="00B71194">
        <w:trPr>
          <w:trHeight w:val="265"/>
          <w:jc w:val="center"/>
        </w:trPr>
        <w:tc>
          <w:tcPr>
            <w:tcW w:w="2536" w:type="dxa"/>
            <w:vAlign w:val="center"/>
          </w:tcPr>
          <w:p w14:paraId="32F6C33F" w14:textId="77777777" w:rsidR="000E35D0" w:rsidRPr="00AC1247" w:rsidRDefault="000E35D0" w:rsidP="00E5371B">
            <w:pPr>
              <w:jc w:val="center"/>
              <w:rPr>
                <w:sz w:val="20"/>
                <w:szCs w:val="20"/>
                <w:lang w:val="en-US"/>
              </w:rPr>
            </w:pPr>
            <w:r w:rsidRPr="00AC1247">
              <w:rPr>
                <w:sz w:val="20"/>
                <w:szCs w:val="20"/>
                <w:lang w:val="en-US"/>
              </w:rPr>
              <w:t>6H-Benzo[</w:t>
            </w:r>
            <w:r w:rsidRPr="00AC1247">
              <w:rPr>
                <w:i/>
                <w:iCs/>
                <w:sz w:val="20"/>
                <w:szCs w:val="20"/>
                <w:lang w:val="en-US"/>
              </w:rPr>
              <w:t>cd</w:t>
            </w:r>
            <w:r w:rsidRPr="00AC1247">
              <w:rPr>
                <w:sz w:val="20"/>
                <w:szCs w:val="20"/>
                <w:lang w:val="en-US"/>
              </w:rPr>
              <w:t>]pyren-6-one</w:t>
            </w:r>
          </w:p>
        </w:tc>
        <w:tc>
          <w:tcPr>
            <w:tcW w:w="1003" w:type="dxa"/>
            <w:vAlign w:val="center"/>
          </w:tcPr>
          <w:p w14:paraId="3FAD0A0C"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6C67571B"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385A476"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4903343C"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AF7B4D2"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77" w:type="dxa"/>
            <w:vAlign w:val="center"/>
          </w:tcPr>
          <w:p w14:paraId="2BE099A8"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627392CD"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99" w:type="dxa"/>
            <w:vAlign w:val="center"/>
          </w:tcPr>
          <w:p w14:paraId="06D3BB56"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03C68533"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71F0966B"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r>
      <w:tr w:rsidR="000E35D0" w:rsidRPr="000E54E0" w14:paraId="103DE5A9" w14:textId="77777777" w:rsidTr="00B71194">
        <w:trPr>
          <w:trHeight w:val="265"/>
          <w:jc w:val="center"/>
        </w:trPr>
        <w:tc>
          <w:tcPr>
            <w:tcW w:w="2536" w:type="dxa"/>
            <w:vAlign w:val="center"/>
          </w:tcPr>
          <w:p w14:paraId="411766ED" w14:textId="77777777" w:rsidR="000E35D0" w:rsidRPr="000E54E0" w:rsidRDefault="000E35D0" w:rsidP="00E5371B">
            <w:pPr>
              <w:jc w:val="center"/>
              <w:rPr>
                <w:sz w:val="20"/>
                <w:szCs w:val="20"/>
                <w:lang w:val="en-US"/>
              </w:rPr>
            </w:pPr>
            <w:proofErr w:type="spellStart"/>
            <w:r w:rsidRPr="00AC1247">
              <w:rPr>
                <w:sz w:val="20"/>
                <w:szCs w:val="20"/>
              </w:rPr>
              <w:t>Indeno</w:t>
            </w:r>
            <w:proofErr w:type="spellEnd"/>
            <w:r w:rsidRPr="00AC1247">
              <w:rPr>
                <w:sz w:val="20"/>
                <w:szCs w:val="20"/>
              </w:rPr>
              <w:t>[1,2,3-</w:t>
            </w:r>
            <w:proofErr w:type="gramStart"/>
            <w:r w:rsidRPr="00AC1247">
              <w:rPr>
                <w:i/>
                <w:iCs/>
                <w:sz w:val="20"/>
                <w:szCs w:val="20"/>
              </w:rPr>
              <w:t>cd</w:t>
            </w:r>
            <w:r w:rsidRPr="00AC1247">
              <w:rPr>
                <w:sz w:val="20"/>
                <w:szCs w:val="20"/>
              </w:rPr>
              <w:t>]</w:t>
            </w:r>
            <w:proofErr w:type="spellStart"/>
            <w:r w:rsidRPr="00AC1247">
              <w:rPr>
                <w:sz w:val="20"/>
                <w:szCs w:val="20"/>
              </w:rPr>
              <w:t>pyrene</w:t>
            </w:r>
            <w:proofErr w:type="spellEnd"/>
            <w:proofErr w:type="gramEnd"/>
          </w:p>
        </w:tc>
        <w:tc>
          <w:tcPr>
            <w:tcW w:w="1003" w:type="dxa"/>
            <w:vAlign w:val="center"/>
          </w:tcPr>
          <w:p w14:paraId="39D45E13"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2329DFC9"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187AF68B"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4050E1C7"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9F25A5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6181C88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AF5B62F"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F5B013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1497FA7"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2BB3151E"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32F59BE7" w14:textId="77777777" w:rsidTr="00B71194">
        <w:trPr>
          <w:trHeight w:val="265"/>
          <w:jc w:val="center"/>
        </w:trPr>
        <w:tc>
          <w:tcPr>
            <w:tcW w:w="2536" w:type="dxa"/>
            <w:vAlign w:val="center"/>
          </w:tcPr>
          <w:p w14:paraId="31A03BFE" w14:textId="77777777" w:rsidR="000E35D0" w:rsidRPr="00AC1247" w:rsidRDefault="000E35D0" w:rsidP="00E5371B">
            <w:pPr>
              <w:jc w:val="center"/>
              <w:rPr>
                <w:sz w:val="20"/>
                <w:szCs w:val="20"/>
                <w:lang w:val="en-US"/>
              </w:rPr>
            </w:pPr>
            <w:r w:rsidRPr="001A1044">
              <w:rPr>
                <w:sz w:val="20"/>
                <w:szCs w:val="20"/>
              </w:rPr>
              <w:t>6-Nitrobenzo[</w:t>
            </w:r>
            <w:r w:rsidRPr="001A1044">
              <w:rPr>
                <w:i/>
                <w:iCs/>
                <w:sz w:val="20"/>
                <w:szCs w:val="20"/>
              </w:rPr>
              <w:t>a</w:t>
            </w:r>
            <w:r w:rsidRPr="001A1044">
              <w:rPr>
                <w:sz w:val="20"/>
                <w:szCs w:val="20"/>
              </w:rPr>
              <w:t>]</w:t>
            </w:r>
            <w:proofErr w:type="spellStart"/>
            <w:r w:rsidRPr="001A1044">
              <w:rPr>
                <w:sz w:val="20"/>
                <w:szCs w:val="20"/>
              </w:rPr>
              <w:t>pyrene</w:t>
            </w:r>
            <w:proofErr w:type="spellEnd"/>
          </w:p>
        </w:tc>
        <w:tc>
          <w:tcPr>
            <w:tcW w:w="1003" w:type="dxa"/>
            <w:vAlign w:val="center"/>
          </w:tcPr>
          <w:p w14:paraId="6B2A5091"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5161CDF3"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026C61C"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5A8AEA0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E41D24F"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77" w:type="dxa"/>
            <w:vAlign w:val="center"/>
          </w:tcPr>
          <w:p w14:paraId="5E2DF584"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430BA79"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99" w:type="dxa"/>
            <w:vAlign w:val="center"/>
          </w:tcPr>
          <w:p w14:paraId="7C6E6E8C"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3393F2B6"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4DD301B7"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r>
      <w:tr w:rsidR="000E35D0" w:rsidRPr="00AC1247" w14:paraId="794F1C0F" w14:textId="77777777" w:rsidTr="00B71194">
        <w:trPr>
          <w:trHeight w:val="265"/>
          <w:jc w:val="center"/>
        </w:trPr>
        <w:tc>
          <w:tcPr>
            <w:tcW w:w="2536" w:type="dxa"/>
            <w:vAlign w:val="center"/>
          </w:tcPr>
          <w:p w14:paraId="136ABF44" w14:textId="77777777" w:rsidR="000E35D0" w:rsidRPr="00AC1247" w:rsidRDefault="000E35D0" w:rsidP="00E5371B">
            <w:pPr>
              <w:jc w:val="center"/>
              <w:rPr>
                <w:sz w:val="20"/>
                <w:szCs w:val="20"/>
                <w:lang w:val="en-US"/>
              </w:rPr>
            </w:pPr>
            <w:proofErr w:type="spellStart"/>
            <w:r w:rsidRPr="001A1044">
              <w:rPr>
                <w:sz w:val="20"/>
                <w:szCs w:val="20"/>
              </w:rPr>
              <w:t>Dibenz</w:t>
            </w:r>
            <w:proofErr w:type="spellEnd"/>
            <w:r w:rsidRPr="001A1044">
              <w:rPr>
                <w:sz w:val="20"/>
                <w:szCs w:val="20"/>
              </w:rPr>
              <w:t>[</w:t>
            </w:r>
            <w:proofErr w:type="spellStart"/>
            <w:proofErr w:type="gramStart"/>
            <w:r w:rsidRPr="001A1044">
              <w:rPr>
                <w:i/>
                <w:iCs/>
                <w:sz w:val="20"/>
                <w:szCs w:val="20"/>
              </w:rPr>
              <w:t>a</w:t>
            </w:r>
            <w:r w:rsidRPr="001A1044">
              <w:rPr>
                <w:sz w:val="20"/>
                <w:szCs w:val="20"/>
              </w:rPr>
              <w:t>,</w:t>
            </w:r>
            <w:r w:rsidRPr="001A1044">
              <w:rPr>
                <w:i/>
                <w:iCs/>
                <w:sz w:val="20"/>
                <w:szCs w:val="20"/>
              </w:rPr>
              <w:t>h</w:t>
            </w:r>
            <w:proofErr w:type="spellEnd"/>
            <w:proofErr w:type="gramEnd"/>
            <w:r w:rsidRPr="001A1044">
              <w:rPr>
                <w:sz w:val="20"/>
                <w:szCs w:val="20"/>
              </w:rPr>
              <w:t>]</w:t>
            </w:r>
            <w:proofErr w:type="spellStart"/>
            <w:r w:rsidRPr="001A1044">
              <w:rPr>
                <w:sz w:val="20"/>
                <w:szCs w:val="20"/>
              </w:rPr>
              <w:t>anthracene</w:t>
            </w:r>
            <w:proofErr w:type="spellEnd"/>
          </w:p>
        </w:tc>
        <w:tc>
          <w:tcPr>
            <w:tcW w:w="1003" w:type="dxa"/>
            <w:vAlign w:val="center"/>
          </w:tcPr>
          <w:p w14:paraId="01385F16"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6AA47820"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42A1591D"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42E48BA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54CE182D"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01824B0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E84BC08"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52E681B"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5CBA17"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205BB58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284529AB" w14:textId="77777777" w:rsidTr="00B71194">
        <w:trPr>
          <w:trHeight w:val="265"/>
          <w:jc w:val="center"/>
        </w:trPr>
        <w:tc>
          <w:tcPr>
            <w:tcW w:w="2536" w:type="dxa"/>
            <w:vAlign w:val="center"/>
          </w:tcPr>
          <w:p w14:paraId="6AF45180" w14:textId="77777777" w:rsidR="000E35D0" w:rsidRPr="001A1044" w:rsidRDefault="000E35D0" w:rsidP="00E5371B">
            <w:pPr>
              <w:jc w:val="center"/>
              <w:rPr>
                <w:sz w:val="20"/>
                <w:szCs w:val="20"/>
                <w:lang w:val="en-US"/>
              </w:rPr>
            </w:pPr>
            <w:r w:rsidRPr="001A1044">
              <w:rPr>
                <w:sz w:val="20"/>
                <w:szCs w:val="20"/>
              </w:rPr>
              <w:t>Benzo[</w:t>
            </w:r>
            <w:proofErr w:type="spellStart"/>
            <w:r w:rsidRPr="001A1044">
              <w:rPr>
                <w:i/>
                <w:sz w:val="20"/>
                <w:szCs w:val="20"/>
              </w:rPr>
              <w:t>ghi</w:t>
            </w:r>
            <w:proofErr w:type="spellEnd"/>
            <w:r w:rsidRPr="001A1044">
              <w:rPr>
                <w:sz w:val="20"/>
                <w:szCs w:val="20"/>
              </w:rPr>
              <w:t>]</w:t>
            </w:r>
            <w:proofErr w:type="spellStart"/>
            <w:r w:rsidRPr="001A1044">
              <w:rPr>
                <w:sz w:val="20"/>
                <w:szCs w:val="20"/>
              </w:rPr>
              <w:t>perylene</w:t>
            </w:r>
            <w:proofErr w:type="spellEnd"/>
          </w:p>
        </w:tc>
        <w:tc>
          <w:tcPr>
            <w:tcW w:w="1003" w:type="dxa"/>
            <w:vAlign w:val="center"/>
          </w:tcPr>
          <w:p w14:paraId="39E784A0" w14:textId="77777777" w:rsidR="000E35D0" w:rsidRPr="000E54E0" w:rsidRDefault="000E35D0" w:rsidP="00E5371B">
            <w:pPr>
              <w:jc w:val="center"/>
              <w:rPr>
                <w:sz w:val="20"/>
                <w:szCs w:val="20"/>
                <w:lang w:val="en-US"/>
              </w:rPr>
            </w:pPr>
            <w:r>
              <w:rPr>
                <w:sz w:val="20"/>
                <w:szCs w:val="20"/>
                <w:lang w:val="en-US"/>
              </w:rPr>
              <w:t>2.00E-3</w:t>
            </w:r>
          </w:p>
        </w:tc>
        <w:tc>
          <w:tcPr>
            <w:tcW w:w="1418" w:type="dxa"/>
            <w:vAlign w:val="center"/>
          </w:tcPr>
          <w:p w14:paraId="01D7C1F9"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4D392ABF" w14:textId="77777777" w:rsidR="000E35D0" w:rsidRPr="000E54E0" w:rsidRDefault="000E35D0" w:rsidP="00E5371B">
            <w:pPr>
              <w:jc w:val="center"/>
              <w:rPr>
                <w:sz w:val="20"/>
                <w:szCs w:val="20"/>
                <w:lang w:val="en-US"/>
              </w:rPr>
            </w:pPr>
            <w:r>
              <w:rPr>
                <w:sz w:val="20"/>
                <w:szCs w:val="20"/>
                <w:lang w:val="en-US"/>
              </w:rPr>
              <w:t>7.00E-3</w:t>
            </w:r>
          </w:p>
        </w:tc>
        <w:tc>
          <w:tcPr>
            <w:tcW w:w="1135" w:type="dxa"/>
            <w:vAlign w:val="center"/>
          </w:tcPr>
          <w:p w14:paraId="2529D18F"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50592235" w14:textId="77777777" w:rsidR="000E35D0" w:rsidRPr="000E54E0" w:rsidRDefault="000E35D0" w:rsidP="00E5371B">
            <w:pPr>
              <w:jc w:val="center"/>
              <w:rPr>
                <w:sz w:val="20"/>
                <w:szCs w:val="20"/>
                <w:lang w:val="en-US"/>
              </w:rPr>
            </w:pPr>
            <w:r>
              <w:rPr>
                <w:sz w:val="20"/>
                <w:szCs w:val="20"/>
                <w:lang w:val="en-US"/>
              </w:rPr>
              <w:t>2.30E-2</w:t>
            </w:r>
            <w:r w:rsidR="00721D46">
              <w:rPr>
                <w:sz w:val="20"/>
                <w:szCs w:val="20"/>
                <w:lang w:val="en-US"/>
              </w:rPr>
              <w:t xml:space="preserve"> ± 1.98E-3</w:t>
            </w:r>
          </w:p>
        </w:tc>
        <w:tc>
          <w:tcPr>
            <w:tcW w:w="1377" w:type="dxa"/>
            <w:vAlign w:val="center"/>
          </w:tcPr>
          <w:p w14:paraId="06821B2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8578C97" w14:textId="77777777" w:rsidR="000E35D0" w:rsidRPr="000E54E0" w:rsidRDefault="000E35D0" w:rsidP="00E5371B">
            <w:pPr>
              <w:jc w:val="center"/>
              <w:rPr>
                <w:sz w:val="20"/>
                <w:szCs w:val="20"/>
                <w:lang w:val="en-US"/>
              </w:rPr>
            </w:pPr>
            <w:r>
              <w:rPr>
                <w:sz w:val="20"/>
                <w:szCs w:val="20"/>
                <w:lang w:val="en-US"/>
              </w:rPr>
              <w:t>3.10E-4</w:t>
            </w:r>
          </w:p>
        </w:tc>
        <w:tc>
          <w:tcPr>
            <w:tcW w:w="1399" w:type="dxa"/>
            <w:vAlign w:val="center"/>
          </w:tcPr>
          <w:p w14:paraId="61B9614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1FD50A1A" w14:textId="77777777" w:rsidR="000E35D0" w:rsidRPr="000E54E0" w:rsidRDefault="000E35D0" w:rsidP="00E5371B">
            <w:pPr>
              <w:jc w:val="center"/>
              <w:rPr>
                <w:sz w:val="20"/>
                <w:szCs w:val="20"/>
                <w:lang w:val="en-US"/>
              </w:rPr>
            </w:pPr>
            <w:r>
              <w:rPr>
                <w:sz w:val="20"/>
                <w:szCs w:val="20"/>
                <w:lang w:val="en-US"/>
              </w:rPr>
              <w:t>1.78E-3</w:t>
            </w:r>
          </w:p>
        </w:tc>
        <w:tc>
          <w:tcPr>
            <w:tcW w:w="1134" w:type="dxa"/>
            <w:vAlign w:val="center"/>
          </w:tcPr>
          <w:p w14:paraId="4AF15B37" w14:textId="77777777" w:rsidR="000E35D0" w:rsidRPr="000E54E0" w:rsidRDefault="000E35D0" w:rsidP="00E5371B">
            <w:pPr>
              <w:jc w:val="center"/>
              <w:rPr>
                <w:sz w:val="20"/>
                <w:szCs w:val="20"/>
                <w:lang w:val="en-US"/>
              </w:rPr>
            </w:pPr>
            <w:r>
              <w:rPr>
                <w:sz w:val="20"/>
                <w:szCs w:val="20"/>
                <w:lang w:val="en-US"/>
              </w:rPr>
              <w:t>2.58E-2</w:t>
            </w:r>
            <w:r w:rsidR="00721D46">
              <w:rPr>
                <w:sz w:val="20"/>
                <w:szCs w:val="20"/>
                <w:lang w:val="en-US"/>
              </w:rPr>
              <w:t xml:space="preserve"> ± 2.23E-3</w:t>
            </w:r>
          </w:p>
        </w:tc>
      </w:tr>
      <w:tr w:rsidR="00044785" w:rsidRPr="00AC1247" w14:paraId="101C3392" w14:textId="77777777" w:rsidTr="00B71194">
        <w:trPr>
          <w:trHeight w:val="265"/>
          <w:jc w:val="center"/>
        </w:trPr>
        <w:tc>
          <w:tcPr>
            <w:tcW w:w="2536" w:type="dxa"/>
            <w:vAlign w:val="center"/>
          </w:tcPr>
          <w:p w14:paraId="005C530D" w14:textId="77777777" w:rsidR="00044785" w:rsidRPr="001A1044" w:rsidRDefault="00044785" w:rsidP="00044785">
            <w:pPr>
              <w:jc w:val="center"/>
              <w:rPr>
                <w:sz w:val="20"/>
                <w:szCs w:val="20"/>
              </w:rPr>
            </w:pPr>
            <w:r w:rsidRPr="0046087E">
              <w:rPr>
                <w:rStyle w:val="tlid-translation"/>
                <w:sz w:val="20"/>
                <w:lang w:val="en"/>
              </w:rPr>
              <w:t>Anthraquinone</w:t>
            </w:r>
          </w:p>
        </w:tc>
        <w:tc>
          <w:tcPr>
            <w:tcW w:w="1003" w:type="dxa"/>
            <w:vAlign w:val="center"/>
          </w:tcPr>
          <w:p w14:paraId="70EAC999" w14:textId="77777777" w:rsidR="00044785" w:rsidRDefault="00044785" w:rsidP="00044785">
            <w:pPr>
              <w:jc w:val="center"/>
              <w:rPr>
                <w:sz w:val="20"/>
                <w:szCs w:val="20"/>
                <w:lang w:val="en-US"/>
              </w:rPr>
            </w:pPr>
            <w:r>
              <w:rPr>
                <w:sz w:val="20"/>
                <w:szCs w:val="20"/>
                <w:lang w:val="en-US"/>
              </w:rPr>
              <w:t>2.00E-3</w:t>
            </w:r>
          </w:p>
        </w:tc>
        <w:tc>
          <w:tcPr>
            <w:tcW w:w="1418" w:type="dxa"/>
            <w:vAlign w:val="center"/>
          </w:tcPr>
          <w:p w14:paraId="7A44F568"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1073" w:type="dxa"/>
            <w:vAlign w:val="center"/>
          </w:tcPr>
          <w:p w14:paraId="4287848D" w14:textId="77777777" w:rsidR="00044785" w:rsidRPr="000E54E0" w:rsidRDefault="00044785" w:rsidP="00044785">
            <w:pPr>
              <w:jc w:val="center"/>
              <w:rPr>
                <w:sz w:val="20"/>
                <w:szCs w:val="20"/>
                <w:lang w:val="en-US"/>
              </w:rPr>
            </w:pPr>
            <w:proofErr w:type="spellStart"/>
            <w:r>
              <w:rPr>
                <w:sz w:val="20"/>
                <w:szCs w:val="20"/>
                <w:lang w:val="en-US"/>
              </w:rPr>
              <w:t>n.a.</w:t>
            </w:r>
            <w:proofErr w:type="spellEnd"/>
          </w:p>
        </w:tc>
        <w:tc>
          <w:tcPr>
            <w:tcW w:w="1135" w:type="dxa"/>
            <w:vAlign w:val="center"/>
          </w:tcPr>
          <w:p w14:paraId="63F4F31B" w14:textId="77777777" w:rsidR="00044785" w:rsidRPr="00354200" w:rsidRDefault="00044785" w:rsidP="00044785">
            <w:pPr>
              <w:jc w:val="center"/>
              <w:rPr>
                <w:sz w:val="18"/>
                <w:szCs w:val="18"/>
                <w:lang w:val="en-US"/>
              </w:rPr>
            </w:pPr>
            <w:r w:rsidRPr="00354200">
              <w:rPr>
                <w:sz w:val="18"/>
                <w:szCs w:val="18"/>
                <w:lang w:val="en-US"/>
              </w:rPr>
              <w:t>#</w:t>
            </w:r>
          </w:p>
        </w:tc>
        <w:tc>
          <w:tcPr>
            <w:tcW w:w="1194" w:type="dxa"/>
            <w:vAlign w:val="center"/>
          </w:tcPr>
          <w:p w14:paraId="471F4380" w14:textId="77777777" w:rsidR="00044785" w:rsidRDefault="00044785" w:rsidP="00044785">
            <w:pPr>
              <w:jc w:val="center"/>
              <w:rPr>
                <w:sz w:val="20"/>
                <w:szCs w:val="20"/>
                <w:lang w:val="en-US"/>
              </w:rPr>
            </w:pPr>
            <w:r>
              <w:rPr>
                <w:sz w:val="20"/>
                <w:szCs w:val="20"/>
                <w:lang w:val="en-US"/>
              </w:rPr>
              <w:t>4.00E-2</w:t>
            </w:r>
            <w:r w:rsidR="007357E6">
              <w:rPr>
                <w:sz w:val="20"/>
                <w:szCs w:val="20"/>
                <w:lang w:val="en-US"/>
              </w:rPr>
              <w:t xml:space="preserve"> ± 3.45E-3</w:t>
            </w:r>
          </w:p>
        </w:tc>
        <w:tc>
          <w:tcPr>
            <w:tcW w:w="1377" w:type="dxa"/>
            <w:vAlign w:val="center"/>
          </w:tcPr>
          <w:p w14:paraId="156D6689"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909" w:type="dxa"/>
            <w:vAlign w:val="center"/>
          </w:tcPr>
          <w:p w14:paraId="210351DD" w14:textId="77777777" w:rsidR="00044785" w:rsidRPr="000E54E0" w:rsidRDefault="00044785" w:rsidP="00044785">
            <w:pPr>
              <w:jc w:val="center"/>
              <w:rPr>
                <w:sz w:val="20"/>
                <w:szCs w:val="20"/>
                <w:lang w:val="en-US"/>
              </w:rPr>
            </w:pPr>
            <w:proofErr w:type="spellStart"/>
            <w:r>
              <w:rPr>
                <w:sz w:val="20"/>
                <w:szCs w:val="20"/>
                <w:lang w:val="en-US"/>
              </w:rPr>
              <w:t>n.a.</w:t>
            </w:r>
            <w:proofErr w:type="spellEnd"/>
          </w:p>
        </w:tc>
        <w:tc>
          <w:tcPr>
            <w:tcW w:w="1399" w:type="dxa"/>
            <w:vAlign w:val="center"/>
          </w:tcPr>
          <w:p w14:paraId="176858B0" w14:textId="77777777" w:rsidR="00044785" w:rsidRPr="00354200" w:rsidRDefault="00044785" w:rsidP="00044785">
            <w:pPr>
              <w:jc w:val="center"/>
              <w:rPr>
                <w:sz w:val="18"/>
                <w:szCs w:val="18"/>
                <w:lang w:val="en-US"/>
              </w:rPr>
            </w:pPr>
            <w:r w:rsidRPr="00354200">
              <w:rPr>
                <w:sz w:val="18"/>
                <w:szCs w:val="18"/>
                <w:lang w:val="en-US"/>
              </w:rPr>
              <w:t>#</w:t>
            </w:r>
          </w:p>
        </w:tc>
        <w:tc>
          <w:tcPr>
            <w:tcW w:w="992" w:type="dxa"/>
            <w:vAlign w:val="center"/>
          </w:tcPr>
          <w:p w14:paraId="191F23C5" w14:textId="77777777" w:rsidR="00044785" w:rsidRDefault="00085B61" w:rsidP="00044785">
            <w:pPr>
              <w:jc w:val="center"/>
              <w:rPr>
                <w:sz w:val="20"/>
                <w:szCs w:val="20"/>
                <w:lang w:val="en-US"/>
              </w:rPr>
            </w:pPr>
            <w:r>
              <w:rPr>
                <w:sz w:val="20"/>
                <w:szCs w:val="20"/>
                <w:lang w:val="en-US"/>
              </w:rPr>
              <w:t>1.00E-3</w:t>
            </w:r>
          </w:p>
        </w:tc>
        <w:tc>
          <w:tcPr>
            <w:tcW w:w="1134" w:type="dxa"/>
            <w:vAlign w:val="center"/>
          </w:tcPr>
          <w:p w14:paraId="5AABE926" w14:textId="77777777" w:rsidR="00044785" w:rsidRDefault="00F9136C" w:rsidP="00044785">
            <w:pPr>
              <w:jc w:val="center"/>
              <w:rPr>
                <w:sz w:val="20"/>
                <w:szCs w:val="20"/>
                <w:lang w:val="en-US"/>
              </w:rPr>
            </w:pPr>
            <w:r>
              <w:rPr>
                <w:sz w:val="20"/>
                <w:szCs w:val="20"/>
                <w:lang w:val="en-US"/>
              </w:rPr>
              <w:t>8.00E-2</w:t>
            </w:r>
            <w:r w:rsidR="007357E6">
              <w:rPr>
                <w:sz w:val="20"/>
                <w:szCs w:val="20"/>
                <w:lang w:val="en-US"/>
              </w:rPr>
              <w:t xml:space="preserve"> ± 6.90E-3</w:t>
            </w:r>
          </w:p>
        </w:tc>
      </w:tr>
      <w:tr w:rsidR="001763AE" w:rsidRPr="00AC1247" w14:paraId="5F814247" w14:textId="77777777" w:rsidTr="00B71194">
        <w:trPr>
          <w:trHeight w:val="265"/>
          <w:jc w:val="center"/>
        </w:trPr>
        <w:tc>
          <w:tcPr>
            <w:tcW w:w="2536" w:type="dxa"/>
            <w:vAlign w:val="center"/>
          </w:tcPr>
          <w:p w14:paraId="24F31692" w14:textId="77777777" w:rsidR="001763AE" w:rsidRPr="0046087E" w:rsidRDefault="001763AE" w:rsidP="001763AE">
            <w:pPr>
              <w:jc w:val="center"/>
              <w:rPr>
                <w:rStyle w:val="tlid-translation"/>
                <w:sz w:val="20"/>
                <w:lang w:val="en"/>
              </w:rPr>
            </w:pPr>
            <w:r w:rsidRPr="006B7417">
              <w:rPr>
                <w:rStyle w:val="tlid-translation"/>
                <w:sz w:val="20"/>
                <w:lang w:val="en"/>
              </w:rPr>
              <w:t>6-Nitrochrysene</w:t>
            </w:r>
          </w:p>
        </w:tc>
        <w:tc>
          <w:tcPr>
            <w:tcW w:w="1003" w:type="dxa"/>
            <w:vAlign w:val="center"/>
          </w:tcPr>
          <w:p w14:paraId="1CB5B12A" w14:textId="77777777" w:rsidR="001763AE" w:rsidRPr="000E54E0" w:rsidRDefault="001763AE" w:rsidP="001763AE">
            <w:pPr>
              <w:jc w:val="center"/>
              <w:rPr>
                <w:sz w:val="20"/>
                <w:szCs w:val="20"/>
                <w:lang w:val="en-US"/>
              </w:rPr>
            </w:pPr>
            <w:proofErr w:type="spellStart"/>
            <w:r>
              <w:rPr>
                <w:sz w:val="20"/>
                <w:szCs w:val="20"/>
                <w:lang w:val="en-US"/>
              </w:rPr>
              <w:t>n.a.</w:t>
            </w:r>
            <w:proofErr w:type="spellEnd"/>
          </w:p>
        </w:tc>
        <w:tc>
          <w:tcPr>
            <w:tcW w:w="1418" w:type="dxa"/>
            <w:vAlign w:val="center"/>
          </w:tcPr>
          <w:p w14:paraId="015A4EBC" w14:textId="77777777" w:rsidR="001763AE" w:rsidRPr="00354200" w:rsidRDefault="001763AE" w:rsidP="001763AE">
            <w:pPr>
              <w:jc w:val="center"/>
              <w:rPr>
                <w:sz w:val="18"/>
                <w:szCs w:val="18"/>
                <w:lang w:val="en-US"/>
              </w:rPr>
            </w:pPr>
            <w:r w:rsidRPr="00354200">
              <w:rPr>
                <w:sz w:val="18"/>
                <w:szCs w:val="18"/>
                <w:lang w:val="en-US"/>
              </w:rPr>
              <w:t>#</w:t>
            </w:r>
          </w:p>
        </w:tc>
        <w:tc>
          <w:tcPr>
            <w:tcW w:w="1073" w:type="dxa"/>
            <w:vAlign w:val="center"/>
          </w:tcPr>
          <w:p w14:paraId="008B37CD" w14:textId="77777777" w:rsidR="001763AE" w:rsidRPr="000E54E0" w:rsidRDefault="001763AE" w:rsidP="001763AE">
            <w:pPr>
              <w:jc w:val="center"/>
              <w:rPr>
                <w:sz w:val="20"/>
                <w:szCs w:val="20"/>
                <w:lang w:val="en-US"/>
              </w:rPr>
            </w:pPr>
            <w:proofErr w:type="spellStart"/>
            <w:r>
              <w:rPr>
                <w:sz w:val="20"/>
                <w:szCs w:val="20"/>
                <w:lang w:val="en-US"/>
              </w:rPr>
              <w:t>n.a.</w:t>
            </w:r>
            <w:proofErr w:type="spellEnd"/>
          </w:p>
        </w:tc>
        <w:tc>
          <w:tcPr>
            <w:tcW w:w="1135" w:type="dxa"/>
            <w:vAlign w:val="center"/>
          </w:tcPr>
          <w:p w14:paraId="77E85B1C" w14:textId="77777777" w:rsidR="001763AE" w:rsidRPr="00354200" w:rsidRDefault="001763AE" w:rsidP="001763AE">
            <w:pPr>
              <w:jc w:val="center"/>
              <w:rPr>
                <w:sz w:val="18"/>
                <w:szCs w:val="18"/>
                <w:lang w:val="en-US"/>
              </w:rPr>
            </w:pPr>
            <w:r w:rsidRPr="00354200">
              <w:rPr>
                <w:sz w:val="18"/>
                <w:szCs w:val="18"/>
                <w:lang w:val="en-US"/>
              </w:rPr>
              <w:t>#</w:t>
            </w:r>
          </w:p>
        </w:tc>
        <w:tc>
          <w:tcPr>
            <w:tcW w:w="1194" w:type="dxa"/>
            <w:vAlign w:val="center"/>
          </w:tcPr>
          <w:p w14:paraId="27FC29E2" w14:textId="77777777" w:rsidR="001763AE" w:rsidRDefault="001763AE" w:rsidP="001763AE">
            <w:pPr>
              <w:jc w:val="center"/>
              <w:rPr>
                <w:sz w:val="20"/>
                <w:szCs w:val="20"/>
                <w:lang w:val="en-US"/>
              </w:rPr>
            </w:pPr>
            <w:r>
              <w:rPr>
                <w:sz w:val="20"/>
                <w:szCs w:val="20"/>
                <w:lang w:val="en-US"/>
              </w:rPr>
              <w:t>1.20E+2 ± 1.04E+1</w:t>
            </w:r>
          </w:p>
        </w:tc>
        <w:tc>
          <w:tcPr>
            <w:tcW w:w="1377" w:type="dxa"/>
            <w:vAlign w:val="center"/>
          </w:tcPr>
          <w:p w14:paraId="0FDF9334"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0F1EEC0A" w14:textId="77777777" w:rsidR="001763AE" w:rsidRDefault="001763AE" w:rsidP="001763AE">
            <w:pPr>
              <w:jc w:val="center"/>
              <w:rPr>
                <w:sz w:val="20"/>
                <w:szCs w:val="20"/>
                <w:lang w:val="en-US"/>
              </w:rPr>
            </w:pPr>
            <w:r>
              <w:rPr>
                <w:sz w:val="20"/>
                <w:szCs w:val="20"/>
                <w:lang w:val="en-US"/>
              </w:rPr>
              <w:t>1.10E+1</w:t>
            </w:r>
          </w:p>
        </w:tc>
        <w:tc>
          <w:tcPr>
            <w:tcW w:w="1399" w:type="dxa"/>
            <w:vAlign w:val="center"/>
          </w:tcPr>
          <w:p w14:paraId="3051ED50"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5209D9F2" w14:textId="77777777" w:rsidR="001763AE" w:rsidRDefault="001763AE" w:rsidP="001763AE">
            <w:pPr>
              <w:jc w:val="center"/>
              <w:rPr>
                <w:sz w:val="20"/>
                <w:szCs w:val="20"/>
                <w:lang w:val="en-US"/>
              </w:rPr>
            </w:pPr>
            <w:proofErr w:type="spellStart"/>
            <w:r>
              <w:rPr>
                <w:sz w:val="20"/>
                <w:szCs w:val="20"/>
                <w:lang w:val="en-US"/>
              </w:rPr>
              <w:t>n.a.</w:t>
            </w:r>
            <w:proofErr w:type="spellEnd"/>
          </w:p>
        </w:tc>
        <w:tc>
          <w:tcPr>
            <w:tcW w:w="1134" w:type="dxa"/>
            <w:vAlign w:val="center"/>
          </w:tcPr>
          <w:p w14:paraId="5EFB087B" w14:textId="77777777" w:rsidR="001763AE" w:rsidRDefault="001763AE" w:rsidP="001763AE">
            <w:pPr>
              <w:jc w:val="center"/>
              <w:rPr>
                <w:sz w:val="20"/>
                <w:szCs w:val="20"/>
                <w:lang w:val="en-US"/>
              </w:rPr>
            </w:pPr>
            <w:r>
              <w:rPr>
                <w:sz w:val="20"/>
                <w:szCs w:val="20"/>
                <w:lang w:val="en-US"/>
              </w:rPr>
              <w:t>2.40E+2 ± 2.08E+1</w:t>
            </w:r>
          </w:p>
        </w:tc>
      </w:tr>
      <w:tr w:rsidR="00586AE2" w:rsidRPr="00AC1247" w14:paraId="75B5C1B8" w14:textId="77777777" w:rsidTr="00B71194">
        <w:trPr>
          <w:trHeight w:val="265"/>
          <w:jc w:val="center"/>
        </w:trPr>
        <w:tc>
          <w:tcPr>
            <w:tcW w:w="2536" w:type="dxa"/>
            <w:vAlign w:val="center"/>
          </w:tcPr>
          <w:p w14:paraId="7CD897B3" w14:textId="77777777" w:rsidR="00586AE2" w:rsidRPr="006B7417" w:rsidRDefault="00586AE2" w:rsidP="00586AE2">
            <w:pPr>
              <w:jc w:val="center"/>
              <w:rPr>
                <w:rStyle w:val="tlid-translation"/>
                <w:sz w:val="20"/>
                <w:lang w:val="en"/>
              </w:rPr>
            </w:pPr>
            <w:r w:rsidRPr="00DE28F7">
              <w:rPr>
                <w:rStyle w:val="tlid-translation"/>
                <w:sz w:val="20"/>
                <w:lang w:val="en"/>
              </w:rPr>
              <w:t>3-Nitrobenzanthrone</w:t>
            </w:r>
          </w:p>
        </w:tc>
        <w:tc>
          <w:tcPr>
            <w:tcW w:w="1003" w:type="dxa"/>
            <w:vAlign w:val="center"/>
          </w:tcPr>
          <w:p w14:paraId="1C409C2D"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418" w:type="dxa"/>
            <w:vAlign w:val="center"/>
          </w:tcPr>
          <w:p w14:paraId="75B41E6B" w14:textId="77777777" w:rsidR="00586AE2" w:rsidRPr="00354200" w:rsidRDefault="00586AE2" w:rsidP="00586AE2">
            <w:pPr>
              <w:jc w:val="center"/>
              <w:rPr>
                <w:sz w:val="18"/>
                <w:szCs w:val="18"/>
                <w:lang w:val="en-US"/>
              </w:rPr>
            </w:pPr>
            <w:r w:rsidRPr="00354200">
              <w:rPr>
                <w:sz w:val="18"/>
                <w:szCs w:val="18"/>
                <w:lang w:val="en-US"/>
              </w:rPr>
              <w:t>#</w:t>
            </w:r>
          </w:p>
        </w:tc>
        <w:tc>
          <w:tcPr>
            <w:tcW w:w="1073" w:type="dxa"/>
            <w:vAlign w:val="center"/>
          </w:tcPr>
          <w:p w14:paraId="19FFF84B"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135" w:type="dxa"/>
            <w:vAlign w:val="center"/>
          </w:tcPr>
          <w:p w14:paraId="0BE50DD2"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6D4FEA15"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2DD41BB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D373D1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0B2EF1B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22FB13CE"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134" w:type="dxa"/>
            <w:vAlign w:val="center"/>
          </w:tcPr>
          <w:p w14:paraId="15338D05"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0EEDC742" w14:textId="77777777" w:rsidTr="00B71194">
        <w:trPr>
          <w:trHeight w:val="265"/>
          <w:jc w:val="center"/>
        </w:trPr>
        <w:tc>
          <w:tcPr>
            <w:tcW w:w="2536" w:type="dxa"/>
            <w:vAlign w:val="center"/>
          </w:tcPr>
          <w:p w14:paraId="58D5A5EE" w14:textId="77777777" w:rsidR="00586AE2" w:rsidRPr="001A1044" w:rsidRDefault="00586AE2" w:rsidP="00586AE2">
            <w:pPr>
              <w:jc w:val="center"/>
              <w:rPr>
                <w:sz w:val="20"/>
                <w:szCs w:val="20"/>
                <w:lang w:val="en-US"/>
              </w:rPr>
            </w:pPr>
            <w:r>
              <w:rPr>
                <w:sz w:val="20"/>
                <w:szCs w:val="20"/>
                <w:lang w:val="en-US"/>
              </w:rPr>
              <w:t>Pb</w:t>
            </w:r>
          </w:p>
        </w:tc>
        <w:tc>
          <w:tcPr>
            <w:tcW w:w="1003" w:type="dxa"/>
            <w:vAlign w:val="center"/>
          </w:tcPr>
          <w:p w14:paraId="174B7F7E" w14:textId="77777777" w:rsidR="00586AE2" w:rsidRPr="000E54E0" w:rsidRDefault="00586AE2" w:rsidP="00586AE2">
            <w:pPr>
              <w:jc w:val="center"/>
              <w:rPr>
                <w:sz w:val="20"/>
                <w:szCs w:val="20"/>
                <w:lang w:val="en-US"/>
              </w:rPr>
            </w:pPr>
            <w:r>
              <w:rPr>
                <w:sz w:val="20"/>
                <w:szCs w:val="20"/>
                <w:lang w:val="en-US"/>
              </w:rPr>
              <w:t>3.60E-3</w:t>
            </w:r>
          </w:p>
        </w:tc>
        <w:tc>
          <w:tcPr>
            <w:tcW w:w="1418" w:type="dxa"/>
            <w:vAlign w:val="center"/>
          </w:tcPr>
          <w:p w14:paraId="4666CB0E"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E5371B">
              <w:rPr>
                <w:noProof/>
                <w:sz w:val="18"/>
                <w:szCs w:val="18"/>
                <w:lang w:val="en-US"/>
              </w:rPr>
              <w:t>(2010)</w:t>
            </w:r>
            <w:r>
              <w:rPr>
                <w:sz w:val="18"/>
                <w:szCs w:val="18"/>
                <w:lang w:val="en-US"/>
              </w:rPr>
              <w:fldChar w:fldCharType="end"/>
            </w:r>
          </w:p>
        </w:tc>
        <w:tc>
          <w:tcPr>
            <w:tcW w:w="1073" w:type="dxa"/>
            <w:vAlign w:val="center"/>
          </w:tcPr>
          <w:p w14:paraId="7088C075" w14:textId="77777777" w:rsidR="00586AE2" w:rsidRPr="000E54E0" w:rsidRDefault="00586AE2" w:rsidP="00586AE2">
            <w:pPr>
              <w:jc w:val="center"/>
              <w:rPr>
                <w:sz w:val="20"/>
                <w:szCs w:val="20"/>
                <w:lang w:val="en-US"/>
              </w:rPr>
            </w:pPr>
            <w:r>
              <w:rPr>
                <w:sz w:val="20"/>
                <w:szCs w:val="20"/>
                <w:lang w:val="en-US"/>
              </w:rPr>
              <w:t>1.50E-4</w:t>
            </w:r>
          </w:p>
        </w:tc>
        <w:tc>
          <w:tcPr>
            <w:tcW w:w="1135" w:type="dxa"/>
            <w:vAlign w:val="center"/>
          </w:tcPr>
          <w:p w14:paraId="494C49AE"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0EB377BF" w14:textId="77777777" w:rsidR="00586AE2" w:rsidRPr="000E54E0" w:rsidRDefault="00586AE2" w:rsidP="00586AE2">
            <w:pPr>
              <w:jc w:val="center"/>
              <w:rPr>
                <w:sz w:val="20"/>
                <w:szCs w:val="20"/>
                <w:lang w:val="en-US"/>
              </w:rPr>
            </w:pPr>
            <w:r>
              <w:rPr>
                <w:sz w:val="20"/>
                <w:szCs w:val="20"/>
                <w:lang w:val="en-US"/>
              </w:rPr>
              <w:t>8.50E-3 ± 7.33E-4</w:t>
            </w:r>
          </w:p>
        </w:tc>
        <w:tc>
          <w:tcPr>
            <w:tcW w:w="1377" w:type="dxa"/>
            <w:vAlign w:val="center"/>
          </w:tcPr>
          <w:p w14:paraId="1605A492"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718721C5" w14:textId="77777777" w:rsidR="00586AE2" w:rsidRPr="000E54E0" w:rsidRDefault="00586AE2" w:rsidP="00586AE2">
            <w:pPr>
              <w:jc w:val="center"/>
              <w:rPr>
                <w:sz w:val="20"/>
                <w:szCs w:val="20"/>
                <w:lang w:val="en-US"/>
              </w:rPr>
            </w:pPr>
            <w:r>
              <w:rPr>
                <w:sz w:val="20"/>
                <w:szCs w:val="20"/>
                <w:lang w:val="en-US"/>
              </w:rPr>
              <w:t>1.20E-2</w:t>
            </w:r>
          </w:p>
        </w:tc>
        <w:tc>
          <w:tcPr>
            <w:tcW w:w="1399" w:type="dxa"/>
            <w:vAlign w:val="center"/>
          </w:tcPr>
          <w:p w14:paraId="68276D43"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B97965B" w14:textId="77777777" w:rsidR="00586AE2" w:rsidRPr="000E54E0" w:rsidRDefault="00586AE2" w:rsidP="00586AE2">
            <w:pPr>
              <w:jc w:val="center"/>
              <w:rPr>
                <w:sz w:val="20"/>
                <w:szCs w:val="20"/>
                <w:lang w:val="en-US"/>
              </w:rPr>
            </w:pPr>
            <w:r>
              <w:rPr>
                <w:sz w:val="20"/>
                <w:szCs w:val="20"/>
                <w:lang w:val="en-US"/>
              </w:rPr>
              <w:t>3.60E-3</w:t>
            </w:r>
          </w:p>
        </w:tc>
        <w:tc>
          <w:tcPr>
            <w:tcW w:w="1134" w:type="dxa"/>
            <w:vAlign w:val="center"/>
          </w:tcPr>
          <w:p w14:paraId="116FF3EF" w14:textId="77777777" w:rsidR="00586AE2" w:rsidRPr="000E54E0" w:rsidRDefault="00586AE2" w:rsidP="00586AE2">
            <w:pPr>
              <w:jc w:val="center"/>
              <w:rPr>
                <w:sz w:val="20"/>
                <w:szCs w:val="20"/>
                <w:lang w:val="en-US"/>
              </w:rPr>
            </w:pPr>
            <w:r>
              <w:rPr>
                <w:sz w:val="20"/>
                <w:szCs w:val="20"/>
                <w:lang w:val="en-US"/>
              </w:rPr>
              <w:t>8.50E-3 ± 7.33E-4</w:t>
            </w:r>
          </w:p>
        </w:tc>
      </w:tr>
      <w:tr w:rsidR="00586AE2" w:rsidRPr="00AC1247" w14:paraId="338D8B80" w14:textId="77777777" w:rsidTr="00B71194">
        <w:trPr>
          <w:trHeight w:val="265"/>
          <w:jc w:val="center"/>
        </w:trPr>
        <w:tc>
          <w:tcPr>
            <w:tcW w:w="2536" w:type="dxa"/>
            <w:vAlign w:val="center"/>
          </w:tcPr>
          <w:p w14:paraId="5301E1A1" w14:textId="77777777" w:rsidR="00586AE2" w:rsidRPr="001A1044" w:rsidRDefault="00586AE2" w:rsidP="00586AE2">
            <w:pPr>
              <w:jc w:val="center"/>
              <w:rPr>
                <w:sz w:val="20"/>
                <w:szCs w:val="20"/>
                <w:lang w:val="en-US"/>
              </w:rPr>
            </w:pPr>
            <w:r>
              <w:rPr>
                <w:sz w:val="20"/>
                <w:szCs w:val="20"/>
                <w:lang w:val="en-US"/>
              </w:rPr>
              <w:t>Fe</w:t>
            </w:r>
          </w:p>
        </w:tc>
        <w:tc>
          <w:tcPr>
            <w:tcW w:w="1003" w:type="dxa"/>
            <w:vAlign w:val="center"/>
          </w:tcPr>
          <w:p w14:paraId="0A39AF3D" w14:textId="77777777" w:rsidR="00586AE2" w:rsidRPr="000E54E0" w:rsidRDefault="00586AE2" w:rsidP="00586AE2">
            <w:pPr>
              <w:jc w:val="center"/>
              <w:rPr>
                <w:sz w:val="20"/>
                <w:szCs w:val="20"/>
                <w:lang w:val="en-US"/>
              </w:rPr>
            </w:pPr>
            <w:r>
              <w:rPr>
                <w:sz w:val="20"/>
                <w:szCs w:val="20"/>
                <w:lang w:val="en-US"/>
              </w:rPr>
              <w:t>7.00E-1</w:t>
            </w:r>
          </w:p>
        </w:tc>
        <w:tc>
          <w:tcPr>
            <w:tcW w:w="1418" w:type="dxa"/>
            <w:vAlign w:val="center"/>
          </w:tcPr>
          <w:p w14:paraId="62047127"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{"citationItems":[{"id":"ITEM-1","itemData":{"abstract":"This study addresses bidialectism by investigating the linguistic situation on the bidialectal island of Cyprus where Standard Modern Greek (SMG) and the regional Cypriot dialect (CD) are both routinely used. The study implemented a language programme that embraced both sociolinguistic and educational factors and was designed to teach SMG by using the CD as a facilitating tool, while simultaneously ensuring the maintenance of the CD. A quasi-experimental design was used in the application and evaluation of this bidialectal method, comparing a control group and an experimental group of final-year primary-school students in terms of phonology, morphology, syntax, and lexis. Quantitative analysis of the results revealed that the method had a marked positive effect on the oral and written production of the standard variety. This was due to explicit and conscious comparison of learners' regional dialectal mother tongue with the standard target variety. (PsycINFO Database Record (c) 2016 APA, all rights reserved)","author":[{"dropping-particle":"","family":"U.S. EPA","given":"","non-dropping-particle":"","parse-names":false,"suffix":""}],"container-title":"U.S. Environmental Protection Agency","id":"ITEM-1","issued":{"date-parts":[["2006"]]},"number-of-pages":"1-14","title":"Provisional peer reviewed toxicity values for iron and compounds","type":"report"},"suppress-author":1,"uris":["http://www.mendeley.com/documents/?uuid=839ec57f-8510-4b1c-b7f8-3b6bba018971"]}],"mendeley":{"formattedCitation":"(2006)","plainTextFormattedCitation":"(2006)","previouslyFormattedCitation":"(2006)"},"properties":{"noteIndex":0},"schema":"https://github.com/citation-style-language/schema/raw/master/csl-citation.json"}</w:instrText>
            </w:r>
            <w:r>
              <w:rPr>
                <w:sz w:val="18"/>
                <w:szCs w:val="18"/>
                <w:lang w:val="en-US"/>
              </w:rPr>
              <w:fldChar w:fldCharType="separate"/>
            </w:r>
            <w:r w:rsidRPr="005C180F">
              <w:rPr>
                <w:noProof/>
                <w:sz w:val="18"/>
                <w:szCs w:val="18"/>
                <w:lang w:val="en-US"/>
              </w:rPr>
              <w:t>(2006)</w:t>
            </w:r>
            <w:r>
              <w:rPr>
                <w:sz w:val="18"/>
                <w:szCs w:val="18"/>
                <w:lang w:val="en-US"/>
              </w:rPr>
              <w:fldChar w:fldCharType="end"/>
            </w:r>
          </w:p>
        </w:tc>
        <w:tc>
          <w:tcPr>
            <w:tcW w:w="1073" w:type="dxa"/>
            <w:vAlign w:val="center"/>
          </w:tcPr>
          <w:p w14:paraId="5F75D5A2"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135" w:type="dxa"/>
            <w:vAlign w:val="center"/>
          </w:tcPr>
          <w:p w14:paraId="46919A58"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5ADAEA6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1B6023E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24D1EC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73A22F9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008FE17" w14:textId="77777777" w:rsidR="00586AE2" w:rsidRPr="000E54E0" w:rsidRDefault="00586AE2" w:rsidP="00586AE2">
            <w:pPr>
              <w:jc w:val="center"/>
              <w:rPr>
                <w:sz w:val="20"/>
                <w:szCs w:val="20"/>
                <w:lang w:val="en-US"/>
              </w:rPr>
            </w:pPr>
            <w:r>
              <w:rPr>
                <w:sz w:val="20"/>
                <w:szCs w:val="20"/>
                <w:lang w:val="en-US"/>
              </w:rPr>
              <w:t>7.0E-1</w:t>
            </w:r>
          </w:p>
        </w:tc>
        <w:tc>
          <w:tcPr>
            <w:tcW w:w="1134" w:type="dxa"/>
            <w:vAlign w:val="center"/>
          </w:tcPr>
          <w:p w14:paraId="6408756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11980632" w14:textId="77777777" w:rsidTr="00B71194">
        <w:trPr>
          <w:trHeight w:val="265"/>
          <w:jc w:val="center"/>
        </w:trPr>
        <w:tc>
          <w:tcPr>
            <w:tcW w:w="2536" w:type="dxa"/>
            <w:vAlign w:val="center"/>
          </w:tcPr>
          <w:p w14:paraId="582D6A1E" w14:textId="77777777" w:rsidR="00586AE2" w:rsidRPr="000E54E0" w:rsidRDefault="00586AE2" w:rsidP="00586AE2">
            <w:pPr>
              <w:jc w:val="center"/>
              <w:rPr>
                <w:sz w:val="20"/>
                <w:szCs w:val="20"/>
                <w:lang w:val="en-US"/>
              </w:rPr>
            </w:pPr>
            <w:r>
              <w:rPr>
                <w:sz w:val="20"/>
                <w:szCs w:val="20"/>
                <w:lang w:val="en-US"/>
              </w:rPr>
              <w:t>Zn</w:t>
            </w:r>
          </w:p>
        </w:tc>
        <w:tc>
          <w:tcPr>
            <w:tcW w:w="1003" w:type="dxa"/>
            <w:vAlign w:val="center"/>
          </w:tcPr>
          <w:p w14:paraId="614CD8B6" w14:textId="77777777" w:rsidR="00586AE2" w:rsidRPr="000E54E0" w:rsidRDefault="00586AE2" w:rsidP="00586AE2">
            <w:pPr>
              <w:jc w:val="center"/>
              <w:rPr>
                <w:sz w:val="20"/>
                <w:szCs w:val="20"/>
                <w:lang w:val="en-US"/>
              </w:rPr>
            </w:pPr>
            <w:r>
              <w:rPr>
                <w:sz w:val="20"/>
                <w:szCs w:val="20"/>
                <w:lang w:val="en-US"/>
              </w:rPr>
              <w:t>3.00E-1</w:t>
            </w:r>
          </w:p>
        </w:tc>
        <w:tc>
          <w:tcPr>
            <w:tcW w:w="1418" w:type="dxa"/>
            <w:vAlign w:val="center"/>
          </w:tcPr>
          <w:p w14:paraId="5C22B9D3" w14:textId="5D6A3FF0"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B3FA939" w14:textId="77777777" w:rsidR="00586AE2" w:rsidRPr="000E54E0" w:rsidRDefault="00586AE2" w:rsidP="00586AE2">
            <w:pPr>
              <w:jc w:val="center"/>
              <w:rPr>
                <w:sz w:val="20"/>
                <w:szCs w:val="20"/>
                <w:lang w:val="en-US"/>
              </w:rPr>
            </w:pPr>
            <w:r>
              <w:rPr>
                <w:sz w:val="20"/>
                <w:szCs w:val="20"/>
                <w:lang w:val="en-US"/>
              </w:rPr>
              <w:t>1.20E-2</w:t>
            </w:r>
          </w:p>
        </w:tc>
        <w:tc>
          <w:tcPr>
            <w:tcW w:w="1135" w:type="dxa"/>
            <w:vAlign w:val="center"/>
          </w:tcPr>
          <w:p w14:paraId="144BB3D2" w14:textId="77777777" w:rsidR="00586AE2" w:rsidRPr="00354200" w:rsidRDefault="00586AE2" w:rsidP="00586AE2">
            <w:pPr>
              <w:jc w:val="center"/>
              <w:rPr>
                <w:sz w:val="18"/>
                <w:szCs w:val="18"/>
                <w:lang w:val="en-US"/>
              </w:rPr>
            </w:pPr>
            <w:r w:rsidRPr="00354200">
              <w:rPr>
                <w:sz w:val="18"/>
                <w:szCs w:val="18"/>
                <w:lang w:val="en-US"/>
              </w:rPr>
              <w:t>RIVM</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{"citationItems":[{"id":"ITEM-1","itemData":{"author":[{"dropping-particle":"","family":"RIVM","given":"","non-dropping-particle":"","parse-names":false,"suffix":""}],"container-title":"National Institute of Public Health and the Environment. The Netherlands","id":"ITEM-1","issued":{"date-parts":[["2001"]]},"title":"Re-evaluation of Human-Toxicological Maximum Permissible Risk Levels. RIVM Report No. 711701025","type":"report"},"suppress-author":1,"uris":["http://www.mendeley.com/documents/?uuid=fcc303e3-ae53-4300-9301-1486cf2a4bee"]}],"mendeley":{"formattedCitation":"(2001)","plainTextFormattedCitation":"(2001)","previouslyFormattedCitation":"(2001)"},"properties":{"noteIndex":0},"schema":"https://github.com/citation-style-language/schema/raw/master/csl-citation.json"}</w:instrText>
            </w:r>
            <w:r>
              <w:rPr>
                <w:sz w:val="18"/>
                <w:szCs w:val="18"/>
                <w:lang w:val="en-US"/>
              </w:rPr>
              <w:fldChar w:fldCharType="separate"/>
            </w:r>
            <w:r w:rsidRPr="005C180F">
              <w:rPr>
                <w:noProof/>
                <w:sz w:val="18"/>
                <w:szCs w:val="18"/>
                <w:lang w:val="en-US"/>
              </w:rPr>
              <w:t>(2001)</w:t>
            </w:r>
            <w:r>
              <w:rPr>
                <w:sz w:val="18"/>
                <w:szCs w:val="18"/>
                <w:lang w:val="en-US"/>
              </w:rPr>
              <w:fldChar w:fldCharType="end"/>
            </w:r>
          </w:p>
        </w:tc>
        <w:tc>
          <w:tcPr>
            <w:tcW w:w="1194" w:type="dxa"/>
            <w:vAlign w:val="center"/>
          </w:tcPr>
          <w:p w14:paraId="373E3709"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68D2338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30EB088"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459734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54D890BF"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134" w:type="dxa"/>
            <w:vAlign w:val="center"/>
          </w:tcPr>
          <w:p w14:paraId="1335CA21"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4C0CB9EA" w14:textId="77777777" w:rsidTr="00B71194">
        <w:trPr>
          <w:trHeight w:val="265"/>
          <w:jc w:val="center"/>
        </w:trPr>
        <w:tc>
          <w:tcPr>
            <w:tcW w:w="2536" w:type="dxa"/>
            <w:vAlign w:val="center"/>
          </w:tcPr>
          <w:p w14:paraId="1032541B" w14:textId="77777777" w:rsidR="00586AE2" w:rsidRPr="000E54E0" w:rsidRDefault="00586AE2" w:rsidP="00586AE2">
            <w:pPr>
              <w:jc w:val="center"/>
              <w:rPr>
                <w:sz w:val="20"/>
                <w:szCs w:val="20"/>
                <w:lang w:val="en-US"/>
              </w:rPr>
            </w:pPr>
            <w:r>
              <w:rPr>
                <w:sz w:val="20"/>
                <w:szCs w:val="20"/>
                <w:lang w:val="en-US"/>
              </w:rPr>
              <w:t>Al</w:t>
            </w:r>
          </w:p>
        </w:tc>
        <w:tc>
          <w:tcPr>
            <w:tcW w:w="1003" w:type="dxa"/>
            <w:vAlign w:val="center"/>
          </w:tcPr>
          <w:p w14:paraId="75D13C2A" w14:textId="77777777" w:rsidR="00586AE2" w:rsidRPr="000E54E0" w:rsidRDefault="00586AE2" w:rsidP="00586AE2">
            <w:pPr>
              <w:jc w:val="center"/>
              <w:rPr>
                <w:sz w:val="20"/>
                <w:szCs w:val="20"/>
                <w:lang w:val="en-US"/>
              </w:rPr>
            </w:pPr>
            <w:r>
              <w:rPr>
                <w:sz w:val="20"/>
                <w:szCs w:val="20"/>
                <w:lang w:val="en-US"/>
              </w:rPr>
              <w:t>1.00E+0</w:t>
            </w:r>
          </w:p>
        </w:tc>
        <w:tc>
          <w:tcPr>
            <w:tcW w:w="1418" w:type="dxa"/>
            <w:vAlign w:val="center"/>
          </w:tcPr>
          <w:p w14:paraId="76FE057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0A24FAA8" w14:textId="77777777" w:rsidR="00586AE2" w:rsidRPr="000E54E0" w:rsidRDefault="00586AE2" w:rsidP="00586AE2">
            <w:pPr>
              <w:jc w:val="center"/>
              <w:rPr>
                <w:sz w:val="20"/>
                <w:szCs w:val="20"/>
                <w:lang w:val="en-US"/>
              </w:rPr>
            </w:pPr>
            <w:r>
              <w:rPr>
                <w:sz w:val="20"/>
                <w:szCs w:val="20"/>
                <w:lang w:val="en-US"/>
              </w:rPr>
              <w:t>5.50E-3</w:t>
            </w:r>
          </w:p>
        </w:tc>
        <w:tc>
          <w:tcPr>
            <w:tcW w:w="1135" w:type="dxa"/>
            <w:vAlign w:val="center"/>
          </w:tcPr>
          <w:p w14:paraId="47B0B0B5"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6077FA00"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75BEC19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214C346"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619427F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BCE699B" w14:textId="77777777" w:rsidR="00586AE2" w:rsidRPr="000E54E0" w:rsidRDefault="00586AE2" w:rsidP="00586AE2">
            <w:pPr>
              <w:jc w:val="center"/>
              <w:rPr>
                <w:sz w:val="20"/>
                <w:szCs w:val="20"/>
                <w:lang w:val="en-US"/>
              </w:rPr>
            </w:pPr>
            <w:r>
              <w:rPr>
                <w:sz w:val="20"/>
                <w:szCs w:val="20"/>
                <w:lang w:val="en-US"/>
              </w:rPr>
              <w:t>1.00E+0</w:t>
            </w:r>
          </w:p>
        </w:tc>
        <w:tc>
          <w:tcPr>
            <w:tcW w:w="1134" w:type="dxa"/>
            <w:vAlign w:val="center"/>
          </w:tcPr>
          <w:p w14:paraId="08B6133D"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470DE08E" w14:textId="77777777" w:rsidTr="00B71194">
        <w:trPr>
          <w:trHeight w:val="265"/>
          <w:jc w:val="center"/>
        </w:trPr>
        <w:tc>
          <w:tcPr>
            <w:tcW w:w="2536" w:type="dxa"/>
            <w:vAlign w:val="center"/>
          </w:tcPr>
          <w:p w14:paraId="1F452D09" w14:textId="77777777" w:rsidR="00586AE2" w:rsidRPr="000E54E0" w:rsidRDefault="00586AE2" w:rsidP="00586AE2">
            <w:pPr>
              <w:jc w:val="center"/>
              <w:rPr>
                <w:sz w:val="20"/>
                <w:szCs w:val="20"/>
                <w:lang w:val="en-US"/>
              </w:rPr>
            </w:pPr>
            <w:r>
              <w:rPr>
                <w:sz w:val="20"/>
                <w:szCs w:val="20"/>
                <w:lang w:val="en-US"/>
              </w:rPr>
              <w:t>Ba</w:t>
            </w:r>
          </w:p>
        </w:tc>
        <w:tc>
          <w:tcPr>
            <w:tcW w:w="1003" w:type="dxa"/>
            <w:vAlign w:val="center"/>
          </w:tcPr>
          <w:p w14:paraId="3BDD82BE" w14:textId="77777777" w:rsidR="00586AE2" w:rsidRPr="000E54E0" w:rsidRDefault="00586AE2" w:rsidP="00586AE2">
            <w:pPr>
              <w:jc w:val="center"/>
              <w:rPr>
                <w:sz w:val="20"/>
                <w:szCs w:val="20"/>
                <w:lang w:val="en-US"/>
              </w:rPr>
            </w:pPr>
            <w:r>
              <w:rPr>
                <w:sz w:val="20"/>
                <w:szCs w:val="20"/>
                <w:lang w:val="en-US"/>
              </w:rPr>
              <w:t>2.00E-1</w:t>
            </w:r>
          </w:p>
        </w:tc>
        <w:tc>
          <w:tcPr>
            <w:tcW w:w="1418" w:type="dxa"/>
            <w:vAlign w:val="center"/>
          </w:tcPr>
          <w:p w14:paraId="3BED9003" w14:textId="4AB09BC7"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3BA8687"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45C7AECD"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889CC6F"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79748F9E"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7B6A3AD"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04B1E052"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6F74D4E" w14:textId="77777777" w:rsidR="00586AE2" w:rsidRPr="000E54E0" w:rsidRDefault="00586AE2" w:rsidP="00586AE2">
            <w:pPr>
              <w:jc w:val="center"/>
              <w:rPr>
                <w:sz w:val="20"/>
                <w:szCs w:val="20"/>
                <w:lang w:val="en-US"/>
              </w:rPr>
            </w:pPr>
            <w:r>
              <w:rPr>
                <w:sz w:val="20"/>
                <w:szCs w:val="20"/>
                <w:lang w:val="en-US"/>
              </w:rPr>
              <w:t>1.40E-2</w:t>
            </w:r>
          </w:p>
        </w:tc>
        <w:tc>
          <w:tcPr>
            <w:tcW w:w="1134" w:type="dxa"/>
            <w:vAlign w:val="center"/>
          </w:tcPr>
          <w:p w14:paraId="485D86E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108C25E0" w14:textId="77777777" w:rsidTr="00B71194">
        <w:trPr>
          <w:trHeight w:val="265"/>
          <w:jc w:val="center"/>
        </w:trPr>
        <w:tc>
          <w:tcPr>
            <w:tcW w:w="2536" w:type="dxa"/>
            <w:vAlign w:val="center"/>
          </w:tcPr>
          <w:p w14:paraId="7A6C72BC" w14:textId="77777777" w:rsidR="00586AE2" w:rsidRPr="000E54E0" w:rsidRDefault="00586AE2" w:rsidP="00586AE2">
            <w:pPr>
              <w:jc w:val="center"/>
              <w:rPr>
                <w:sz w:val="20"/>
                <w:szCs w:val="20"/>
                <w:lang w:val="en-US"/>
              </w:rPr>
            </w:pPr>
            <w:r>
              <w:rPr>
                <w:sz w:val="20"/>
                <w:szCs w:val="20"/>
                <w:lang w:val="en-US"/>
              </w:rPr>
              <w:t>Cu</w:t>
            </w:r>
          </w:p>
        </w:tc>
        <w:tc>
          <w:tcPr>
            <w:tcW w:w="1003" w:type="dxa"/>
            <w:vAlign w:val="center"/>
          </w:tcPr>
          <w:p w14:paraId="2D7A9D9E" w14:textId="77777777" w:rsidR="00586AE2" w:rsidRPr="000E54E0" w:rsidRDefault="00586AE2" w:rsidP="00586AE2">
            <w:pPr>
              <w:jc w:val="center"/>
              <w:rPr>
                <w:sz w:val="20"/>
                <w:szCs w:val="20"/>
                <w:lang w:val="en-US"/>
              </w:rPr>
            </w:pPr>
            <w:r>
              <w:rPr>
                <w:sz w:val="20"/>
                <w:szCs w:val="20"/>
                <w:lang w:val="en-US"/>
              </w:rPr>
              <w:t>1.00E-2</w:t>
            </w:r>
          </w:p>
        </w:tc>
        <w:tc>
          <w:tcPr>
            <w:tcW w:w="1418" w:type="dxa"/>
            <w:vAlign w:val="center"/>
          </w:tcPr>
          <w:p w14:paraId="53FD920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41D842BA" w14:textId="77777777" w:rsidR="00586AE2" w:rsidRPr="000E54E0" w:rsidRDefault="00586AE2" w:rsidP="00586AE2">
            <w:pPr>
              <w:jc w:val="center"/>
              <w:rPr>
                <w:sz w:val="20"/>
                <w:szCs w:val="20"/>
                <w:lang w:val="en-US"/>
              </w:rPr>
            </w:pPr>
            <w:r>
              <w:rPr>
                <w:sz w:val="20"/>
                <w:szCs w:val="20"/>
                <w:lang w:val="en-US"/>
              </w:rPr>
              <w:t>2.00E-3</w:t>
            </w:r>
          </w:p>
        </w:tc>
        <w:tc>
          <w:tcPr>
            <w:tcW w:w="1135" w:type="dxa"/>
            <w:vAlign w:val="center"/>
          </w:tcPr>
          <w:p w14:paraId="2084C32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03F39A9"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3493CC5B"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5138F3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7A6AB1E8"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A380B90" w14:textId="77777777" w:rsidR="00586AE2" w:rsidRPr="000E54E0" w:rsidRDefault="00586AE2" w:rsidP="00586AE2">
            <w:pPr>
              <w:jc w:val="center"/>
              <w:rPr>
                <w:sz w:val="20"/>
                <w:szCs w:val="20"/>
                <w:lang w:val="en-US"/>
              </w:rPr>
            </w:pPr>
            <w:r>
              <w:rPr>
                <w:sz w:val="20"/>
                <w:szCs w:val="20"/>
                <w:lang w:val="en-US"/>
              </w:rPr>
              <w:t>5.7E-3</w:t>
            </w:r>
          </w:p>
        </w:tc>
        <w:tc>
          <w:tcPr>
            <w:tcW w:w="1134" w:type="dxa"/>
            <w:vAlign w:val="center"/>
          </w:tcPr>
          <w:p w14:paraId="03207DF1"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66A60B0D" w14:textId="77777777" w:rsidTr="00B71194">
        <w:trPr>
          <w:trHeight w:val="265"/>
          <w:jc w:val="center"/>
        </w:trPr>
        <w:tc>
          <w:tcPr>
            <w:tcW w:w="2536" w:type="dxa"/>
            <w:vAlign w:val="center"/>
          </w:tcPr>
          <w:p w14:paraId="6B95B301" w14:textId="77777777" w:rsidR="00586AE2" w:rsidRPr="000E54E0" w:rsidRDefault="00586AE2" w:rsidP="00586AE2">
            <w:pPr>
              <w:jc w:val="center"/>
              <w:rPr>
                <w:sz w:val="20"/>
                <w:szCs w:val="20"/>
                <w:lang w:val="en-US"/>
              </w:rPr>
            </w:pPr>
            <w:proofErr w:type="gramStart"/>
            <w:r>
              <w:rPr>
                <w:sz w:val="20"/>
                <w:szCs w:val="20"/>
                <w:lang w:val="en-US"/>
              </w:rPr>
              <w:t>Cr(</w:t>
            </w:r>
            <w:proofErr w:type="gramEnd"/>
            <w:r>
              <w:rPr>
                <w:sz w:val="20"/>
                <w:szCs w:val="20"/>
                <w:lang w:val="en-US"/>
              </w:rPr>
              <w:t>III)</w:t>
            </w:r>
          </w:p>
        </w:tc>
        <w:tc>
          <w:tcPr>
            <w:tcW w:w="1003" w:type="dxa"/>
            <w:vAlign w:val="center"/>
          </w:tcPr>
          <w:p w14:paraId="690119C8" w14:textId="77777777" w:rsidR="00586AE2" w:rsidRPr="000E54E0" w:rsidRDefault="00586AE2" w:rsidP="00586AE2">
            <w:pPr>
              <w:jc w:val="center"/>
              <w:rPr>
                <w:sz w:val="20"/>
                <w:szCs w:val="20"/>
                <w:lang w:val="en-US"/>
              </w:rPr>
            </w:pPr>
            <w:r>
              <w:rPr>
                <w:sz w:val="20"/>
                <w:szCs w:val="20"/>
                <w:lang w:val="en-US"/>
              </w:rPr>
              <w:t>1.50E+0</w:t>
            </w:r>
          </w:p>
        </w:tc>
        <w:tc>
          <w:tcPr>
            <w:tcW w:w="1418" w:type="dxa"/>
            <w:vAlign w:val="center"/>
          </w:tcPr>
          <w:p w14:paraId="6A470790" w14:textId="1788FC29"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1FA0D75"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30E31BCB"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13AE0FDE"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17A3785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754B6588" w14:textId="77777777" w:rsidR="00586AE2" w:rsidRPr="000E54E0" w:rsidRDefault="00586AE2" w:rsidP="00586AE2">
            <w:pPr>
              <w:jc w:val="center"/>
              <w:rPr>
                <w:sz w:val="20"/>
                <w:szCs w:val="20"/>
                <w:lang w:val="en-US"/>
              </w:rPr>
            </w:pPr>
            <w:r>
              <w:rPr>
                <w:sz w:val="20"/>
                <w:szCs w:val="20"/>
                <w:lang w:val="en-US"/>
              </w:rPr>
              <w:t>1.09E+1</w:t>
            </w:r>
          </w:p>
        </w:tc>
        <w:tc>
          <w:tcPr>
            <w:tcW w:w="1399" w:type="dxa"/>
            <w:vAlign w:val="center"/>
          </w:tcPr>
          <w:p w14:paraId="688315C1"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5C180F">
              <w:rPr>
                <w:noProof/>
                <w:sz w:val="18"/>
                <w:szCs w:val="18"/>
                <w:lang w:val="en-US"/>
              </w:rPr>
              <w:t>(2010)</w:t>
            </w:r>
            <w:r>
              <w:rPr>
                <w:sz w:val="18"/>
                <w:szCs w:val="18"/>
                <w:lang w:val="en-US"/>
              </w:rPr>
              <w:fldChar w:fldCharType="end"/>
            </w:r>
          </w:p>
        </w:tc>
        <w:tc>
          <w:tcPr>
            <w:tcW w:w="992" w:type="dxa"/>
            <w:vAlign w:val="center"/>
          </w:tcPr>
          <w:p w14:paraId="07E676FE" w14:textId="77777777" w:rsidR="00586AE2" w:rsidRPr="000E54E0" w:rsidRDefault="00586AE2" w:rsidP="00586AE2">
            <w:pPr>
              <w:jc w:val="center"/>
              <w:rPr>
                <w:sz w:val="20"/>
                <w:szCs w:val="20"/>
                <w:lang w:val="en-US"/>
              </w:rPr>
            </w:pPr>
            <w:r>
              <w:rPr>
                <w:sz w:val="20"/>
                <w:szCs w:val="20"/>
                <w:lang w:val="en-US"/>
              </w:rPr>
              <w:t>1.95E-2</w:t>
            </w:r>
          </w:p>
        </w:tc>
        <w:tc>
          <w:tcPr>
            <w:tcW w:w="1134" w:type="dxa"/>
            <w:vAlign w:val="center"/>
          </w:tcPr>
          <w:p w14:paraId="2F6F94A3"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173C8B3F" w14:textId="77777777" w:rsidTr="00B71194">
        <w:trPr>
          <w:trHeight w:val="265"/>
          <w:jc w:val="center"/>
        </w:trPr>
        <w:tc>
          <w:tcPr>
            <w:tcW w:w="2536" w:type="dxa"/>
            <w:vAlign w:val="center"/>
          </w:tcPr>
          <w:p w14:paraId="0B02E9C3" w14:textId="77777777" w:rsidR="00586AE2" w:rsidRPr="000E54E0" w:rsidRDefault="00586AE2" w:rsidP="00586AE2">
            <w:pPr>
              <w:jc w:val="center"/>
              <w:rPr>
                <w:sz w:val="20"/>
                <w:szCs w:val="20"/>
                <w:lang w:val="en-US"/>
              </w:rPr>
            </w:pPr>
            <w:proofErr w:type="gramStart"/>
            <w:r>
              <w:rPr>
                <w:sz w:val="20"/>
                <w:szCs w:val="20"/>
                <w:lang w:val="en-US"/>
              </w:rPr>
              <w:t>Cr(</w:t>
            </w:r>
            <w:proofErr w:type="gramEnd"/>
            <w:r>
              <w:rPr>
                <w:sz w:val="20"/>
                <w:szCs w:val="20"/>
                <w:lang w:val="en-US"/>
              </w:rPr>
              <w:t>VI)</w:t>
            </w:r>
          </w:p>
        </w:tc>
        <w:tc>
          <w:tcPr>
            <w:tcW w:w="1003" w:type="dxa"/>
            <w:vAlign w:val="center"/>
          </w:tcPr>
          <w:p w14:paraId="09CE90DF"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549862DF" w14:textId="11A6615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515F720"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66B678F7" w14:textId="1763CD4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014B7CC4" w14:textId="77777777" w:rsidR="00586AE2" w:rsidRPr="000E54E0" w:rsidRDefault="00586AE2" w:rsidP="00586AE2">
            <w:pPr>
              <w:jc w:val="center"/>
              <w:rPr>
                <w:sz w:val="20"/>
                <w:szCs w:val="20"/>
                <w:lang w:val="en-US"/>
              </w:rPr>
            </w:pPr>
            <w:r>
              <w:rPr>
                <w:sz w:val="20"/>
                <w:szCs w:val="20"/>
                <w:lang w:val="en-US"/>
              </w:rPr>
              <w:t>5.00E-1 ± 4.31E-2</w:t>
            </w:r>
          </w:p>
        </w:tc>
        <w:tc>
          <w:tcPr>
            <w:tcW w:w="1377" w:type="dxa"/>
            <w:vAlign w:val="center"/>
          </w:tcPr>
          <w:p w14:paraId="47FE274C"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Assessment","id":"ITEM-1","issued":{"date-parts":[["2011"]]},"title":"Public Health Goals for Chemicals in Drinking Water: Hexavalent Chromium (Cr VI)","type":"report"},"suppress-author":1,"uris":["http://www.mendeley.com/documents/?uuid=7bc50d19-2d02-4e7c-908b-4b135b9f6cc3"]}],"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5C180F">
              <w:rPr>
                <w:noProof/>
                <w:sz w:val="18"/>
                <w:szCs w:val="18"/>
                <w:lang w:val="en-US"/>
              </w:rPr>
              <w:t>(2011)</w:t>
            </w:r>
            <w:r>
              <w:rPr>
                <w:sz w:val="18"/>
                <w:szCs w:val="18"/>
                <w:lang w:val="en-US"/>
              </w:rPr>
              <w:fldChar w:fldCharType="end"/>
            </w:r>
          </w:p>
        </w:tc>
        <w:tc>
          <w:tcPr>
            <w:tcW w:w="909" w:type="dxa"/>
            <w:vAlign w:val="center"/>
          </w:tcPr>
          <w:p w14:paraId="7C365C02" w14:textId="77777777" w:rsidR="00586AE2" w:rsidRPr="000E54E0" w:rsidRDefault="00586AE2" w:rsidP="00586AE2">
            <w:pPr>
              <w:jc w:val="center"/>
              <w:rPr>
                <w:sz w:val="20"/>
                <w:szCs w:val="20"/>
                <w:lang w:val="en-US"/>
              </w:rPr>
            </w:pPr>
            <w:r>
              <w:rPr>
                <w:sz w:val="20"/>
                <w:szCs w:val="20"/>
                <w:lang w:val="en-US"/>
              </w:rPr>
              <w:t>1.20E+1</w:t>
            </w:r>
          </w:p>
        </w:tc>
        <w:tc>
          <w:tcPr>
            <w:tcW w:w="1399" w:type="dxa"/>
            <w:vAlign w:val="center"/>
          </w:tcPr>
          <w:p w14:paraId="4C74B662" w14:textId="5686DE9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3485989B" w14:textId="77777777" w:rsidR="00586AE2" w:rsidRPr="000E54E0" w:rsidRDefault="00586AE2" w:rsidP="00586AE2">
            <w:pPr>
              <w:jc w:val="center"/>
              <w:rPr>
                <w:sz w:val="20"/>
                <w:szCs w:val="20"/>
                <w:lang w:val="en-US"/>
              </w:rPr>
            </w:pPr>
            <w:r>
              <w:rPr>
                <w:sz w:val="20"/>
                <w:szCs w:val="20"/>
                <w:lang w:val="en-US"/>
              </w:rPr>
              <w:t>7.50E-5</w:t>
            </w:r>
          </w:p>
        </w:tc>
        <w:tc>
          <w:tcPr>
            <w:tcW w:w="1134" w:type="dxa"/>
            <w:vAlign w:val="center"/>
          </w:tcPr>
          <w:p w14:paraId="043C4555" w14:textId="77777777" w:rsidR="00586AE2" w:rsidRPr="000E54E0" w:rsidRDefault="00586AE2" w:rsidP="00586AE2">
            <w:pPr>
              <w:jc w:val="center"/>
              <w:rPr>
                <w:sz w:val="20"/>
                <w:szCs w:val="20"/>
                <w:lang w:val="en-US"/>
              </w:rPr>
            </w:pPr>
            <w:r>
              <w:rPr>
                <w:sz w:val="20"/>
                <w:szCs w:val="20"/>
                <w:lang w:val="en-US"/>
              </w:rPr>
              <w:t>2.00E+1 ± 1.73E+0</w:t>
            </w:r>
          </w:p>
        </w:tc>
      </w:tr>
      <w:tr w:rsidR="00876952" w:rsidRPr="00AC1247" w14:paraId="2B982FEF" w14:textId="77777777" w:rsidTr="00B71194">
        <w:trPr>
          <w:trHeight w:val="280"/>
          <w:jc w:val="center"/>
        </w:trPr>
        <w:tc>
          <w:tcPr>
            <w:tcW w:w="2536" w:type="dxa"/>
            <w:vAlign w:val="center"/>
          </w:tcPr>
          <w:p w14:paraId="08B6C0AA" w14:textId="51FBB53F" w:rsidR="00876952" w:rsidRPr="000E54E0" w:rsidRDefault="00876952" w:rsidP="00876952">
            <w:pPr>
              <w:jc w:val="center"/>
              <w:rPr>
                <w:sz w:val="20"/>
                <w:szCs w:val="20"/>
                <w:lang w:val="en-US"/>
              </w:rPr>
            </w:pPr>
            <w:r>
              <w:rPr>
                <w:sz w:val="20"/>
                <w:szCs w:val="20"/>
                <w:lang w:val="en-US"/>
              </w:rPr>
              <w:t>Se</w:t>
            </w:r>
          </w:p>
        </w:tc>
        <w:tc>
          <w:tcPr>
            <w:tcW w:w="1003" w:type="dxa"/>
            <w:vAlign w:val="center"/>
          </w:tcPr>
          <w:p w14:paraId="6609E5E3" w14:textId="024B7B82" w:rsidR="00876952" w:rsidRPr="000E54E0" w:rsidRDefault="00876952" w:rsidP="00876952">
            <w:pPr>
              <w:jc w:val="center"/>
              <w:rPr>
                <w:sz w:val="20"/>
                <w:szCs w:val="20"/>
                <w:lang w:val="en-US"/>
              </w:rPr>
            </w:pPr>
            <w:r>
              <w:rPr>
                <w:sz w:val="20"/>
                <w:szCs w:val="20"/>
                <w:lang w:val="en-US"/>
              </w:rPr>
              <w:t>5.00E-3</w:t>
            </w:r>
          </w:p>
        </w:tc>
        <w:tc>
          <w:tcPr>
            <w:tcW w:w="1418" w:type="dxa"/>
            <w:vAlign w:val="center"/>
          </w:tcPr>
          <w:p w14:paraId="24C53525" w14:textId="08ED1200" w:rsidR="00876952" w:rsidRPr="00354200" w:rsidRDefault="00876952" w:rsidP="0087695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Pr="0057137A">
              <w:rPr>
                <w:noProof/>
                <w:sz w:val="18"/>
                <w:szCs w:val="18"/>
                <w:lang w:val="en-US"/>
              </w:rPr>
              <w:t>(2020)</w:t>
            </w:r>
            <w:r w:rsidRPr="00354200">
              <w:rPr>
                <w:sz w:val="18"/>
                <w:szCs w:val="18"/>
                <w:lang w:val="en-US"/>
              </w:rPr>
              <w:fldChar w:fldCharType="end"/>
            </w:r>
          </w:p>
        </w:tc>
        <w:tc>
          <w:tcPr>
            <w:tcW w:w="1073" w:type="dxa"/>
            <w:vAlign w:val="center"/>
          </w:tcPr>
          <w:p w14:paraId="3C9493B3" w14:textId="46FAABA8" w:rsidR="00876952" w:rsidRPr="000E54E0" w:rsidRDefault="00876952" w:rsidP="00876952">
            <w:pPr>
              <w:jc w:val="center"/>
              <w:rPr>
                <w:sz w:val="20"/>
                <w:szCs w:val="20"/>
                <w:lang w:val="en-US"/>
              </w:rPr>
            </w:pPr>
            <w:r>
              <w:rPr>
                <w:sz w:val="20"/>
                <w:szCs w:val="20"/>
                <w:lang w:val="en-US"/>
              </w:rPr>
              <w:t>2.00E-2</w:t>
            </w:r>
          </w:p>
        </w:tc>
        <w:tc>
          <w:tcPr>
            <w:tcW w:w="1135" w:type="dxa"/>
            <w:vAlign w:val="center"/>
          </w:tcPr>
          <w:p w14:paraId="2AF309E7" w14:textId="7E02C165" w:rsidR="00876952" w:rsidRPr="00354200" w:rsidRDefault="00876952" w:rsidP="0087695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48CFAE85" w14:textId="17DAF439" w:rsidR="00876952" w:rsidRPr="000E54E0" w:rsidRDefault="00876952" w:rsidP="00876952">
            <w:pPr>
              <w:jc w:val="center"/>
              <w:rPr>
                <w:sz w:val="20"/>
                <w:szCs w:val="20"/>
                <w:lang w:val="en-US"/>
              </w:rPr>
            </w:pPr>
            <w:proofErr w:type="spellStart"/>
            <w:r>
              <w:rPr>
                <w:sz w:val="20"/>
                <w:szCs w:val="20"/>
                <w:lang w:val="en-US"/>
              </w:rPr>
              <w:t>n.a.</w:t>
            </w:r>
            <w:proofErr w:type="spellEnd"/>
          </w:p>
        </w:tc>
        <w:tc>
          <w:tcPr>
            <w:tcW w:w="1377" w:type="dxa"/>
            <w:vAlign w:val="center"/>
          </w:tcPr>
          <w:p w14:paraId="626708B8" w14:textId="058B9C92" w:rsidR="00876952" w:rsidRPr="00354200" w:rsidRDefault="00876952" w:rsidP="00876952">
            <w:pPr>
              <w:jc w:val="center"/>
              <w:rPr>
                <w:sz w:val="18"/>
                <w:szCs w:val="18"/>
                <w:lang w:val="en-US"/>
              </w:rPr>
            </w:pPr>
            <w:r w:rsidRPr="00354200">
              <w:rPr>
                <w:sz w:val="18"/>
                <w:szCs w:val="18"/>
                <w:lang w:val="en-US"/>
              </w:rPr>
              <w:t>#</w:t>
            </w:r>
          </w:p>
        </w:tc>
        <w:tc>
          <w:tcPr>
            <w:tcW w:w="909" w:type="dxa"/>
            <w:vAlign w:val="center"/>
          </w:tcPr>
          <w:p w14:paraId="25C663F8" w14:textId="686C4564" w:rsidR="00876952" w:rsidRPr="000E54E0" w:rsidRDefault="00876952" w:rsidP="00876952">
            <w:pPr>
              <w:jc w:val="center"/>
              <w:rPr>
                <w:sz w:val="20"/>
                <w:szCs w:val="20"/>
                <w:lang w:val="en-US"/>
              </w:rPr>
            </w:pPr>
            <w:proofErr w:type="spellStart"/>
            <w:r>
              <w:rPr>
                <w:sz w:val="20"/>
                <w:szCs w:val="20"/>
                <w:lang w:val="en-US"/>
              </w:rPr>
              <w:t>n.a.</w:t>
            </w:r>
            <w:proofErr w:type="spellEnd"/>
          </w:p>
        </w:tc>
        <w:tc>
          <w:tcPr>
            <w:tcW w:w="1399" w:type="dxa"/>
            <w:vAlign w:val="center"/>
          </w:tcPr>
          <w:p w14:paraId="46F5F4DD" w14:textId="014B1BBB" w:rsidR="00876952" w:rsidRPr="00354200" w:rsidRDefault="00876952" w:rsidP="00876952">
            <w:pPr>
              <w:jc w:val="center"/>
              <w:rPr>
                <w:sz w:val="18"/>
                <w:szCs w:val="18"/>
                <w:lang w:val="en-US"/>
              </w:rPr>
            </w:pPr>
            <w:r w:rsidRPr="00354200">
              <w:rPr>
                <w:sz w:val="18"/>
                <w:szCs w:val="18"/>
                <w:lang w:val="en-US"/>
              </w:rPr>
              <w:t>#</w:t>
            </w:r>
          </w:p>
        </w:tc>
        <w:tc>
          <w:tcPr>
            <w:tcW w:w="992" w:type="dxa"/>
            <w:vAlign w:val="center"/>
          </w:tcPr>
          <w:p w14:paraId="64BF9EF8" w14:textId="2030D6BA" w:rsidR="00876952" w:rsidRPr="000E54E0" w:rsidRDefault="00876952" w:rsidP="00876952">
            <w:pPr>
              <w:jc w:val="center"/>
              <w:rPr>
                <w:sz w:val="20"/>
                <w:szCs w:val="20"/>
                <w:lang w:val="en-US"/>
              </w:rPr>
            </w:pPr>
            <w:r>
              <w:rPr>
                <w:sz w:val="20"/>
                <w:szCs w:val="20"/>
                <w:lang w:val="en-US"/>
              </w:rPr>
              <w:t>1.50E-3</w:t>
            </w:r>
          </w:p>
        </w:tc>
        <w:tc>
          <w:tcPr>
            <w:tcW w:w="1134" w:type="dxa"/>
            <w:vAlign w:val="center"/>
          </w:tcPr>
          <w:p w14:paraId="60DD79D8" w14:textId="7D2D8871" w:rsidR="00876952" w:rsidRPr="000E54E0" w:rsidRDefault="00876952" w:rsidP="00876952">
            <w:pPr>
              <w:jc w:val="center"/>
              <w:rPr>
                <w:sz w:val="20"/>
                <w:szCs w:val="20"/>
                <w:lang w:val="en-US"/>
              </w:rPr>
            </w:pPr>
            <w:proofErr w:type="spellStart"/>
            <w:r>
              <w:rPr>
                <w:sz w:val="20"/>
                <w:szCs w:val="20"/>
                <w:lang w:val="en-US"/>
              </w:rPr>
              <w:t>n.a.</w:t>
            </w:r>
            <w:proofErr w:type="spellEnd"/>
          </w:p>
        </w:tc>
      </w:tr>
      <w:tr w:rsidR="00876952" w:rsidRPr="00AC1247" w14:paraId="1562E46F" w14:textId="77777777" w:rsidTr="00B71194">
        <w:trPr>
          <w:trHeight w:val="280"/>
          <w:jc w:val="center"/>
        </w:trPr>
        <w:tc>
          <w:tcPr>
            <w:tcW w:w="2536" w:type="dxa"/>
            <w:vAlign w:val="center"/>
          </w:tcPr>
          <w:p w14:paraId="144B99A6" w14:textId="6B0708EC" w:rsidR="00876952" w:rsidRPr="000E54E0" w:rsidRDefault="00876952" w:rsidP="00876952">
            <w:pPr>
              <w:jc w:val="center"/>
              <w:rPr>
                <w:b/>
                <w:sz w:val="20"/>
                <w:szCs w:val="20"/>
                <w:lang w:val="en-US"/>
              </w:rPr>
            </w:pPr>
            <w:r w:rsidRPr="000E54E0">
              <w:rPr>
                <w:b/>
                <w:sz w:val="20"/>
                <w:szCs w:val="20"/>
                <w:lang w:val="en-US"/>
              </w:rPr>
              <w:lastRenderedPageBreak/>
              <w:t>Chemical species</w:t>
            </w:r>
          </w:p>
        </w:tc>
        <w:tc>
          <w:tcPr>
            <w:tcW w:w="1003" w:type="dxa"/>
            <w:vAlign w:val="center"/>
          </w:tcPr>
          <w:p w14:paraId="3352318C" w14:textId="07EE3A40" w:rsidR="00876952" w:rsidRPr="000E54E0" w:rsidRDefault="00876952" w:rsidP="00876952">
            <w:pPr>
              <w:jc w:val="center"/>
              <w:rPr>
                <w:b/>
                <w:sz w:val="20"/>
                <w:szCs w:val="20"/>
                <w:lang w:val="en-US"/>
              </w:rPr>
            </w:pPr>
            <w:r w:rsidRPr="000E54E0">
              <w:rPr>
                <w:b/>
                <w:sz w:val="20"/>
                <w:szCs w:val="20"/>
                <w:lang w:val="en-US"/>
              </w:rPr>
              <w:t xml:space="preserve">Oral </w:t>
            </w:r>
            <w:proofErr w:type="spellStart"/>
            <w:r w:rsidRPr="000E54E0">
              <w:rPr>
                <w:b/>
                <w:i/>
                <w:sz w:val="20"/>
                <w:szCs w:val="20"/>
                <w:lang w:val="en-US"/>
              </w:rPr>
              <w:t>RfD</w:t>
            </w:r>
            <w:proofErr w:type="spellEnd"/>
          </w:p>
        </w:tc>
        <w:tc>
          <w:tcPr>
            <w:tcW w:w="1418" w:type="dxa"/>
            <w:vAlign w:val="center"/>
          </w:tcPr>
          <w:p w14:paraId="7343A332" w14:textId="593D6E1C" w:rsidR="00876952" w:rsidRPr="00354200" w:rsidRDefault="00876952" w:rsidP="00876952">
            <w:pPr>
              <w:jc w:val="center"/>
              <w:rPr>
                <w:b/>
                <w:sz w:val="18"/>
                <w:szCs w:val="18"/>
                <w:lang w:val="en-US"/>
              </w:rPr>
            </w:pPr>
            <w:r w:rsidRPr="00354200">
              <w:rPr>
                <w:b/>
                <w:sz w:val="18"/>
                <w:szCs w:val="18"/>
                <w:lang w:val="en-US"/>
              </w:rPr>
              <w:t>Ref.</w:t>
            </w:r>
          </w:p>
        </w:tc>
        <w:tc>
          <w:tcPr>
            <w:tcW w:w="1073" w:type="dxa"/>
            <w:vAlign w:val="center"/>
          </w:tcPr>
          <w:p w14:paraId="04D89F1E" w14:textId="24B5FF3E" w:rsidR="00876952" w:rsidRPr="000E54E0" w:rsidRDefault="00876952" w:rsidP="00876952">
            <w:pPr>
              <w:jc w:val="center"/>
              <w:rPr>
                <w:b/>
                <w:i/>
                <w:sz w:val="20"/>
                <w:szCs w:val="20"/>
                <w:lang w:val="en-US"/>
              </w:rPr>
            </w:pPr>
            <w:proofErr w:type="spellStart"/>
            <w:r w:rsidRPr="000E54E0">
              <w:rPr>
                <w:b/>
                <w:i/>
                <w:sz w:val="20"/>
                <w:szCs w:val="20"/>
                <w:lang w:val="en-US"/>
              </w:rPr>
              <w:t>RfC</w:t>
            </w:r>
            <w:proofErr w:type="spellEnd"/>
          </w:p>
        </w:tc>
        <w:tc>
          <w:tcPr>
            <w:tcW w:w="1135" w:type="dxa"/>
            <w:vAlign w:val="center"/>
          </w:tcPr>
          <w:p w14:paraId="055CEF62" w14:textId="750DA38B" w:rsidR="00876952" w:rsidRPr="00354200" w:rsidRDefault="00876952" w:rsidP="00876952">
            <w:pPr>
              <w:jc w:val="center"/>
              <w:rPr>
                <w:b/>
                <w:sz w:val="18"/>
                <w:szCs w:val="18"/>
                <w:lang w:val="en-US"/>
              </w:rPr>
            </w:pPr>
            <w:r w:rsidRPr="00354200">
              <w:rPr>
                <w:b/>
                <w:sz w:val="18"/>
                <w:szCs w:val="18"/>
                <w:lang w:val="en-US"/>
              </w:rPr>
              <w:t>Ref.</w:t>
            </w:r>
          </w:p>
        </w:tc>
        <w:tc>
          <w:tcPr>
            <w:tcW w:w="1194" w:type="dxa"/>
            <w:vAlign w:val="center"/>
          </w:tcPr>
          <w:p w14:paraId="59583FE4" w14:textId="27480A47"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2997FDFF" w14:textId="11BF0629" w:rsidR="00876952" w:rsidRPr="00354200" w:rsidRDefault="00876952" w:rsidP="00876952">
            <w:pPr>
              <w:jc w:val="center"/>
              <w:rPr>
                <w:b/>
                <w:sz w:val="18"/>
                <w:szCs w:val="18"/>
                <w:lang w:val="en-US"/>
              </w:rPr>
            </w:pPr>
            <w:r w:rsidRPr="00354200">
              <w:rPr>
                <w:b/>
                <w:sz w:val="18"/>
                <w:szCs w:val="18"/>
                <w:lang w:val="en-US"/>
              </w:rPr>
              <w:t>Ref.</w:t>
            </w:r>
          </w:p>
        </w:tc>
        <w:tc>
          <w:tcPr>
            <w:tcW w:w="909" w:type="dxa"/>
            <w:vAlign w:val="center"/>
          </w:tcPr>
          <w:p w14:paraId="46F7F641" w14:textId="685C077E" w:rsidR="00876952" w:rsidRPr="000E54E0" w:rsidRDefault="00876952" w:rsidP="00876952">
            <w:pPr>
              <w:jc w:val="center"/>
              <w:rPr>
                <w:b/>
                <w:sz w:val="20"/>
                <w:szCs w:val="20"/>
                <w:lang w:val="en-US"/>
              </w:rPr>
            </w:pPr>
            <w:r w:rsidRPr="000E54E0">
              <w:rPr>
                <w:b/>
                <w:sz w:val="20"/>
                <w:szCs w:val="20"/>
                <w:lang w:val="en-US"/>
              </w:rPr>
              <w:t>IUR</w:t>
            </w:r>
          </w:p>
        </w:tc>
        <w:tc>
          <w:tcPr>
            <w:tcW w:w="1399" w:type="dxa"/>
            <w:vAlign w:val="center"/>
          </w:tcPr>
          <w:p w14:paraId="31AEF48E" w14:textId="2D985A3F" w:rsidR="00876952" w:rsidRPr="00354200" w:rsidRDefault="00876952" w:rsidP="00876952">
            <w:pPr>
              <w:jc w:val="center"/>
              <w:rPr>
                <w:b/>
                <w:sz w:val="18"/>
                <w:szCs w:val="18"/>
                <w:lang w:val="en-US"/>
              </w:rPr>
            </w:pPr>
            <w:r w:rsidRPr="00354200">
              <w:rPr>
                <w:b/>
                <w:sz w:val="18"/>
                <w:szCs w:val="18"/>
                <w:lang w:val="en-US"/>
              </w:rPr>
              <w:t>Ref.</w:t>
            </w:r>
          </w:p>
        </w:tc>
        <w:tc>
          <w:tcPr>
            <w:tcW w:w="992" w:type="dxa"/>
            <w:vAlign w:val="center"/>
          </w:tcPr>
          <w:p w14:paraId="1FE8B65E" w14:textId="48CAE4D3" w:rsidR="00876952" w:rsidRPr="000E54E0" w:rsidRDefault="00876952" w:rsidP="00876952">
            <w:pPr>
              <w:jc w:val="center"/>
              <w:rPr>
                <w:b/>
                <w:sz w:val="20"/>
                <w:szCs w:val="20"/>
                <w:lang w:val="en-US"/>
              </w:rPr>
            </w:pPr>
            <w:r w:rsidRPr="000E54E0">
              <w:rPr>
                <w:b/>
                <w:sz w:val="20"/>
                <w:szCs w:val="20"/>
                <w:lang w:val="en-US"/>
              </w:rPr>
              <w:t xml:space="preserve">Dermal </w:t>
            </w:r>
            <w:proofErr w:type="spellStart"/>
            <w:r w:rsidRPr="000E54E0">
              <w:rPr>
                <w:b/>
                <w:i/>
                <w:sz w:val="20"/>
                <w:szCs w:val="20"/>
                <w:lang w:val="en-US"/>
              </w:rPr>
              <w:t>RfD</w:t>
            </w:r>
            <w:proofErr w:type="spellEnd"/>
            <w:r>
              <w:rPr>
                <w:b/>
                <w:i/>
                <w:sz w:val="20"/>
                <w:szCs w:val="20"/>
                <w:lang w:val="en-US"/>
              </w:rPr>
              <w:t xml:space="preserve"> *</w:t>
            </w:r>
          </w:p>
        </w:tc>
        <w:tc>
          <w:tcPr>
            <w:tcW w:w="1134" w:type="dxa"/>
            <w:vAlign w:val="center"/>
          </w:tcPr>
          <w:p w14:paraId="2AB94680" w14:textId="77777777" w:rsidR="00876952" w:rsidRDefault="00876952" w:rsidP="00876952">
            <w:pPr>
              <w:jc w:val="center"/>
              <w:rPr>
                <w:b/>
                <w:sz w:val="20"/>
                <w:szCs w:val="20"/>
                <w:lang w:val="en-US"/>
              </w:rPr>
            </w:pPr>
            <w:r w:rsidRPr="000E54E0">
              <w:rPr>
                <w:b/>
                <w:sz w:val="20"/>
                <w:szCs w:val="20"/>
                <w:lang w:val="en-US"/>
              </w:rPr>
              <w:t>Dermal</w:t>
            </w:r>
          </w:p>
          <w:p w14:paraId="3DA8F244" w14:textId="20D259CB" w:rsidR="00876952" w:rsidRPr="000E54E0" w:rsidRDefault="00876952" w:rsidP="00876952">
            <w:pPr>
              <w:jc w:val="center"/>
              <w:rPr>
                <w:b/>
                <w:sz w:val="20"/>
                <w:szCs w:val="20"/>
                <w:lang w:val="en-US"/>
              </w:rPr>
            </w:pPr>
            <w:r w:rsidRPr="000E54E0">
              <w:rPr>
                <w:b/>
                <w:i/>
                <w:sz w:val="20"/>
                <w:szCs w:val="20"/>
                <w:lang w:val="en-US"/>
              </w:rPr>
              <w:t>SF</w:t>
            </w:r>
            <w:r>
              <w:rPr>
                <w:b/>
                <w:i/>
                <w:sz w:val="20"/>
                <w:szCs w:val="20"/>
                <w:lang w:val="en-US"/>
              </w:rPr>
              <w:t xml:space="preserve"> **</w:t>
            </w:r>
          </w:p>
        </w:tc>
      </w:tr>
      <w:tr w:rsidR="00586AE2" w:rsidRPr="00AC1247" w14:paraId="6829599A" w14:textId="77777777" w:rsidTr="00B71194">
        <w:trPr>
          <w:trHeight w:val="265"/>
          <w:jc w:val="center"/>
        </w:trPr>
        <w:tc>
          <w:tcPr>
            <w:tcW w:w="2536" w:type="dxa"/>
            <w:vAlign w:val="center"/>
          </w:tcPr>
          <w:p w14:paraId="2FE2B880" w14:textId="77777777" w:rsidR="00586AE2" w:rsidRPr="000E54E0" w:rsidRDefault="00586AE2" w:rsidP="00586AE2">
            <w:pPr>
              <w:jc w:val="center"/>
              <w:rPr>
                <w:sz w:val="20"/>
                <w:szCs w:val="20"/>
                <w:lang w:val="en-US"/>
              </w:rPr>
            </w:pPr>
            <w:r>
              <w:rPr>
                <w:sz w:val="20"/>
                <w:szCs w:val="20"/>
                <w:lang w:val="en-US"/>
              </w:rPr>
              <w:t>Ag</w:t>
            </w:r>
          </w:p>
        </w:tc>
        <w:tc>
          <w:tcPr>
            <w:tcW w:w="1003" w:type="dxa"/>
            <w:vAlign w:val="center"/>
          </w:tcPr>
          <w:p w14:paraId="27CCC9DD" w14:textId="77777777" w:rsidR="00586AE2" w:rsidRPr="000E54E0" w:rsidRDefault="00586AE2" w:rsidP="00586AE2">
            <w:pPr>
              <w:jc w:val="center"/>
              <w:rPr>
                <w:sz w:val="20"/>
                <w:szCs w:val="20"/>
                <w:lang w:val="en-US"/>
              </w:rPr>
            </w:pPr>
            <w:r>
              <w:rPr>
                <w:sz w:val="20"/>
                <w:szCs w:val="20"/>
                <w:lang w:val="en-US"/>
              </w:rPr>
              <w:t>5.00E-3</w:t>
            </w:r>
          </w:p>
        </w:tc>
        <w:tc>
          <w:tcPr>
            <w:tcW w:w="1418" w:type="dxa"/>
            <w:vAlign w:val="center"/>
          </w:tcPr>
          <w:p w14:paraId="7668E212" w14:textId="3D880B7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0B5D4FC" w14:textId="77777777" w:rsidR="00586AE2" w:rsidRPr="000E54E0" w:rsidRDefault="00586AE2" w:rsidP="00586AE2">
            <w:pPr>
              <w:jc w:val="center"/>
              <w:rPr>
                <w:sz w:val="20"/>
                <w:szCs w:val="20"/>
                <w:lang w:val="en-US"/>
              </w:rPr>
            </w:pPr>
            <w:r>
              <w:rPr>
                <w:sz w:val="20"/>
                <w:szCs w:val="20"/>
                <w:lang w:val="en-US"/>
              </w:rPr>
              <w:t>3.00E-3</w:t>
            </w:r>
          </w:p>
        </w:tc>
        <w:tc>
          <w:tcPr>
            <w:tcW w:w="1135" w:type="dxa"/>
            <w:vAlign w:val="center"/>
          </w:tcPr>
          <w:p w14:paraId="4AB8988B"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6C0F3E6"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53598B8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D49C29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01BB9F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5F53AB3" w14:textId="77777777" w:rsidR="00586AE2" w:rsidRPr="000E54E0" w:rsidRDefault="00586AE2" w:rsidP="00586AE2">
            <w:pPr>
              <w:jc w:val="center"/>
              <w:rPr>
                <w:sz w:val="20"/>
                <w:szCs w:val="20"/>
                <w:lang w:val="en-US"/>
              </w:rPr>
            </w:pPr>
            <w:r>
              <w:rPr>
                <w:sz w:val="20"/>
                <w:szCs w:val="20"/>
                <w:lang w:val="en-US"/>
              </w:rPr>
              <w:t>4.00E-2</w:t>
            </w:r>
          </w:p>
        </w:tc>
        <w:tc>
          <w:tcPr>
            <w:tcW w:w="1134" w:type="dxa"/>
            <w:vAlign w:val="center"/>
          </w:tcPr>
          <w:p w14:paraId="7BD9A8B0"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05DBE8E0" w14:textId="77777777" w:rsidTr="00B71194">
        <w:trPr>
          <w:trHeight w:val="265"/>
          <w:jc w:val="center"/>
        </w:trPr>
        <w:tc>
          <w:tcPr>
            <w:tcW w:w="2536" w:type="dxa"/>
            <w:vAlign w:val="center"/>
          </w:tcPr>
          <w:p w14:paraId="155F57EB" w14:textId="77777777" w:rsidR="00586AE2" w:rsidRPr="000E54E0" w:rsidRDefault="00586AE2" w:rsidP="00586AE2">
            <w:pPr>
              <w:jc w:val="center"/>
              <w:rPr>
                <w:sz w:val="20"/>
                <w:szCs w:val="20"/>
                <w:lang w:val="en-US"/>
              </w:rPr>
            </w:pPr>
            <w:r>
              <w:rPr>
                <w:sz w:val="20"/>
                <w:szCs w:val="20"/>
                <w:lang w:val="en-US"/>
              </w:rPr>
              <w:t>Sb</w:t>
            </w:r>
          </w:p>
        </w:tc>
        <w:tc>
          <w:tcPr>
            <w:tcW w:w="1003" w:type="dxa"/>
            <w:vAlign w:val="center"/>
          </w:tcPr>
          <w:p w14:paraId="05BC863A" w14:textId="77777777" w:rsidR="00586AE2" w:rsidRPr="000E54E0" w:rsidRDefault="00586AE2" w:rsidP="00586AE2">
            <w:pPr>
              <w:jc w:val="center"/>
              <w:rPr>
                <w:sz w:val="20"/>
                <w:szCs w:val="20"/>
                <w:lang w:val="en-US"/>
              </w:rPr>
            </w:pPr>
            <w:r>
              <w:rPr>
                <w:sz w:val="20"/>
                <w:szCs w:val="20"/>
                <w:lang w:val="en-US"/>
              </w:rPr>
              <w:t>4.00E-4</w:t>
            </w:r>
          </w:p>
        </w:tc>
        <w:tc>
          <w:tcPr>
            <w:tcW w:w="1418" w:type="dxa"/>
            <w:vAlign w:val="center"/>
          </w:tcPr>
          <w:p w14:paraId="2C7606DC" w14:textId="2CB4441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6F1EAB5"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49C5F1DA"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9DC18B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1BAC896F"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45212B36"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24837FD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3CB86E2" w14:textId="77777777" w:rsidR="00586AE2" w:rsidRPr="000E54E0" w:rsidRDefault="00586AE2" w:rsidP="00586AE2">
            <w:pPr>
              <w:jc w:val="center"/>
              <w:rPr>
                <w:sz w:val="20"/>
                <w:szCs w:val="20"/>
                <w:lang w:val="en-US"/>
              </w:rPr>
            </w:pPr>
            <w:r>
              <w:rPr>
                <w:sz w:val="20"/>
                <w:szCs w:val="20"/>
                <w:lang w:val="en-US"/>
              </w:rPr>
              <w:t>6.00E-5</w:t>
            </w:r>
          </w:p>
        </w:tc>
        <w:tc>
          <w:tcPr>
            <w:tcW w:w="1134" w:type="dxa"/>
            <w:vAlign w:val="center"/>
          </w:tcPr>
          <w:p w14:paraId="12028603"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6FA024C2" w14:textId="77777777" w:rsidTr="00B71194">
        <w:trPr>
          <w:trHeight w:val="265"/>
          <w:jc w:val="center"/>
        </w:trPr>
        <w:tc>
          <w:tcPr>
            <w:tcW w:w="2536" w:type="dxa"/>
            <w:vAlign w:val="center"/>
          </w:tcPr>
          <w:p w14:paraId="60818D4C" w14:textId="77777777" w:rsidR="00586AE2" w:rsidRPr="000E54E0" w:rsidRDefault="00586AE2" w:rsidP="00586AE2">
            <w:pPr>
              <w:jc w:val="center"/>
              <w:rPr>
                <w:sz w:val="20"/>
                <w:szCs w:val="20"/>
                <w:lang w:val="en-US"/>
              </w:rPr>
            </w:pPr>
            <w:r>
              <w:rPr>
                <w:sz w:val="20"/>
                <w:szCs w:val="20"/>
                <w:lang w:val="en-US"/>
              </w:rPr>
              <w:t>U</w:t>
            </w:r>
          </w:p>
        </w:tc>
        <w:tc>
          <w:tcPr>
            <w:tcW w:w="1003" w:type="dxa"/>
            <w:vAlign w:val="center"/>
          </w:tcPr>
          <w:p w14:paraId="65169817"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2ED59162" w14:textId="137146E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2372D13" w14:textId="77777777" w:rsidR="00586AE2" w:rsidRPr="000E54E0" w:rsidRDefault="00586AE2" w:rsidP="00586AE2">
            <w:pPr>
              <w:jc w:val="center"/>
              <w:rPr>
                <w:sz w:val="20"/>
                <w:szCs w:val="20"/>
                <w:lang w:val="en-US"/>
              </w:rPr>
            </w:pPr>
            <w:r>
              <w:rPr>
                <w:sz w:val="20"/>
                <w:szCs w:val="20"/>
                <w:lang w:val="en-US"/>
              </w:rPr>
              <w:t>8.00E-4</w:t>
            </w:r>
          </w:p>
        </w:tc>
        <w:tc>
          <w:tcPr>
            <w:tcW w:w="1135" w:type="dxa"/>
            <w:vAlign w:val="center"/>
          </w:tcPr>
          <w:p w14:paraId="29C90EE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14D044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22A96A77"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8660ED3"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5E53AC50"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4B0655F9" w14:textId="77777777" w:rsidR="00586AE2" w:rsidRPr="000E54E0" w:rsidRDefault="00586AE2" w:rsidP="00586AE2">
            <w:pPr>
              <w:jc w:val="center"/>
              <w:rPr>
                <w:sz w:val="20"/>
                <w:szCs w:val="20"/>
                <w:lang w:val="en-US"/>
              </w:rPr>
            </w:pPr>
            <w:r>
              <w:rPr>
                <w:sz w:val="20"/>
                <w:szCs w:val="20"/>
                <w:lang w:val="en-US"/>
              </w:rPr>
              <w:t>3.00E-3</w:t>
            </w:r>
          </w:p>
        </w:tc>
        <w:tc>
          <w:tcPr>
            <w:tcW w:w="1134" w:type="dxa"/>
            <w:vAlign w:val="center"/>
          </w:tcPr>
          <w:p w14:paraId="4D1D1449"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26EDE1A5" w14:textId="77777777" w:rsidTr="00B71194">
        <w:trPr>
          <w:trHeight w:val="265"/>
          <w:jc w:val="center"/>
        </w:trPr>
        <w:tc>
          <w:tcPr>
            <w:tcW w:w="2536" w:type="dxa"/>
            <w:vAlign w:val="center"/>
          </w:tcPr>
          <w:p w14:paraId="6DAF2A6C" w14:textId="77777777" w:rsidR="00586AE2" w:rsidRPr="000E54E0" w:rsidRDefault="00586AE2" w:rsidP="00586AE2">
            <w:pPr>
              <w:jc w:val="center"/>
              <w:rPr>
                <w:sz w:val="20"/>
                <w:szCs w:val="20"/>
                <w:lang w:val="en-US"/>
              </w:rPr>
            </w:pPr>
            <w:r>
              <w:rPr>
                <w:sz w:val="20"/>
                <w:szCs w:val="20"/>
                <w:lang w:val="en-US"/>
              </w:rPr>
              <w:t>Mn</w:t>
            </w:r>
          </w:p>
        </w:tc>
        <w:tc>
          <w:tcPr>
            <w:tcW w:w="1003" w:type="dxa"/>
            <w:vAlign w:val="center"/>
          </w:tcPr>
          <w:p w14:paraId="73FB6C7D" w14:textId="77777777" w:rsidR="00586AE2" w:rsidRPr="000E54E0" w:rsidRDefault="00586AE2" w:rsidP="00586AE2">
            <w:pPr>
              <w:jc w:val="center"/>
              <w:rPr>
                <w:sz w:val="20"/>
                <w:szCs w:val="20"/>
                <w:lang w:val="en-US"/>
              </w:rPr>
            </w:pPr>
            <w:r>
              <w:rPr>
                <w:sz w:val="20"/>
                <w:szCs w:val="20"/>
                <w:lang w:val="en-US"/>
              </w:rPr>
              <w:t>1.40E-1</w:t>
            </w:r>
          </w:p>
        </w:tc>
        <w:tc>
          <w:tcPr>
            <w:tcW w:w="1418" w:type="dxa"/>
            <w:vAlign w:val="center"/>
          </w:tcPr>
          <w:p w14:paraId="0F7DEFF9" w14:textId="712C63B6"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6BE0F9" w14:textId="77777777" w:rsidR="00586AE2" w:rsidRPr="000E54E0" w:rsidRDefault="00586AE2" w:rsidP="00586AE2">
            <w:pPr>
              <w:jc w:val="center"/>
              <w:rPr>
                <w:sz w:val="20"/>
                <w:szCs w:val="20"/>
                <w:lang w:val="en-US"/>
              </w:rPr>
            </w:pPr>
            <w:r>
              <w:rPr>
                <w:sz w:val="20"/>
                <w:szCs w:val="20"/>
                <w:lang w:val="en-US"/>
              </w:rPr>
              <w:t>5.00E-5</w:t>
            </w:r>
          </w:p>
        </w:tc>
        <w:tc>
          <w:tcPr>
            <w:tcW w:w="1135" w:type="dxa"/>
            <w:vAlign w:val="center"/>
          </w:tcPr>
          <w:p w14:paraId="5EA28F2A" w14:textId="7514CA6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1D5B2EE1"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4E22217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E69AC45"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070279B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504CA49" w14:textId="77777777" w:rsidR="00586AE2" w:rsidRPr="000E54E0" w:rsidRDefault="00586AE2" w:rsidP="00586AE2">
            <w:pPr>
              <w:jc w:val="center"/>
              <w:rPr>
                <w:sz w:val="20"/>
                <w:szCs w:val="20"/>
                <w:lang w:val="en-US"/>
              </w:rPr>
            </w:pPr>
            <w:r>
              <w:rPr>
                <w:sz w:val="20"/>
                <w:szCs w:val="20"/>
                <w:lang w:val="en-US"/>
              </w:rPr>
              <w:t>8.40E-3</w:t>
            </w:r>
          </w:p>
        </w:tc>
        <w:tc>
          <w:tcPr>
            <w:tcW w:w="1134" w:type="dxa"/>
            <w:vAlign w:val="center"/>
          </w:tcPr>
          <w:p w14:paraId="23D113B6"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67497B" w:rsidRPr="00AC1247" w14:paraId="2A854236" w14:textId="77777777" w:rsidTr="00B71194">
        <w:trPr>
          <w:trHeight w:val="265"/>
          <w:jc w:val="center"/>
        </w:trPr>
        <w:tc>
          <w:tcPr>
            <w:tcW w:w="2536" w:type="dxa"/>
            <w:vAlign w:val="center"/>
          </w:tcPr>
          <w:p w14:paraId="0EF63715" w14:textId="77777777" w:rsidR="0067497B" w:rsidRPr="000E54E0" w:rsidRDefault="0067497B" w:rsidP="0067497B">
            <w:pPr>
              <w:jc w:val="center"/>
              <w:rPr>
                <w:sz w:val="20"/>
                <w:szCs w:val="20"/>
                <w:lang w:val="en-US"/>
              </w:rPr>
            </w:pPr>
            <w:r>
              <w:rPr>
                <w:sz w:val="20"/>
                <w:szCs w:val="20"/>
                <w:lang w:val="en-US"/>
              </w:rPr>
              <w:t>Cd</w:t>
            </w:r>
          </w:p>
        </w:tc>
        <w:tc>
          <w:tcPr>
            <w:tcW w:w="1003" w:type="dxa"/>
            <w:vAlign w:val="center"/>
          </w:tcPr>
          <w:p w14:paraId="16ABE6B1" w14:textId="77777777" w:rsidR="0067497B" w:rsidRDefault="0067497B" w:rsidP="0067497B">
            <w:pPr>
              <w:jc w:val="center"/>
              <w:rPr>
                <w:sz w:val="20"/>
                <w:szCs w:val="20"/>
                <w:lang w:val="en-US"/>
              </w:rPr>
            </w:pPr>
            <w:r>
              <w:rPr>
                <w:sz w:val="20"/>
                <w:szCs w:val="20"/>
                <w:lang w:val="en-US"/>
              </w:rPr>
              <w:t xml:space="preserve">5.00E-4 </w:t>
            </w:r>
          </w:p>
          <w:p w14:paraId="5BBDC168" w14:textId="77777777" w:rsidR="0067497B" w:rsidRDefault="0067497B" w:rsidP="0067497B">
            <w:pPr>
              <w:jc w:val="center"/>
              <w:rPr>
                <w:sz w:val="20"/>
                <w:szCs w:val="20"/>
                <w:lang w:val="en-US"/>
              </w:rPr>
            </w:pPr>
            <w:r>
              <w:rPr>
                <w:sz w:val="20"/>
                <w:szCs w:val="20"/>
                <w:lang w:val="en-US"/>
              </w:rPr>
              <w:t>(water)</w:t>
            </w:r>
          </w:p>
          <w:p w14:paraId="19B199F6" w14:textId="77777777" w:rsidR="0067497B" w:rsidRDefault="0067497B" w:rsidP="0067497B">
            <w:pPr>
              <w:jc w:val="center"/>
              <w:rPr>
                <w:sz w:val="20"/>
                <w:szCs w:val="20"/>
                <w:lang w:val="en-US"/>
              </w:rPr>
            </w:pPr>
          </w:p>
          <w:p w14:paraId="4D6C2A6A" w14:textId="77777777" w:rsidR="0067497B" w:rsidRDefault="0067497B" w:rsidP="0067497B">
            <w:pPr>
              <w:jc w:val="center"/>
              <w:rPr>
                <w:sz w:val="20"/>
                <w:szCs w:val="20"/>
                <w:lang w:val="en-US"/>
              </w:rPr>
            </w:pPr>
            <w:r>
              <w:rPr>
                <w:sz w:val="20"/>
                <w:szCs w:val="20"/>
                <w:lang w:val="en-US"/>
              </w:rPr>
              <w:t xml:space="preserve">1.00E-3 </w:t>
            </w:r>
          </w:p>
          <w:p w14:paraId="49A3F940" w14:textId="77777777" w:rsidR="0067497B" w:rsidRPr="000E54E0" w:rsidRDefault="0067497B" w:rsidP="0067497B">
            <w:pPr>
              <w:jc w:val="center"/>
              <w:rPr>
                <w:sz w:val="20"/>
                <w:szCs w:val="20"/>
                <w:lang w:val="en-US"/>
              </w:rPr>
            </w:pPr>
            <w:r>
              <w:rPr>
                <w:sz w:val="20"/>
                <w:szCs w:val="20"/>
                <w:lang w:val="en-US"/>
              </w:rPr>
              <w:t>(food)</w:t>
            </w:r>
          </w:p>
        </w:tc>
        <w:tc>
          <w:tcPr>
            <w:tcW w:w="1418" w:type="dxa"/>
            <w:vAlign w:val="center"/>
          </w:tcPr>
          <w:p w14:paraId="329DF6CD" w14:textId="7CA4695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111D52F" w14:textId="77777777" w:rsidR="0067497B" w:rsidRPr="000E54E0" w:rsidRDefault="0067497B" w:rsidP="0067497B">
            <w:pPr>
              <w:jc w:val="center"/>
              <w:rPr>
                <w:sz w:val="20"/>
                <w:szCs w:val="20"/>
                <w:lang w:val="en-US"/>
              </w:rPr>
            </w:pPr>
            <w:r>
              <w:rPr>
                <w:sz w:val="20"/>
                <w:szCs w:val="20"/>
                <w:lang w:val="en-US"/>
              </w:rPr>
              <w:t>1.00E-5</w:t>
            </w:r>
          </w:p>
        </w:tc>
        <w:tc>
          <w:tcPr>
            <w:tcW w:w="1135" w:type="dxa"/>
            <w:vAlign w:val="center"/>
          </w:tcPr>
          <w:p w14:paraId="542C6D8D" w14:textId="77777777" w:rsidR="0067497B" w:rsidRPr="00354200" w:rsidRDefault="0067497B" w:rsidP="0067497B">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7738F44" w14:textId="23FEB077" w:rsidR="0067497B" w:rsidRPr="000E54E0" w:rsidRDefault="0067497B" w:rsidP="0067497B">
            <w:pPr>
              <w:jc w:val="center"/>
              <w:rPr>
                <w:sz w:val="20"/>
                <w:szCs w:val="20"/>
                <w:lang w:val="en-US"/>
              </w:rPr>
            </w:pPr>
            <w:proofErr w:type="spellStart"/>
            <w:r>
              <w:rPr>
                <w:sz w:val="20"/>
                <w:szCs w:val="20"/>
                <w:lang w:val="en-US"/>
              </w:rPr>
              <w:t>n.a.</w:t>
            </w:r>
            <w:proofErr w:type="spellEnd"/>
          </w:p>
        </w:tc>
        <w:tc>
          <w:tcPr>
            <w:tcW w:w="1377" w:type="dxa"/>
            <w:vAlign w:val="center"/>
          </w:tcPr>
          <w:p w14:paraId="374C03C3" w14:textId="1B6B25FE" w:rsidR="0067497B" w:rsidRPr="00354200" w:rsidRDefault="0067497B" w:rsidP="0067497B">
            <w:pPr>
              <w:jc w:val="center"/>
              <w:rPr>
                <w:sz w:val="18"/>
                <w:szCs w:val="18"/>
                <w:lang w:val="en-US"/>
              </w:rPr>
            </w:pPr>
            <w:r w:rsidRPr="00354200">
              <w:rPr>
                <w:sz w:val="18"/>
                <w:szCs w:val="18"/>
                <w:lang w:val="en-US"/>
              </w:rPr>
              <w:t>#</w:t>
            </w:r>
          </w:p>
        </w:tc>
        <w:tc>
          <w:tcPr>
            <w:tcW w:w="909" w:type="dxa"/>
            <w:vAlign w:val="center"/>
          </w:tcPr>
          <w:p w14:paraId="7A39246E" w14:textId="77777777" w:rsidR="0067497B" w:rsidRPr="000E54E0" w:rsidRDefault="0067497B" w:rsidP="0067497B">
            <w:pPr>
              <w:jc w:val="center"/>
              <w:rPr>
                <w:sz w:val="20"/>
                <w:szCs w:val="20"/>
                <w:lang w:val="en-US"/>
              </w:rPr>
            </w:pPr>
            <w:r>
              <w:rPr>
                <w:sz w:val="20"/>
                <w:szCs w:val="20"/>
                <w:lang w:val="en-US"/>
              </w:rPr>
              <w:t>1.80E+0</w:t>
            </w:r>
          </w:p>
        </w:tc>
        <w:tc>
          <w:tcPr>
            <w:tcW w:w="1399" w:type="dxa"/>
            <w:vAlign w:val="center"/>
          </w:tcPr>
          <w:p w14:paraId="7D3792EF" w14:textId="689AAF9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80CC825" w14:textId="77777777" w:rsidR="0067497B" w:rsidRPr="000E54E0" w:rsidRDefault="0067497B" w:rsidP="0067497B">
            <w:pPr>
              <w:jc w:val="center"/>
              <w:rPr>
                <w:sz w:val="20"/>
                <w:szCs w:val="20"/>
                <w:lang w:val="en-US"/>
              </w:rPr>
            </w:pPr>
            <w:r>
              <w:rPr>
                <w:sz w:val="20"/>
                <w:szCs w:val="20"/>
                <w:lang w:val="en-US"/>
              </w:rPr>
              <w:t>2.50E-5 (water and food)</w:t>
            </w:r>
          </w:p>
        </w:tc>
        <w:tc>
          <w:tcPr>
            <w:tcW w:w="1134" w:type="dxa"/>
            <w:vAlign w:val="center"/>
          </w:tcPr>
          <w:p w14:paraId="16648D16" w14:textId="0A9230BA" w:rsidR="0067497B" w:rsidRPr="00D67998" w:rsidRDefault="0067497B" w:rsidP="0067497B">
            <w:pPr>
              <w:jc w:val="center"/>
              <w:rPr>
                <w:sz w:val="20"/>
                <w:szCs w:val="20"/>
              </w:rPr>
            </w:pPr>
            <w:proofErr w:type="spellStart"/>
            <w:r>
              <w:rPr>
                <w:sz w:val="20"/>
                <w:szCs w:val="20"/>
                <w:lang w:val="en-US"/>
              </w:rPr>
              <w:t>n.a.</w:t>
            </w:r>
            <w:proofErr w:type="spellEnd"/>
          </w:p>
        </w:tc>
      </w:tr>
      <w:tr w:rsidR="00586AE2" w:rsidRPr="00AC1247" w14:paraId="2890F603" w14:textId="77777777" w:rsidTr="00B71194">
        <w:trPr>
          <w:trHeight w:val="265"/>
          <w:jc w:val="center"/>
        </w:trPr>
        <w:tc>
          <w:tcPr>
            <w:tcW w:w="2536" w:type="dxa"/>
            <w:vAlign w:val="center"/>
          </w:tcPr>
          <w:p w14:paraId="5549D474" w14:textId="77777777" w:rsidR="00586AE2" w:rsidRPr="000E54E0" w:rsidRDefault="00586AE2" w:rsidP="00586AE2">
            <w:pPr>
              <w:jc w:val="center"/>
              <w:rPr>
                <w:b/>
                <w:sz w:val="20"/>
                <w:szCs w:val="20"/>
                <w:lang w:val="en-US"/>
              </w:rPr>
            </w:pPr>
            <w:r>
              <w:rPr>
                <w:sz w:val="20"/>
                <w:szCs w:val="20"/>
                <w:lang w:val="en-US"/>
              </w:rPr>
              <w:t>As</w:t>
            </w:r>
          </w:p>
        </w:tc>
        <w:tc>
          <w:tcPr>
            <w:tcW w:w="1003" w:type="dxa"/>
            <w:vAlign w:val="center"/>
          </w:tcPr>
          <w:p w14:paraId="0C6840E2" w14:textId="77777777" w:rsidR="00586AE2" w:rsidRPr="000E54E0" w:rsidRDefault="00586AE2" w:rsidP="00586AE2">
            <w:pPr>
              <w:jc w:val="center"/>
              <w:rPr>
                <w:b/>
                <w:sz w:val="20"/>
                <w:szCs w:val="20"/>
                <w:lang w:val="en-US"/>
              </w:rPr>
            </w:pPr>
            <w:r>
              <w:rPr>
                <w:sz w:val="20"/>
                <w:szCs w:val="20"/>
                <w:lang w:val="en-US"/>
              </w:rPr>
              <w:t>3.00E-4</w:t>
            </w:r>
          </w:p>
        </w:tc>
        <w:tc>
          <w:tcPr>
            <w:tcW w:w="1418" w:type="dxa"/>
            <w:vAlign w:val="center"/>
          </w:tcPr>
          <w:p w14:paraId="168DD04E" w14:textId="3212066B"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97D0EA3" w14:textId="77777777" w:rsidR="00586AE2" w:rsidRPr="000E54E0" w:rsidRDefault="00586AE2" w:rsidP="00586AE2">
            <w:pPr>
              <w:jc w:val="center"/>
              <w:rPr>
                <w:b/>
                <w:sz w:val="20"/>
                <w:szCs w:val="20"/>
                <w:lang w:val="en-US"/>
              </w:rPr>
            </w:pPr>
            <w:r>
              <w:rPr>
                <w:sz w:val="20"/>
                <w:szCs w:val="20"/>
                <w:lang w:val="en-US"/>
              </w:rPr>
              <w:t>1.50E-5</w:t>
            </w:r>
          </w:p>
        </w:tc>
        <w:tc>
          <w:tcPr>
            <w:tcW w:w="1135" w:type="dxa"/>
            <w:vAlign w:val="center"/>
          </w:tcPr>
          <w:p w14:paraId="2DA755F0" w14:textId="77777777" w:rsidR="00586AE2" w:rsidRPr="00354200" w:rsidRDefault="00586AE2" w:rsidP="00586AE2">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0798A00C" w14:textId="77777777" w:rsidR="00586AE2" w:rsidRPr="000E54E0" w:rsidRDefault="00586AE2" w:rsidP="00586AE2">
            <w:pPr>
              <w:jc w:val="center"/>
              <w:rPr>
                <w:b/>
                <w:sz w:val="20"/>
                <w:szCs w:val="20"/>
                <w:lang w:val="en-US"/>
              </w:rPr>
            </w:pPr>
            <w:r>
              <w:rPr>
                <w:sz w:val="20"/>
                <w:szCs w:val="20"/>
                <w:lang w:val="en-US"/>
              </w:rPr>
              <w:t>1.50E+0 ± 1.29E-1</w:t>
            </w:r>
          </w:p>
        </w:tc>
        <w:tc>
          <w:tcPr>
            <w:tcW w:w="1377" w:type="dxa"/>
            <w:vAlign w:val="center"/>
          </w:tcPr>
          <w:p w14:paraId="0540A742" w14:textId="1E06714D"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C5D399D" w14:textId="77777777" w:rsidR="00586AE2" w:rsidRPr="000E54E0" w:rsidRDefault="00586AE2" w:rsidP="00586AE2">
            <w:pPr>
              <w:jc w:val="center"/>
              <w:rPr>
                <w:b/>
                <w:sz w:val="20"/>
                <w:szCs w:val="20"/>
                <w:lang w:val="en-US"/>
              </w:rPr>
            </w:pPr>
            <w:r>
              <w:rPr>
                <w:sz w:val="20"/>
                <w:szCs w:val="20"/>
                <w:lang w:val="en-US"/>
              </w:rPr>
              <w:t>4.30E+0</w:t>
            </w:r>
          </w:p>
        </w:tc>
        <w:tc>
          <w:tcPr>
            <w:tcW w:w="1399" w:type="dxa"/>
            <w:vAlign w:val="center"/>
          </w:tcPr>
          <w:p w14:paraId="3F77FD13" w14:textId="27AAAA0C"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79348EDA" w14:textId="77777777" w:rsidR="00586AE2" w:rsidRPr="000E54E0" w:rsidRDefault="00586AE2" w:rsidP="00586AE2">
            <w:pPr>
              <w:jc w:val="center"/>
              <w:rPr>
                <w:b/>
                <w:sz w:val="20"/>
                <w:szCs w:val="20"/>
                <w:vertAlign w:val="subscript"/>
                <w:lang w:val="en-US"/>
              </w:rPr>
            </w:pPr>
            <w:r>
              <w:rPr>
                <w:sz w:val="20"/>
                <w:szCs w:val="20"/>
                <w:lang w:val="en-US"/>
              </w:rPr>
              <w:t>2.85E-4</w:t>
            </w:r>
          </w:p>
        </w:tc>
        <w:tc>
          <w:tcPr>
            <w:tcW w:w="1134" w:type="dxa"/>
            <w:vAlign w:val="center"/>
          </w:tcPr>
          <w:p w14:paraId="70592FF0" w14:textId="77777777" w:rsidR="00586AE2" w:rsidRPr="000E54E0" w:rsidRDefault="00586AE2" w:rsidP="00586AE2">
            <w:pPr>
              <w:jc w:val="center"/>
              <w:rPr>
                <w:b/>
                <w:sz w:val="20"/>
                <w:szCs w:val="20"/>
                <w:lang w:val="en-US"/>
              </w:rPr>
            </w:pPr>
            <w:r>
              <w:rPr>
                <w:sz w:val="20"/>
                <w:szCs w:val="20"/>
                <w:lang w:val="en-US"/>
              </w:rPr>
              <w:t>1.58E+0 ± 1.36E-1</w:t>
            </w:r>
          </w:p>
        </w:tc>
      </w:tr>
      <w:tr w:rsidR="00586AE2" w:rsidRPr="00AC1247" w14:paraId="536DF48D" w14:textId="77777777" w:rsidTr="00B71194">
        <w:trPr>
          <w:trHeight w:val="265"/>
          <w:jc w:val="center"/>
        </w:trPr>
        <w:tc>
          <w:tcPr>
            <w:tcW w:w="2536" w:type="dxa"/>
            <w:vAlign w:val="center"/>
          </w:tcPr>
          <w:p w14:paraId="5C3A9340" w14:textId="77777777" w:rsidR="00586AE2" w:rsidRPr="000E54E0" w:rsidRDefault="00586AE2" w:rsidP="00586AE2">
            <w:pPr>
              <w:jc w:val="center"/>
              <w:rPr>
                <w:sz w:val="20"/>
                <w:szCs w:val="20"/>
                <w:lang w:val="en-US"/>
              </w:rPr>
            </w:pPr>
            <w:r>
              <w:rPr>
                <w:sz w:val="20"/>
                <w:szCs w:val="20"/>
                <w:lang w:val="en-US"/>
              </w:rPr>
              <w:t>Co</w:t>
            </w:r>
          </w:p>
        </w:tc>
        <w:tc>
          <w:tcPr>
            <w:tcW w:w="1003" w:type="dxa"/>
            <w:vAlign w:val="center"/>
          </w:tcPr>
          <w:p w14:paraId="4E2FE700"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1EBDC24B" w14:textId="3ABB841C"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073" w:type="dxa"/>
            <w:vAlign w:val="center"/>
          </w:tcPr>
          <w:p w14:paraId="70D3822C" w14:textId="2048B7A5" w:rsidR="00586AE2" w:rsidRPr="000E54E0" w:rsidRDefault="0057137A" w:rsidP="00586AE2">
            <w:pPr>
              <w:jc w:val="center"/>
              <w:rPr>
                <w:sz w:val="20"/>
                <w:szCs w:val="20"/>
                <w:lang w:val="en-US"/>
              </w:rPr>
            </w:pPr>
            <w:r>
              <w:rPr>
                <w:sz w:val="20"/>
                <w:szCs w:val="20"/>
                <w:lang w:val="en-US"/>
              </w:rPr>
              <w:t>6</w:t>
            </w:r>
            <w:r w:rsidR="00586AE2">
              <w:rPr>
                <w:sz w:val="20"/>
                <w:szCs w:val="20"/>
                <w:lang w:val="en-US"/>
              </w:rPr>
              <w:t>.00E-</w:t>
            </w:r>
            <w:r>
              <w:rPr>
                <w:sz w:val="20"/>
                <w:szCs w:val="20"/>
                <w:lang w:val="en-US"/>
              </w:rPr>
              <w:t>6</w:t>
            </w:r>
          </w:p>
        </w:tc>
        <w:tc>
          <w:tcPr>
            <w:tcW w:w="1135" w:type="dxa"/>
            <w:vAlign w:val="center"/>
          </w:tcPr>
          <w:p w14:paraId="7D35C465" w14:textId="1A03D3A5"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194" w:type="dxa"/>
            <w:vAlign w:val="center"/>
          </w:tcPr>
          <w:p w14:paraId="12BC64FC" w14:textId="77777777" w:rsidR="00586AE2" w:rsidRPr="000E54E0" w:rsidRDefault="00586AE2" w:rsidP="00586AE2">
            <w:pPr>
              <w:jc w:val="center"/>
              <w:rPr>
                <w:sz w:val="20"/>
                <w:szCs w:val="20"/>
                <w:lang w:val="en-US"/>
              </w:rPr>
            </w:pPr>
            <w:proofErr w:type="spellStart"/>
            <w:proofErr w:type="gramStart"/>
            <w:r>
              <w:rPr>
                <w:sz w:val="20"/>
                <w:szCs w:val="20"/>
                <w:lang w:val="en-US"/>
              </w:rPr>
              <w:t>n.a</w:t>
            </w:r>
            <w:proofErr w:type="spellEnd"/>
            <w:proofErr w:type="gramEnd"/>
          </w:p>
        </w:tc>
        <w:tc>
          <w:tcPr>
            <w:tcW w:w="1377" w:type="dxa"/>
            <w:vAlign w:val="center"/>
          </w:tcPr>
          <w:p w14:paraId="607AC8A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16F7AFD" w14:textId="77777777" w:rsidR="00586AE2" w:rsidRPr="000E54E0" w:rsidRDefault="00586AE2" w:rsidP="00586AE2">
            <w:pPr>
              <w:jc w:val="center"/>
              <w:rPr>
                <w:sz w:val="20"/>
                <w:szCs w:val="20"/>
                <w:lang w:val="en-US"/>
              </w:rPr>
            </w:pPr>
            <w:r>
              <w:rPr>
                <w:sz w:val="20"/>
                <w:szCs w:val="20"/>
                <w:lang w:val="en-US"/>
              </w:rPr>
              <w:t>9.00E+0</w:t>
            </w:r>
          </w:p>
        </w:tc>
        <w:tc>
          <w:tcPr>
            <w:tcW w:w="1399" w:type="dxa"/>
            <w:vAlign w:val="center"/>
          </w:tcPr>
          <w:p w14:paraId="0CCE261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992" w:type="dxa"/>
            <w:vAlign w:val="center"/>
          </w:tcPr>
          <w:p w14:paraId="5B97DC3A" w14:textId="77777777" w:rsidR="00586AE2" w:rsidRPr="000E54E0" w:rsidRDefault="00586AE2" w:rsidP="00586AE2">
            <w:pPr>
              <w:jc w:val="center"/>
              <w:rPr>
                <w:sz w:val="20"/>
                <w:szCs w:val="20"/>
                <w:lang w:val="en-US"/>
              </w:rPr>
            </w:pPr>
            <w:r>
              <w:rPr>
                <w:sz w:val="20"/>
                <w:szCs w:val="20"/>
                <w:lang w:val="en-US"/>
              </w:rPr>
              <w:t>3.00E-4</w:t>
            </w:r>
          </w:p>
        </w:tc>
        <w:tc>
          <w:tcPr>
            <w:tcW w:w="1134" w:type="dxa"/>
            <w:vAlign w:val="center"/>
          </w:tcPr>
          <w:p w14:paraId="6BE88CC9"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38282C01" w14:textId="77777777" w:rsidTr="00B71194">
        <w:trPr>
          <w:trHeight w:val="265"/>
          <w:jc w:val="center"/>
        </w:trPr>
        <w:tc>
          <w:tcPr>
            <w:tcW w:w="2536" w:type="dxa"/>
            <w:vAlign w:val="center"/>
          </w:tcPr>
          <w:p w14:paraId="3C4BB70A" w14:textId="77777777" w:rsidR="00586AE2" w:rsidRPr="000E54E0" w:rsidRDefault="00586AE2" w:rsidP="00586AE2">
            <w:pPr>
              <w:jc w:val="center"/>
              <w:rPr>
                <w:sz w:val="20"/>
                <w:szCs w:val="20"/>
                <w:lang w:val="en-US"/>
              </w:rPr>
            </w:pPr>
            <w:r>
              <w:rPr>
                <w:sz w:val="20"/>
                <w:szCs w:val="20"/>
                <w:lang w:val="en-US"/>
              </w:rPr>
              <w:t>Hg</w:t>
            </w:r>
          </w:p>
        </w:tc>
        <w:tc>
          <w:tcPr>
            <w:tcW w:w="1003" w:type="dxa"/>
            <w:vAlign w:val="center"/>
          </w:tcPr>
          <w:p w14:paraId="3FB9D11A"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56979D73"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118017CD"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7A1DD0D6" w14:textId="573E33D8"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4E198E0" w14:textId="77777777" w:rsidR="00586AE2" w:rsidRPr="000E54E0" w:rsidRDefault="00586AE2" w:rsidP="00586AE2">
            <w:pPr>
              <w:jc w:val="center"/>
              <w:rPr>
                <w:sz w:val="20"/>
                <w:szCs w:val="20"/>
                <w:lang w:val="en-US"/>
              </w:rPr>
            </w:pPr>
            <w:proofErr w:type="spellStart"/>
            <w:proofErr w:type="gramStart"/>
            <w:r>
              <w:rPr>
                <w:sz w:val="20"/>
                <w:szCs w:val="20"/>
                <w:lang w:val="en-US"/>
              </w:rPr>
              <w:t>n.a</w:t>
            </w:r>
            <w:proofErr w:type="spellEnd"/>
            <w:proofErr w:type="gramEnd"/>
          </w:p>
        </w:tc>
        <w:tc>
          <w:tcPr>
            <w:tcW w:w="1377" w:type="dxa"/>
            <w:vAlign w:val="center"/>
          </w:tcPr>
          <w:p w14:paraId="3DB2C26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DD810DB" w14:textId="77777777" w:rsidR="00586AE2" w:rsidRPr="000E54E0" w:rsidRDefault="00586AE2" w:rsidP="00586AE2">
            <w:pPr>
              <w:jc w:val="center"/>
              <w:rPr>
                <w:sz w:val="20"/>
                <w:szCs w:val="20"/>
                <w:lang w:val="en-US"/>
              </w:rPr>
            </w:pPr>
            <w:proofErr w:type="spellStart"/>
            <w:proofErr w:type="gramStart"/>
            <w:r>
              <w:rPr>
                <w:sz w:val="20"/>
                <w:szCs w:val="20"/>
                <w:lang w:val="en-US"/>
              </w:rPr>
              <w:t>n.a</w:t>
            </w:r>
            <w:proofErr w:type="spellEnd"/>
            <w:proofErr w:type="gramEnd"/>
          </w:p>
        </w:tc>
        <w:tc>
          <w:tcPr>
            <w:tcW w:w="1399" w:type="dxa"/>
            <w:vAlign w:val="center"/>
          </w:tcPr>
          <w:p w14:paraId="350B609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084B807" w14:textId="77777777" w:rsidR="00586AE2" w:rsidRPr="000E54E0" w:rsidRDefault="00586AE2" w:rsidP="00586AE2">
            <w:pPr>
              <w:jc w:val="center"/>
              <w:rPr>
                <w:sz w:val="20"/>
                <w:szCs w:val="20"/>
                <w:lang w:val="en-US"/>
              </w:rPr>
            </w:pPr>
            <w:r>
              <w:rPr>
                <w:sz w:val="20"/>
                <w:szCs w:val="20"/>
                <w:lang w:val="en-US"/>
              </w:rPr>
              <w:t>2.1E-5</w:t>
            </w:r>
          </w:p>
        </w:tc>
        <w:tc>
          <w:tcPr>
            <w:tcW w:w="1134" w:type="dxa"/>
            <w:vAlign w:val="center"/>
          </w:tcPr>
          <w:p w14:paraId="4E94A91A"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812077" w:rsidRPr="00AC1247" w14:paraId="453801BB" w14:textId="77777777" w:rsidTr="00B71194">
        <w:trPr>
          <w:trHeight w:val="265"/>
          <w:jc w:val="center"/>
        </w:trPr>
        <w:tc>
          <w:tcPr>
            <w:tcW w:w="2536" w:type="dxa"/>
            <w:vAlign w:val="center"/>
          </w:tcPr>
          <w:p w14:paraId="782CE8DE" w14:textId="77777777" w:rsidR="00812077" w:rsidRPr="000E54E0" w:rsidRDefault="00812077" w:rsidP="00812077">
            <w:pPr>
              <w:jc w:val="center"/>
              <w:rPr>
                <w:sz w:val="20"/>
                <w:szCs w:val="20"/>
                <w:lang w:val="en-US"/>
              </w:rPr>
            </w:pPr>
            <w:r>
              <w:rPr>
                <w:sz w:val="20"/>
                <w:szCs w:val="20"/>
                <w:lang w:val="en-US"/>
              </w:rPr>
              <w:t>Ni</w:t>
            </w:r>
          </w:p>
        </w:tc>
        <w:tc>
          <w:tcPr>
            <w:tcW w:w="1003" w:type="dxa"/>
            <w:vAlign w:val="center"/>
          </w:tcPr>
          <w:p w14:paraId="6DEE89ED" w14:textId="77777777" w:rsidR="00812077" w:rsidRPr="000E54E0" w:rsidRDefault="00812077" w:rsidP="00812077">
            <w:pPr>
              <w:jc w:val="center"/>
              <w:rPr>
                <w:sz w:val="20"/>
                <w:szCs w:val="20"/>
                <w:lang w:val="en-US"/>
              </w:rPr>
            </w:pPr>
            <w:r>
              <w:rPr>
                <w:sz w:val="20"/>
                <w:szCs w:val="20"/>
                <w:lang w:val="en-US"/>
              </w:rPr>
              <w:t>2.00E-2</w:t>
            </w:r>
          </w:p>
        </w:tc>
        <w:tc>
          <w:tcPr>
            <w:tcW w:w="1418" w:type="dxa"/>
            <w:vAlign w:val="center"/>
          </w:tcPr>
          <w:p w14:paraId="732E3DE8" w14:textId="33543450" w:rsidR="00812077" w:rsidRPr="00354200" w:rsidRDefault="00812077" w:rsidP="00812077">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009F460" w14:textId="77777777" w:rsidR="00812077" w:rsidRPr="000E54E0" w:rsidRDefault="00812077" w:rsidP="00812077">
            <w:pPr>
              <w:jc w:val="center"/>
              <w:rPr>
                <w:sz w:val="20"/>
                <w:szCs w:val="20"/>
                <w:lang w:val="en-US"/>
              </w:rPr>
            </w:pPr>
            <w:r>
              <w:rPr>
                <w:sz w:val="20"/>
                <w:szCs w:val="20"/>
                <w:lang w:val="en-US"/>
              </w:rPr>
              <w:t>9.00E-5</w:t>
            </w:r>
          </w:p>
        </w:tc>
        <w:tc>
          <w:tcPr>
            <w:tcW w:w="1135" w:type="dxa"/>
            <w:vAlign w:val="center"/>
          </w:tcPr>
          <w:p w14:paraId="28F0F3E6" w14:textId="77777777" w:rsidR="00812077" w:rsidRPr="00354200" w:rsidRDefault="00812077" w:rsidP="00812077">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3EC97D0C" w14:textId="586C70D1" w:rsidR="00812077" w:rsidRPr="000E54E0" w:rsidRDefault="00812077" w:rsidP="00812077">
            <w:pPr>
              <w:jc w:val="center"/>
              <w:rPr>
                <w:sz w:val="20"/>
                <w:szCs w:val="20"/>
                <w:lang w:val="en-US"/>
              </w:rPr>
            </w:pPr>
            <w:proofErr w:type="spellStart"/>
            <w:r>
              <w:rPr>
                <w:sz w:val="20"/>
                <w:szCs w:val="20"/>
                <w:lang w:val="en-US"/>
              </w:rPr>
              <w:t>n.a.</w:t>
            </w:r>
            <w:proofErr w:type="spellEnd"/>
          </w:p>
        </w:tc>
        <w:tc>
          <w:tcPr>
            <w:tcW w:w="1377" w:type="dxa"/>
            <w:vAlign w:val="center"/>
          </w:tcPr>
          <w:p w14:paraId="52CEFB91" w14:textId="1834744B" w:rsidR="00812077" w:rsidRPr="00354200" w:rsidRDefault="00812077" w:rsidP="00812077">
            <w:pPr>
              <w:jc w:val="center"/>
              <w:rPr>
                <w:sz w:val="18"/>
                <w:szCs w:val="18"/>
                <w:lang w:val="en-US"/>
              </w:rPr>
            </w:pPr>
            <w:r w:rsidRPr="00354200">
              <w:rPr>
                <w:sz w:val="18"/>
                <w:szCs w:val="18"/>
                <w:lang w:val="en-US"/>
              </w:rPr>
              <w:t>#</w:t>
            </w:r>
          </w:p>
        </w:tc>
        <w:tc>
          <w:tcPr>
            <w:tcW w:w="909" w:type="dxa"/>
            <w:vAlign w:val="center"/>
          </w:tcPr>
          <w:p w14:paraId="6995CB15" w14:textId="77777777" w:rsidR="00812077" w:rsidRPr="000E54E0" w:rsidRDefault="00812077" w:rsidP="00812077">
            <w:pPr>
              <w:jc w:val="center"/>
              <w:rPr>
                <w:sz w:val="20"/>
                <w:szCs w:val="20"/>
                <w:lang w:val="en-US"/>
              </w:rPr>
            </w:pPr>
            <w:r>
              <w:rPr>
                <w:sz w:val="20"/>
                <w:szCs w:val="20"/>
                <w:lang w:val="en-US"/>
              </w:rPr>
              <w:t>2.60E-1</w:t>
            </w:r>
          </w:p>
        </w:tc>
        <w:tc>
          <w:tcPr>
            <w:tcW w:w="1399" w:type="dxa"/>
            <w:vAlign w:val="center"/>
          </w:tcPr>
          <w:p w14:paraId="329CC390" w14:textId="77777777" w:rsidR="00812077" w:rsidRPr="00354200" w:rsidRDefault="00812077" w:rsidP="00812077">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3074A79" w14:textId="77777777" w:rsidR="00812077" w:rsidRPr="000E54E0" w:rsidRDefault="00812077" w:rsidP="00812077">
            <w:pPr>
              <w:jc w:val="center"/>
              <w:rPr>
                <w:sz w:val="20"/>
                <w:szCs w:val="20"/>
                <w:lang w:val="en-US"/>
              </w:rPr>
            </w:pPr>
            <w:r>
              <w:rPr>
                <w:sz w:val="20"/>
                <w:szCs w:val="20"/>
                <w:lang w:val="en-US"/>
              </w:rPr>
              <w:t>8.00E-4</w:t>
            </w:r>
          </w:p>
        </w:tc>
        <w:tc>
          <w:tcPr>
            <w:tcW w:w="1134" w:type="dxa"/>
            <w:vAlign w:val="center"/>
          </w:tcPr>
          <w:p w14:paraId="09C0D1A9" w14:textId="59BFFBB9" w:rsidR="00812077" w:rsidRPr="000E54E0" w:rsidRDefault="00812077" w:rsidP="00812077">
            <w:pPr>
              <w:jc w:val="center"/>
              <w:rPr>
                <w:sz w:val="20"/>
                <w:szCs w:val="20"/>
                <w:lang w:val="en-US"/>
              </w:rPr>
            </w:pPr>
            <w:proofErr w:type="spellStart"/>
            <w:r>
              <w:rPr>
                <w:sz w:val="20"/>
                <w:szCs w:val="20"/>
                <w:lang w:val="en-US"/>
              </w:rPr>
              <w:t>n.a.</w:t>
            </w:r>
            <w:proofErr w:type="spellEnd"/>
          </w:p>
        </w:tc>
      </w:tr>
      <w:tr w:rsidR="00586AE2" w:rsidRPr="00AC1247" w14:paraId="28823B18" w14:textId="77777777" w:rsidTr="00B71194">
        <w:trPr>
          <w:trHeight w:val="265"/>
          <w:jc w:val="center"/>
        </w:trPr>
        <w:tc>
          <w:tcPr>
            <w:tcW w:w="2536" w:type="dxa"/>
            <w:vAlign w:val="center"/>
          </w:tcPr>
          <w:p w14:paraId="10A74BC3" w14:textId="77777777" w:rsidR="00586AE2" w:rsidRPr="000E54E0" w:rsidRDefault="00586AE2" w:rsidP="00586AE2">
            <w:pPr>
              <w:jc w:val="center"/>
              <w:rPr>
                <w:sz w:val="20"/>
                <w:szCs w:val="20"/>
                <w:lang w:val="en-US"/>
              </w:rPr>
            </w:pPr>
            <w:r>
              <w:rPr>
                <w:sz w:val="20"/>
                <w:szCs w:val="20"/>
                <w:lang w:val="en-US"/>
              </w:rPr>
              <w:t>V</w:t>
            </w:r>
          </w:p>
        </w:tc>
        <w:tc>
          <w:tcPr>
            <w:tcW w:w="1003" w:type="dxa"/>
            <w:vAlign w:val="center"/>
          </w:tcPr>
          <w:p w14:paraId="7D122FBC" w14:textId="77777777" w:rsidR="00586AE2" w:rsidRPr="000E54E0" w:rsidRDefault="00EA3DF2" w:rsidP="00586AE2">
            <w:pPr>
              <w:jc w:val="center"/>
              <w:rPr>
                <w:sz w:val="20"/>
                <w:szCs w:val="20"/>
                <w:lang w:val="en-US"/>
              </w:rPr>
            </w:pPr>
            <w:r>
              <w:rPr>
                <w:sz w:val="20"/>
                <w:szCs w:val="20"/>
                <w:lang w:val="en-US"/>
              </w:rPr>
              <w:t>7.00E-5</w:t>
            </w:r>
          </w:p>
        </w:tc>
        <w:tc>
          <w:tcPr>
            <w:tcW w:w="1418" w:type="dxa"/>
            <w:vAlign w:val="center"/>
          </w:tcPr>
          <w:p w14:paraId="3DBE2C78"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{"citationItems":[{"id":"ITEM-1","itemData":{"author":[{"dropping-particle":"","family":"U.S. EPA","given":"","non-dropping-particle":"","parse-names":false,"suffix":""}],"container-title":"U.S. Environmental Protection Agency","id":"ITEM-1","issued":{"date-parts":[["2009"]]},"title":"Provisional peer-reviewed Toxicity values for vanadium and its soluble inorganic compounds other than vanadium pentoxide","type":"article-journal"},"suppress-author":1,"uris":["http://www.mendeley.com/documents/?uuid=ca22e2b4-bb2d-407c-a2a4-37e3211e42bb"]}],"mendeley":{"formattedCitation":"(2009b)","plainTextFormattedCitation":"(2009b)","previouslyFormattedCitation":"(2009b)"},"properties":{"noteIndex":0},"schema":"https://github.com/citation-style-language/schema/raw/master/csl-citation.json"}</w:instrText>
            </w:r>
            <w:r>
              <w:rPr>
                <w:sz w:val="18"/>
                <w:szCs w:val="18"/>
                <w:lang w:val="en-US"/>
              </w:rPr>
              <w:fldChar w:fldCharType="separate"/>
            </w:r>
            <w:r w:rsidRPr="00696C07">
              <w:rPr>
                <w:noProof/>
                <w:sz w:val="18"/>
                <w:szCs w:val="18"/>
                <w:lang w:val="en-US"/>
              </w:rPr>
              <w:t>(2009b)</w:t>
            </w:r>
            <w:r>
              <w:rPr>
                <w:sz w:val="18"/>
                <w:szCs w:val="18"/>
                <w:lang w:val="en-US"/>
              </w:rPr>
              <w:fldChar w:fldCharType="end"/>
            </w:r>
          </w:p>
        </w:tc>
        <w:tc>
          <w:tcPr>
            <w:tcW w:w="1073" w:type="dxa"/>
            <w:vAlign w:val="center"/>
          </w:tcPr>
          <w:p w14:paraId="43BCC418"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3BBBB80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B8F4F7D" w14:textId="77777777" w:rsidR="00586AE2" w:rsidRPr="000E54E0" w:rsidRDefault="00586AE2" w:rsidP="00586AE2">
            <w:pPr>
              <w:jc w:val="center"/>
              <w:rPr>
                <w:sz w:val="20"/>
                <w:szCs w:val="20"/>
                <w:lang w:val="en-US"/>
              </w:rPr>
            </w:pPr>
            <w:proofErr w:type="spellStart"/>
            <w:proofErr w:type="gramStart"/>
            <w:r>
              <w:rPr>
                <w:sz w:val="20"/>
                <w:szCs w:val="20"/>
                <w:lang w:val="en-US"/>
              </w:rPr>
              <w:t>n.a</w:t>
            </w:r>
            <w:proofErr w:type="spellEnd"/>
            <w:proofErr w:type="gramEnd"/>
          </w:p>
        </w:tc>
        <w:tc>
          <w:tcPr>
            <w:tcW w:w="1377" w:type="dxa"/>
            <w:vAlign w:val="center"/>
          </w:tcPr>
          <w:p w14:paraId="33E946AD"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174933A4" w14:textId="77777777" w:rsidR="00586AE2" w:rsidRPr="000E54E0" w:rsidRDefault="00586AE2" w:rsidP="00586AE2">
            <w:pPr>
              <w:jc w:val="center"/>
              <w:rPr>
                <w:sz w:val="20"/>
                <w:szCs w:val="20"/>
                <w:lang w:val="en-US"/>
              </w:rPr>
            </w:pPr>
            <w:proofErr w:type="spellStart"/>
            <w:proofErr w:type="gramStart"/>
            <w:r>
              <w:rPr>
                <w:sz w:val="20"/>
                <w:szCs w:val="20"/>
                <w:lang w:val="en-US"/>
              </w:rPr>
              <w:t>n.a</w:t>
            </w:r>
            <w:proofErr w:type="spellEnd"/>
            <w:proofErr w:type="gramEnd"/>
          </w:p>
        </w:tc>
        <w:tc>
          <w:tcPr>
            <w:tcW w:w="1399" w:type="dxa"/>
            <w:vAlign w:val="center"/>
          </w:tcPr>
          <w:p w14:paraId="6E4ED76B"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1AB1097" w14:textId="77777777" w:rsidR="00586AE2" w:rsidRPr="000E54E0" w:rsidRDefault="00586AE2" w:rsidP="00586AE2">
            <w:pPr>
              <w:jc w:val="center"/>
              <w:rPr>
                <w:sz w:val="20"/>
                <w:szCs w:val="20"/>
                <w:lang w:val="en-US"/>
              </w:rPr>
            </w:pPr>
            <w:r>
              <w:rPr>
                <w:sz w:val="20"/>
                <w:szCs w:val="20"/>
                <w:lang w:val="en-US"/>
              </w:rPr>
              <w:t>1.82E-6</w:t>
            </w:r>
          </w:p>
        </w:tc>
        <w:tc>
          <w:tcPr>
            <w:tcW w:w="1134" w:type="dxa"/>
            <w:vAlign w:val="center"/>
          </w:tcPr>
          <w:p w14:paraId="7AA86045"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1327B4" w:rsidRPr="00AC1247" w14:paraId="47ED6CD1" w14:textId="77777777" w:rsidTr="00B71194">
        <w:trPr>
          <w:trHeight w:val="265"/>
          <w:jc w:val="center"/>
        </w:trPr>
        <w:tc>
          <w:tcPr>
            <w:tcW w:w="2536" w:type="dxa"/>
            <w:vAlign w:val="center"/>
          </w:tcPr>
          <w:p w14:paraId="2721BD4B" w14:textId="77777777" w:rsidR="001327B4" w:rsidRDefault="001327B4" w:rsidP="001327B4">
            <w:pPr>
              <w:jc w:val="center"/>
              <w:rPr>
                <w:sz w:val="20"/>
                <w:szCs w:val="20"/>
                <w:lang w:val="en-US"/>
              </w:rPr>
            </w:pPr>
            <w:r>
              <w:rPr>
                <w:sz w:val="20"/>
                <w:szCs w:val="20"/>
                <w:lang w:val="en-US"/>
              </w:rPr>
              <w:t>Li</w:t>
            </w:r>
          </w:p>
        </w:tc>
        <w:tc>
          <w:tcPr>
            <w:tcW w:w="1003" w:type="dxa"/>
            <w:vAlign w:val="center"/>
          </w:tcPr>
          <w:p w14:paraId="5467BB37" w14:textId="77777777" w:rsidR="001327B4" w:rsidRDefault="001327B4" w:rsidP="001327B4">
            <w:pPr>
              <w:jc w:val="center"/>
              <w:rPr>
                <w:sz w:val="20"/>
                <w:szCs w:val="20"/>
                <w:lang w:val="en-US"/>
              </w:rPr>
            </w:pPr>
            <w:r>
              <w:rPr>
                <w:sz w:val="20"/>
                <w:szCs w:val="20"/>
                <w:lang w:val="en-US"/>
              </w:rPr>
              <w:t>2.00E-3</w:t>
            </w:r>
          </w:p>
        </w:tc>
        <w:tc>
          <w:tcPr>
            <w:tcW w:w="1418" w:type="dxa"/>
            <w:vAlign w:val="center"/>
          </w:tcPr>
          <w:p w14:paraId="2A860612" w14:textId="6D44D4D9" w:rsidR="001327B4" w:rsidRPr="00354200" w:rsidRDefault="001327B4" w:rsidP="001327B4">
            <w:pPr>
              <w:jc w:val="center"/>
              <w:rPr>
                <w:sz w:val="18"/>
                <w:szCs w:val="18"/>
                <w:lang w:val="en-US"/>
              </w:rPr>
            </w:pPr>
            <w:r w:rsidRPr="00354200">
              <w:rPr>
                <w:sz w:val="18"/>
                <w:szCs w:val="18"/>
                <w:lang w:val="en-US"/>
              </w:rPr>
              <w:t>U.S. EPA</w:t>
            </w:r>
            <w:r>
              <w:rPr>
                <w:sz w:val="18"/>
                <w:szCs w:val="18"/>
                <w:lang w:val="en-US"/>
              </w:rPr>
              <w:t xml:space="preserve">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lithium","type":"report"},"suppress-author":1,"uris":["http://www.mendeley.com/documents/?uuid=5b3b0073-f75c-4633-b4dc-b525808b4883"]}],"mendeley":{"formattedCitation":"(2008b)","plainTextFormattedCitation":"(2008b)","previouslyFormattedCitation":"(2008b)"},"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(2008b)</w:t>
            </w:r>
            <w:r>
              <w:rPr>
                <w:sz w:val="18"/>
                <w:szCs w:val="18"/>
                <w:lang w:val="en-US"/>
              </w:rPr>
              <w:fldChar w:fldCharType="end"/>
            </w:r>
          </w:p>
        </w:tc>
        <w:tc>
          <w:tcPr>
            <w:tcW w:w="1073" w:type="dxa"/>
            <w:vAlign w:val="center"/>
          </w:tcPr>
          <w:p w14:paraId="72A3B940" w14:textId="77777777" w:rsidR="001327B4" w:rsidRDefault="001327B4" w:rsidP="001327B4">
            <w:pPr>
              <w:jc w:val="center"/>
              <w:rPr>
                <w:sz w:val="20"/>
                <w:szCs w:val="20"/>
                <w:lang w:val="en-US"/>
              </w:rPr>
            </w:pPr>
            <w:r>
              <w:rPr>
                <w:sz w:val="20"/>
                <w:szCs w:val="20"/>
                <w:lang w:val="en-US"/>
              </w:rPr>
              <w:t>3.50E-2</w:t>
            </w:r>
          </w:p>
        </w:tc>
        <w:tc>
          <w:tcPr>
            <w:tcW w:w="1135" w:type="dxa"/>
            <w:vAlign w:val="center"/>
          </w:tcPr>
          <w:p w14:paraId="0E06CEDA" w14:textId="77777777" w:rsidR="001327B4" w:rsidRPr="00354200" w:rsidRDefault="001327B4" w:rsidP="001327B4">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63A4BC0" w14:textId="77777777" w:rsidR="001327B4" w:rsidRPr="000E54E0" w:rsidRDefault="001327B4" w:rsidP="001327B4">
            <w:pPr>
              <w:jc w:val="center"/>
              <w:rPr>
                <w:sz w:val="20"/>
                <w:szCs w:val="20"/>
                <w:lang w:val="en-US"/>
              </w:rPr>
            </w:pPr>
            <w:proofErr w:type="spellStart"/>
            <w:proofErr w:type="gramStart"/>
            <w:r>
              <w:rPr>
                <w:sz w:val="20"/>
                <w:szCs w:val="20"/>
                <w:lang w:val="en-US"/>
              </w:rPr>
              <w:t>n.a</w:t>
            </w:r>
            <w:proofErr w:type="spellEnd"/>
            <w:proofErr w:type="gramEnd"/>
          </w:p>
        </w:tc>
        <w:tc>
          <w:tcPr>
            <w:tcW w:w="1377" w:type="dxa"/>
            <w:vAlign w:val="center"/>
          </w:tcPr>
          <w:p w14:paraId="7578D452" w14:textId="77777777" w:rsidR="001327B4" w:rsidRPr="00354200" w:rsidRDefault="001327B4" w:rsidP="001327B4">
            <w:pPr>
              <w:jc w:val="center"/>
              <w:rPr>
                <w:sz w:val="18"/>
                <w:szCs w:val="18"/>
                <w:lang w:val="en-US"/>
              </w:rPr>
            </w:pPr>
            <w:r w:rsidRPr="00354200">
              <w:rPr>
                <w:sz w:val="18"/>
                <w:szCs w:val="18"/>
                <w:lang w:val="en-US"/>
              </w:rPr>
              <w:t>#</w:t>
            </w:r>
          </w:p>
        </w:tc>
        <w:tc>
          <w:tcPr>
            <w:tcW w:w="909" w:type="dxa"/>
            <w:vAlign w:val="center"/>
          </w:tcPr>
          <w:p w14:paraId="37764A3F" w14:textId="77777777" w:rsidR="001327B4" w:rsidRPr="000E54E0" w:rsidRDefault="001327B4" w:rsidP="001327B4">
            <w:pPr>
              <w:jc w:val="center"/>
              <w:rPr>
                <w:sz w:val="20"/>
                <w:szCs w:val="20"/>
                <w:lang w:val="en-US"/>
              </w:rPr>
            </w:pPr>
            <w:proofErr w:type="spellStart"/>
            <w:proofErr w:type="gramStart"/>
            <w:r>
              <w:rPr>
                <w:sz w:val="20"/>
                <w:szCs w:val="20"/>
                <w:lang w:val="en-US"/>
              </w:rPr>
              <w:t>n.a</w:t>
            </w:r>
            <w:proofErr w:type="spellEnd"/>
            <w:proofErr w:type="gramEnd"/>
          </w:p>
        </w:tc>
        <w:tc>
          <w:tcPr>
            <w:tcW w:w="1399" w:type="dxa"/>
            <w:vAlign w:val="center"/>
          </w:tcPr>
          <w:p w14:paraId="500B217C" w14:textId="77777777" w:rsidR="001327B4" w:rsidRPr="00354200" w:rsidRDefault="001327B4" w:rsidP="001327B4">
            <w:pPr>
              <w:jc w:val="center"/>
              <w:rPr>
                <w:sz w:val="18"/>
                <w:szCs w:val="18"/>
                <w:lang w:val="en-US"/>
              </w:rPr>
            </w:pPr>
            <w:r w:rsidRPr="00354200">
              <w:rPr>
                <w:sz w:val="18"/>
                <w:szCs w:val="18"/>
                <w:lang w:val="en-US"/>
              </w:rPr>
              <w:t>#</w:t>
            </w:r>
          </w:p>
        </w:tc>
        <w:tc>
          <w:tcPr>
            <w:tcW w:w="992" w:type="dxa"/>
            <w:vAlign w:val="center"/>
          </w:tcPr>
          <w:p w14:paraId="561080A4" w14:textId="77777777" w:rsidR="001327B4" w:rsidRDefault="00C45A4E" w:rsidP="001327B4">
            <w:pPr>
              <w:jc w:val="center"/>
              <w:rPr>
                <w:sz w:val="20"/>
                <w:szCs w:val="20"/>
                <w:lang w:val="en-US"/>
              </w:rPr>
            </w:pPr>
            <w:r>
              <w:rPr>
                <w:sz w:val="20"/>
                <w:szCs w:val="20"/>
                <w:lang w:val="en-US"/>
              </w:rPr>
              <w:t>2.00E-3</w:t>
            </w:r>
          </w:p>
        </w:tc>
        <w:tc>
          <w:tcPr>
            <w:tcW w:w="1134" w:type="dxa"/>
            <w:vAlign w:val="center"/>
          </w:tcPr>
          <w:p w14:paraId="5223F150" w14:textId="77777777" w:rsidR="001327B4" w:rsidRDefault="001327B4" w:rsidP="001327B4">
            <w:pPr>
              <w:jc w:val="center"/>
              <w:rPr>
                <w:sz w:val="20"/>
                <w:szCs w:val="20"/>
                <w:lang w:val="en-US"/>
              </w:rPr>
            </w:pPr>
            <w:proofErr w:type="spellStart"/>
            <w:r>
              <w:rPr>
                <w:sz w:val="20"/>
                <w:szCs w:val="20"/>
                <w:lang w:val="en-US"/>
              </w:rPr>
              <w:t>n.a.</w:t>
            </w:r>
            <w:proofErr w:type="spellEnd"/>
          </w:p>
        </w:tc>
      </w:tr>
      <w:tr w:rsidR="00746C24" w:rsidRPr="00AC1247" w14:paraId="5CCCBA2D" w14:textId="77777777" w:rsidTr="00B71194">
        <w:trPr>
          <w:trHeight w:val="265"/>
          <w:jc w:val="center"/>
        </w:trPr>
        <w:tc>
          <w:tcPr>
            <w:tcW w:w="2536" w:type="dxa"/>
            <w:vAlign w:val="center"/>
          </w:tcPr>
          <w:p w14:paraId="60C36F57" w14:textId="22DAB937" w:rsidR="00746C24" w:rsidRDefault="00746C24" w:rsidP="00746C24">
            <w:pPr>
              <w:jc w:val="center"/>
              <w:rPr>
                <w:sz w:val="20"/>
                <w:szCs w:val="20"/>
                <w:lang w:val="en-US"/>
              </w:rPr>
            </w:pPr>
            <w:r>
              <w:rPr>
                <w:sz w:val="20"/>
                <w:szCs w:val="20"/>
                <w:lang w:val="en-US"/>
              </w:rPr>
              <w:t>Br</w:t>
            </w:r>
          </w:p>
        </w:tc>
        <w:tc>
          <w:tcPr>
            <w:tcW w:w="1003" w:type="dxa"/>
            <w:vAlign w:val="center"/>
          </w:tcPr>
          <w:p w14:paraId="449358D6" w14:textId="33E719CF" w:rsidR="00746C24" w:rsidRDefault="00746C24" w:rsidP="00746C24">
            <w:pPr>
              <w:jc w:val="center"/>
              <w:rPr>
                <w:sz w:val="20"/>
                <w:szCs w:val="20"/>
                <w:lang w:val="en-US"/>
              </w:rPr>
            </w:pPr>
            <w:r>
              <w:rPr>
                <w:sz w:val="20"/>
                <w:szCs w:val="20"/>
                <w:lang w:val="en-US"/>
              </w:rPr>
              <w:t>1.00E+0</w:t>
            </w:r>
          </w:p>
        </w:tc>
        <w:tc>
          <w:tcPr>
            <w:tcW w:w="1418" w:type="dxa"/>
            <w:vAlign w:val="center"/>
          </w:tcPr>
          <w:p w14:paraId="63C3E9B9" w14:textId="3237CFB1" w:rsidR="00746C24" w:rsidRPr="00354200" w:rsidRDefault="00746C24" w:rsidP="00746C24">
            <w:pPr>
              <w:jc w:val="center"/>
              <w:rPr>
                <w:sz w:val="18"/>
                <w:szCs w:val="18"/>
                <w:lang w:val="en-US"/>
              </w:rPr>
            </w:pPr>
            <w:r w:rsidRPr="006E2281">
              <w:rPr>
                <w:sz w:val="18"/>
                <w:szCs w:val="18"/>
                <w:lang w:val="en-US"/>
              </w:rPr>
              <w:t xml:space="preserve">Public Health England </w:t>
            </w:r>
            <w:r>
              <w:rPr>
                <w:sz w:val="18"/>
                <w:szCs w:val="18"/>
                <w:lang w:val="en-US"/>
              </w:rPr>
              <w:fldChar w:fldCharType="begin" w:fldLock="1"/>
            </w:r>
            <w:r w:rsidR="00B618B2">
              <w:rPr>
                <w:sz w:val="18"/>
                <w:szCs w:val="18"/>
                <w:lang w:val="en-US"/>
              </w:rPr>
              <w:instrText>ADDIN CSL_CITATION {"citationItems":[{"id":"ITEM-1","itemData":{"author":[{"dropping-particle":"","family":"Public Health England","given":"","non-dropping-particle":"","parse-names":false,"suffix":""}],"id":"ITEM-1","issued":{"date-parts":[["2009"]]},"title":"Bromine Toxicological Overview","type":"report"},"suppress-author":1,"uris":["http://www.mendeley.com/documents/?uuid=b905e467-5c5a-4b47-b4b7-c43dfea5b56c"]}],"mendeley":{"formattedCitation":"(2009)","plainTextFormattedCitation":"(2009)","previouslyFormattedCitation":"(2009)"},"properties":{"noteIndex":0},"schema":"https://github.com/citation-style-language/schema/raw/master/csl-citation.json"}</w:instrText>
            </w:r>
            <w:r>
              <w:rPr>
                <w:sz w:val="18"/>
                <w:szCs w:val="18"/>
                <w:lang w:val="en-US"/>
              </w:rPr>
              <w:fldChar w:fldCharType="separate"/>
            </w:r>
            <w:r w:rsidRPr="00FD6FD5">
              <w:rPr>
                <w:noProof/>
                <w:sz w:val="18"/>
                <w:szCs w:val="18"/>
                <w:lang w:val="en-US"/>
              </w:rPr>
              <w:t>(2009)</w:t>
            </w:r>
            <w:r>
              <w:rPr>
                <w:sz w:val="18"/>
                <w:szCs w:val="18"/>
                <w:lang w:val="en-US"/>
              </w:rPr>
              <w:fldChar w:fldCharType="end"/>
            </w:r>
          </w:p>
        </w:tc>
        <w:tc>
          <w:tcPr>
            <w:tcW w:w="1073" w:type="dxa"/>
            <w:vAlign w:val="center"/>
          </w:tcPr>
          <w:p w14:paraId="6DEA5232" w14:textId="66F58846" w:rsidR="00746C24" w:rsidRDefault="00D83B52" w:rsidP="00746C24">
            <w:pPr>
              <w:jc w:val="center"/>
              <w:rPr>
                <w:sz w:val="20"/>
                <w:szCs w:val="20"/>
                <w:lang w:val="en-US"/>
              </w:rPr>
            </w:pPr>
            <w:r>
              <w:rPr>
                <w:sz w:val="20"/>
                <w:szCs w:val="20"/>
                <w:lang w:val="en-US"/>
              </w:rPr>
              <w:t>-</w:t>
            </w:r>
          </w:p>
        </w:tc>
        <w:tc>
          <w:tcPr>
            <w:tcW w:w="1135" w:type="dxa"/>
            <w:vAlign w:val="center"/>
          </w:tcPr>
          <w:p w14:paraId="516028E5" w14:textId="7479D179" w:rsidR="00746C24" w:rsidRPr="00354200" w:rsidRDefault="00D83B52" w:rsidP="00746C24">
            <w:pPr>
              <w:jc w:val="center"/>
              <w:rPr>
                <w:sz w:val="18"/>
                <w:szCs w:val="18"/>
                <w:lang w:val="en-US"/>
              </w:rPr>
            </w:pPr>
            <w:r>
              <w:rPr>
                <w:sz w:val="18"/>
                <w:szCs w:val="18"/>
                <w:lang w:val="en-US"/>
              </w:rPr>
              <w:t>-</w:t>
            </w:r>
          </w:p>
        </w:tc>
        <w:tc>
          <w:tcPr>
            <w:tcW w:w="1194" w:type="dxa"/>
            <w:vAlign w:val="center"/>
          </w:tcPr>
          <w:p w14:paraId="710DC636" w14:textId="00660C51" w:rsidR="00746C24" w:rsidRDefault="00D83B52" w:rsidP="00746C24">
            <w:pPr>
              <w:jc w:val="center"/>
              <w:rPr>
                <w:sz w:val="20"/>
                <w:szCs w:val="20"/>
                <w:lang w:val="en-US"/>
              </w:rPr>
            </w:pPr>
            <w:r>
              <w:rPr>
                <w:sz w:val="20"/>
                <w:szCs w:val="20"/>
                <w:lang w:val="en-US"/>
              </w:rPr>
              <w:t>-</w:t>
            </w:r>
          </w:p>
        </w:tc>
        <w:tc>
          <w:tcPr>
            <w:tcW w:w="1377" w:type="dxa"/>
            <w:vAlign w:val="center"/>
          </w:tcPr>
          <w:p w14:paraId="3879EA79" w14:textId="65F32E8E" w:rsidR="00746C24" w:rsidRPr="00354200" w:rsidRDefault="00D83B52" w:rsidP="00746C24">
            <w:pPr>
              <w:jc w:val="center"/>
              <w:rPr>
                <w:sz w:val="18"/>
                <w:szCs w:val="18"/>
                <w:lang w:val="en-US"/>
              </w:rPr>
            </w:pPr>
            <w:r>
              <w:rPr>
                <w:sz w:val="18"/>
                <w:szCs w:val="18"/>
                <w:lang w:val="en-US"/>
              </w:rPr>
              <w:t>-</w:t>
            </w:r>
          </w:p>
        </w:tc>
        <w:tc>
          <w:tcPr>
            <w:tcW w:w="909" w:type="dxa"/>
            <w:vAlign w:val="center"/>
          </w:tcPr>
          <w:p w14:paraId="3824EA51" w14:textId="3D4DE118" w:rsidR="00746C24" w:rsidRDefault="00D83B52" w:rsidP="00746C24">
            <w:pPr>
              <w:jc w:val="center"/>
              <w:rPr>
                <w:sz w:val="20"/>
                <w:szCs w:val="20"/>
                <w:lang w:val="en-US"/>
              </w:rPr>
            </w:pPr>
            <w:r>
              <w:rPr>
                <w:sz w:val="20"/>
                <w:szCs w:val="20"/>
                <w:lang w:val="en-US"/>
              </w:rPr>
              <w:t>-</w:t>
            </w:r>
          </w:p>
        </w:tc>
        <w:tc>
          <w:tcPr>
            <w:tcW w:w="1399" w:type="dxa"/>
            <w:vAlign w:val="center"/>
          </w:tcPr>
          <w:p w14:paraId="7B3DEE67" w14:textId="6FC11FF8" w:rsidR="00746C24" w:rsidRPr="00354200" w:rsidRDefault="00D83B52" w:rsidP="00746C24">
            <w:pPr>
              <w:jc w:val="center"/>
              <w:rPr>
                <w:sz w:val="18"/>
                <w:szCs w:val="18"/>
                <w:lang w:val="en-US"/>
              </w:rPr>
            </w:pPr>
            <w:r>
              <w:rPr>
                <w:sz w:val="18"/>
                <w:szCs w:val="18"/>
                <w:lang w:val="en-US"/>
              </w:rPr>
              <w:t>-</w:t>
            </w:r>
          </w:p>
        </w:tc>
        <w:tc>
          <w:tcPr>
            <w:tcW w:w="992" w:type="dxa"/>
            <w:vAlign w:val="center"/>
          </w:tcPr>
          <w:p w14:paraId="11EFE27A" w14:textId="5EF46D85" w:rsidR="00746C24" w:rsidRDefault="00D83B52" w:rsidP="00746C24">
            <w:pPr>
              <w:jc w:val="center"/>
              <w:rPr>
                <w:sz w:val="20"/>
                <w:szCs w:val="20"/>
                <w:lang w:val="en-US"/>
              </w:rPr>
            </w:pPr>
            <w:r>
              <w:rPr>
                <w:sz w:val="20"/>
                <w:szCs w:val="20"/>
                <w:lang w:val="en-US"/>
              </w:rPr>
              <w:t>-</w:t>
            </w:r>
          </w:p>
        </w:tc>
        <w:tc>
          <w:tcPr>
            <w:tcW w:w="1134" w:type="dxa"/>
            <w:vAlign w:val="center"/>
          </w:tcPr>
          <w:p w14:paraId="3AD01BF1" w14:textId="621A6E0B" w:rsidR="00746C24" w:rsidRDefault="00D83B52" w:rsidP="00746C24">
            <w:pPr>
              <w:jc w:val="center"/>
              <w:rPr>
                <w:sz w:val="20"/>
                <w:szCs w:val="20"/>
                <w:lang w:val="en-US"/>
              </w:rPr>
            </w:pPr>
            <w:r>
              <w:rPr>
                <w:sz w:val="20"/>
                <w:szCs w:val="20"/>
                <w:lang w:val="en-US"/>
              </w:rPr>
              <w:t>-</w:t>
            </w:r>
          </w:p>
        </w:tc>
      </w:tr>
    </w:tbl>
    <w:p w14:paraId="7A747732" w14:textId="77777777" w:rsidR="000E54E0" w:rsidRDefault="000E54E0" w:rsidP="00CE25E4">
      <w:pPr>
        <w:spacing w:after="0" w:line="240" w:lineRule="auto"/>
        <w:ind w:left="567"/>
        <w:rPr>
          <w:bCs/>
          <w:sz w:val="20"/>
          <w:szCs w:val="20"/>
          <w:lang w:val="en-US"/>
        </w:rPr>
      </w:pPr>
      <w:r w:rsidRPr="000E54E0">
        <w:rPr>
          <w:b/>
          <w:sz w:val="20"/>
          <w:szCs w:val="20"/>
          <w:lang w:val="en-US"/>
        </w:rPr>
        <w:t>#</w:t>
      </w:r>
      <w:r>
        <w:rPr>
          <w:b/>
          <w:sz w:val="20"/>
          <w:szCs w:val="20"/>
          <w:lang w:val="en-US"/>
        </w:rPr>
        <w:t xml:space="preserve"> -</w:t>
      </w:r>
      <w:r w:rsidRPr="000E54E0">
        <w:rPr>
          <w:b/>
          <w:sz w:val="20"/>
          <w:szCs w:val="20"/>
          <w:lang w:val="en-US"/>
        </w:rPr>
        <w:t xml:space="preserve"> </w:t>
      </w:r>
      <w:r w:rsidRPr="000E54E0">
        <w:rPr>
          <w:bCs/>
          <w:sz w:val="20"/>
          <w:szCs w:val="20"/>
          <w:lang w:val="en-US"/>
        </w:rPr>
        <w:t>No values were found in the literature</w:t>
      </w:r>
      <w:r w:rsidR="00930709">
        <w:rPr>
          <w:bCs/>
          <w:sz w:val="20"/>
          <w:szCs w:val="20"/>
          <w:lang w:val="en-US"/>
        </w:rPr>
        <w:t xml:space="preserve"> (see database consulted in next page</w:t>
      </w:r>
      <w:r>
        <w:rPr>
          <w:bCs/>
          <w:sz w:val="20"/>
          <w:szCs w:val="20"/>
          <w:lang w:val="en-US"/>
        </w:rPr>
        <w:t>)</w:t>
      </w:r>
      <w:r w:rsidR="00576AEA">
        <w:rPr>
          <w:bCs/>
          <w:sz w:val="20"/>
          <w:szCs w:val="20"/>
          <w:lang w:val="en-US"/>
        </w:rPr>
        <w:t>;</w:t>
      </w:r>
    </w:p>
    <w:p w14:paraId="610DC13B" w14:textId="4ECC8C47" w:rsidR="00576AEA" w:rsidRDefault="00576AEA" w:rsidP="00CE25E4">
      <w:pPr>
        <w:spacing w:after="0" w:line="240" w:lineRule="auto"/>
        <w:ind w:left="567"/>
        <w:rPr>
          <w:sz w:val="20"/>
          <w:szCs w:val="20"/>
          <w:lang w:val="en-US"/>
        </w:rPr>
      </w:pPr>
      <w:r w:rsidRPr="00576AEA">
        <w:rPr>
          <w:sz w:val="20"/>
          <w:szCs w:val="20"/>
          <w:lang w:val="en-US"/>
        </w:rPr>
        <w:t xml:space="preserve">* - Value calculated by </w:t>
      </w:r>
      <w:proofErr w:type="spellStart"/>
      <w:r w:rsidRPr="00576AEA">
        <w:rPr>
          <w:i/>
          <w:iCs/>
          <w:sz w:val="20"/>
          <w:szCs w:val="20"/>
          <w:lang w:val="en-US"/>
        </w:rPr>
        <w:t>RfD</w:t>
      </w:r>
      <w:r w:rsidRPr="00576AEA">
        <w:rPr>
          <w:i/>
          <w:iCs/>
          <w:sz w:val="20"/>
          <w:szCs w:val="20"/>
          <w:vertAlign w:val="subscript"/>
          <w:lang w:val="en-US"/>
        </w:rPr>
        <w:t>oral</w:t>
      </w:r>
      <w:proofErr w:type="spellEnd"/>
      <w:r w:rsidRPr="00576AEA">
        <w:rPr>
          <w:i/>
          <w:iCs/>
          <w:sz w:val="20"/>
          <w:szCs w:val="20"/>
          <w:lang w:val="en-US"/>
        </w:rPr>
        <w:t xml:space="preserve"> </w:t>
      </w:r>
      <w:r w:rsidRPr="00576AEA">
        <w:rPr>
          <w:sz w:val="20"/>
          <w:szCs w:val="20"/>
          <w:lang w:val="en-US"/>
        </w:rPr>
        <w:t xml:space="preserve">· </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 xml:space="preserve">. </w:t>
      </w:r>
      <w:r w:rsidR="00BB6B15" w:rsidRPr="00BB6B15">
        <w:rPr>
          <w:rStyle w:val="tlid-translation"/>
          <w:i/>
          <w:iCs/>
          <w:sz w:val="20"/>
          <w:szCs w:val="22"/>
          <w:lang w:val="en"/>
        </w:rPr>
        <w:t>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67BAEF3D" w14:textId="2FE937CC" w:rsidR="00363482" w:rsidRPr="00576AEA" w:rsidRDefault="00363482" w:rsidP="00CE25E4">
      <w:pPr>
        <w:spacing w:after="0" w:line="240" w:lineRule="auto"/>
        <w:ind w:left="567"/>
        <w:rPr>
          <w:b/>
          <w:sz w:val="20"/>
          <w:szCs w:val="20"/>
          <w:lang w:val="en-US"/>
        </w:rPr>
      </w:pPr>
      <w:r w:rsidRPr="00576AEA">
        <w:rPr>
          <w:sz w:val="20"/>
          <w:szCs w:val="20"/>
          <w:lang w:val="en-US"/>
        </w:rPr>
        <w:t>*</w:t>
      </w:r>
      <w:r>
        <w:rPr>
          <w:sz w:val="20"/>
          <w:szCs w:val="20"/>
          <w:lang w:val="en-US"/>
        </w:rPr>
        <w:t>*</w:t>
      </w:r>
      <w:r w:rsidRPr="00576AEA">
        <w:rPr>
          <w:sz w:val="20"/>
          <w:szCs w:val="20"/>
          <w:lang w:val="en-US"/>
        </w:rPr>
        <w:t xml:space="preserve"> - Value calculated by </w:t>
      </w:r>
      <w:proofErr w:type="spellStart"/>
      <w:r w:rsidR="00AA545A">
        <w:rPr>
          <w:i/>
          <w:iCs/>
          <w:sz w:val="20"/>
          <w:szCs w:val="20"/>
          <w:lang w:val="en-US"/>
        </w:rPr>
        <w:t>SF</w:t>
      </w:r>
      <w:r w:rsidRPr="00576AEA">
        <w:rPr>
          <w:i/>
          <w:iCs/>
          <w:sz w:val="20"/>
          <w:szCs w:val="20"/>
          <w:vertAlign w:val="subscript"/>
          <w:lang w:val="en-US"/>
        </w:rPr>
        <w:t>oral</w:t>
      </w:r>
      <w:proofErr w:type="spellEnd"/>
      <w:r>
        <w:rPr>
          <w:i/>
          <w:iCs/>
          <w:sz w:val="20"/>
          <w:szCs w:val="20"/>
          <w:lang w:val="en-US"/>
        </w:rPr>
        <w:t xml:space="preserve"> </w:t>
      </w:r>
      <w:r w:rsidRPr="00363482">
        <w:rPr>
          <w:sz w:val="22"/>
          <w:szCs w:val="20"/>
          <w:lang w:val="en-US"/>
        </w:rPr>
        <w:t>/</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w:t>
      </w:r>
      <w:r w:rsidR="00BB6B15" w:rsidRPr="00BB6B15">
        <w:rPr>
          <w:rStyle w:val="tlid-translation"/>
          <w:i/>
          <w:iCs/>
          <w:sz w:val="20"/>
          <w:szCs w:val="22"/>
          <w:lang w:val="en"/>
        </w:rPr>
        <w:t xml:space="preserve"> 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7F0A2FB9" w14:textId="3FFD008C" w:rsidR="00211734" w:rsidRDefault="000E54E0" w:rsidP="00CE25E4">
      <w:pPr>
        <w:spacing w:after="0" w:line="240" w:lineRule="auto"/>
        <w:ind w:left="567"/>
        <w:rPr>
          <w:sz w:val="20"/>
          <w:lang w:val="en-US"/>
        </w:rPr>
      </w:pPr>
      <w:proofErr w:type="spellStart"/>
      <w:r w:rsidRPr="000E54E0">
        <w:rPr>
          <w:sz w:val="20"/>
          <w:lang w:val="en-US"/>
        </w:rPr>
        <w:t>n.a.</w:t>
      </w:r>
      <w:proofErr w:type="spellEnd"/>
      <w:r w:rsidRPr="000E54E0">
        <w:rPr>
          <w:sz w:val="20"/>
          <w:lang w:val="en-US"/>
        </w:rPr>
        <w:t xml:space="preserve"> – Not available</w:t>
      </w:r>
    </w:p>
    <w:p w14:paraId="44D5CC2F" w14:textId="77777777" w:rsidR="00211734" w:rsidRDefault="00211734" w:rsidP="000E54E0">
      <w:pPr>
        <w:spacing w:after="0" w:line="240" w:lineRule="auto"/>
        <w:rPr>
          <w:sz w:val="20"/>
          <w:lang w:val="en-US"/>
        </w:rPr>
      </w:pPr>
    </w:p>
    <w:p w14:paraId="59070A34" w14:textId="77777777" w:rsidR="00211734" w:rsidRPr="00027241" w:rsidRDefault="00211734" w:rsidP="00211734">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7E1F52A4" w14:textId="77777777" w:rsidR="00211734" w:rsidRPr="000E54E0" w:rsidRDefault="00211734" w:rsidP="000E54E0">
      <w:pPr>
        <w:spacing w:after="0" w:line="240" w:lineRule="auto"/>
        <w:rPr>
          <w:sz w:val="20"/>
          <w:lang w:val="en-US"/>
        </w:rPr>
      </w:pPr>
    </w:p>
    <w:p w14:paraId="12B2510C" w14:textId="77777777" w:rsidR="00BF49A6" w:rsidRDefault="00BF49A6" w:rsidP="00B96F90">
      <w:pPr>
        <w:rPr>
          <w:b/>
          <w:sz w:val="28"/>
          <w:lang w:val="en-US"/>
        </w:rPr>
      </w:pPr>
      <w:r>
        <w:rPr>
          <w:b/>
          <w:sz w:val="28"/>
          <w:lang w:val="en-US"/>
        </w:rPr>
        <w:br w:type="page"/>
      </w:r>
    </w:p>
    <w:p w14:paraId="5DDBE963" w14:textId="77777777" w:rsidR="000139F4" w:rsidRPr="004E0E97" w:rsidRDefault="000E54E0" w:rsidP="000E54E0">
      <w:pPr>
        <w:pStyle w:val="Default"/>
        <w:jc w:val="center"/>
        <w:rPr>
          <w:b/>
          <w:bCs/>
          <w:sz w:val="32"/>
          <w:szCs w:val="52"/>
          <w:lang w:val="en-US"/>
        </w:rPr>
      </w:pPr>
      <w:r w:rsidRPr="004E0E97">
        <w:rPr>
          <w:b/>
          <w:bCs/>
          <w:sz w:val="32"/>
          <w:szCs w:val="52"/>
          <w:lang w:val="en-US"/>
        </w:rPr>
        <w:lastRenderedPageBreak/>
        <w:t>Database consulted:</w:t>
      </w:r>
      <w:r w:rsidR="000139F4" w:rsidRPr="004E0E97">
        <w:rPr>
          <w:b/>
          <w:bCs/>
          <w:sz w:val="32"/>
          <w:szCs w:val="52"/>
          <w:lang w:val="en-US"/>
        </w:rPr>
        <w:t xml:space="preserve"> </w:t>
      </w:r>
    </w:p>
    <w:p w14:paraId="5895655D" w14:textId="77777777" w:rsidR="004E0E97" w:rsidRPr="005F38F6" w:rsidRDefault="004E0E97" w:rsidP="000E54E0">
      <w:pPr>
        <w:pStyle w:val="Default"/>
        <w:jc w:val="center"/>
        <w:rPr>
          <w:b/>
          <w:bCs/>
          <w:sz w:val="28"/>
          <w:szCs w:val="52"/>
          <w:lang w:val="en-US"/>
        </w:rPr>
      </w:pPr>
    </w:p>
    <w:p w14:paraId="765E77EC" w14:textId="77777777" w:rsidR="000E54E0" w:rsidRPr="005F38F6" w:rsidRDefault="000139F4" w:rsidP="000E54E0">
      <w:pPr>
        <w:pStyle w:val="Default"/>
        <w:jc w:val="center"/>
        <w:rPr>
          <w:rStyle w:val="tlid-translation"/>
          <w:sz w:val="28"/>
          <w:lang w:val="en"/>
        </w:rPr>
      </w:pPr>
      <w:r w:rsidRPr="005F38F6">
        <w:rPr>
          <w:bCs/>
          <w:sz w:val="28"/>
          <w:szCs w:val="52"/>
          <w:lang w:val="en-US"/>
        </w:rPr>
        <w:t>(</w:t>
      </w:r>
      <w:r w:rsidRPr="005F38F6">
        <w:rPr>
          <w:rStyle w:val="tlid-translation"/>
          <w:sz w:val="28"/>
          <w:lang w:val="en"/>
        </w:rPr>
        <w:t xml:space="preserve">In order of preference for choosing </w:t>
      </w:r>
      <w:proofErr w:type="spellStart"/>
      <w:r w:rsidRPr="005F38F6">
        <w:rPr>
          <w:rStyle w:val="tlid-translation"/>
          <w:i/>
          <w:sz w:val="28"/>
          <w:lang w:val="en"/>
        </w:rPr>
        <w:t>RfD</w:t>
      </w:r>
      <w:proofErr w:type="spellEnd"/>
      <w:r w:rsidRPr="005F38F6">
        <w:rPr>
          <w:rStyle w:val="tlid-translation"/>
          <w:sz w:val="28"/>
          <w:lang w:val="en"/>
        </w:rPr>
        <w:t xml:space="preserve"> and </w:t>
      </w:r>
      <w:r w:rsidRPr="005F38F6">
        <w:rPr>
          <w:rStyle w:val="tlid-translation"/>
          <w:i/>
          <w:sz w:val="28"/>
          <w:lang w:val="en"/>
        </w:rPr>
        <w:t>SF</w:t>
      </w:r>
      <w:r w:rsidRPr="005F38F6">
        <w:rPr>
          <w:rStyle w:val="tlid-translation"/>
          <w:sz w:val="28"/>
          <w:lang w:val="en"/>
        </w:rPr>
        <w:t xml:space="preserve"> values)</w:t>
      </w:r>
    </w:p>
    <w:p w14:paraId="212BA274" w14:textId="77777777" w:rsidR="00F85CF5" w:rsidRDefault="00F85CF5" w:rsidP="000E54E0">
      <w:pPr>
        <w:pStyle w:val="Default"/>
        <w:jc w:val="center"/>
        <w:rPr>
          <w:b/>
          <w:bCs/>
          <w:szCs w:val="52"/>
          <w:lang w:val="en-US"/>
        </w:rPr>
      </w:pPr>
    </w:p>
    <w:p w14:paraId="22041096" w14:textId="77777777" w:rsidR="000E54E0" w:rsidRPr="000E54E0" w:rsidRDefault="000E54E0" w:rsidP="000E54E0">
      <w:pPr>
        <w:pStyle w:val="Default"/>
        <w:jc w:val="center"/>
        <w:rPr>
          <w:szCs w:val="52"/>
          <w:lang w:val="en-US"/>
        </w:rPr>
      </w:pPr>
    </w:p>
    <w:p w14:paraId="10FD192C" w14:textId="77777777" w:rsidR="000E54E0" w:rsidRPr="00F85CF5" w:rsidRDefault="000E54E0" w:rsidP="00F85CF5">
      <w:pPr>
        <w:pStyle w:val="Default"/>
        <w:numPr>
          <w:ilvl w:val="0"/>
          <w:numId w:val="1"/>
        </w:numPr>
        <w:spacing w:line="480" w:lineRule="auto"/>
        <w:rPr>
          <w:sz w:val="28"/>
          <w:szCs w:val="23"/>
          <w:lang w:val="en-US"/>
        </w:rPr>
      </w:pPr>
      <w:r w:rsidRPr="00F85CF5">
        <w:rPr>
          <w:sz w:val="28"/>
          <w:szCs w:val="23"/>
          <w:lang w:val="en-US"/>
        </w:rPr>
        <w:t xml:space="preserve">IRIS/USEPA - Integrated Risk Information System - U.S. </w:t>
      </w:r>
      <w:r w:rsidR="00F85CF5">
        <w:rPr>
          <w:sz w:val="28"/>
          <w:szCs w:val="23"/>
          <w:lang w:val="en-US"/>
        </w:rPr>
        <w:t>Environmental Protection Agency;</w:t>
      </w:r>
    </w:p>
    <w:p w14:paraId="58BB55D2"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 xml:space="preserve">ATSDR - Agency for toxic </w:t>
      </w:r>
      <w:r w:rsidR="00F85CF5">
        <w:rPr>
          <w:sz w:val="28"/>
          <w:szCs w:val="23"/>
          <w:lang w:val="en-US"/>
        </w:rPr>
        <w:t>substances and disease registry;</w:t>
      </w:r>
    </w:p>
    <w:p w14:paraId="25D832E8" w14:textId="77777777" w:rsidR="000139F4" w:rsidRPr="00F85CF5" w:rsidRDefault="000139F4" w:rsidP="00F85CF5">
      <w:pPr>
        <w:pStyle w:val="PargrafodaLista"/>
        <w:numPr>
          <w:ilvl w:val="0"/>
          <w:numId w:val="1"/>
        </w:numPr>
        <w:spacing w:after="0" w:line="480" w:lineRule="auto"/>
        <w:rPr>
          <w:b/>
          <w:sz w:val="36"/>
          <w:lang w:val="en-US"/>
        </w:rPr>
      </w:pPr>
      <w:r w:rsidRPr="00F85CF5">
        <w:rPr>
          <w:sz w:val="28"/>
          <w:szCs w:val="23"/>
          <w:lang w:val="en-US"/>
        </w:rPr>
        <w:t>Health Canada - Federal Contaminated Site Risk Assessment in Canada</w:t>
      </w:r>
      <w:r w:rsidR="00F85CF5">
        <w:rPr>
          <w:sz w:val="28"/>
          <w:szCs w:val="23"/>
          <w:lang w:val="en-US"/>
        </w:rPr>
        <w:t>;</w:t>
      </w:r>
    </w:p>
    <w:p w14:paraId="7225AB0C"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Michigan DEQ - Department of Environmental Quality - State of Michigan</w:t>
      </w:r>
      <w:r w:rsidR="00F85CF5">
        <w:rPr>
          <w:sz w:val="28"/>
          <w:szCs w:val="23"/>
          <w:lang w:val="en-US"/>
        </w:rPr>
        <w:t>;</w:t>
      </w:r>
    </w:p>
    <w:p w14:paraId="2A1FD11D" w14:textId="77777777" w:rsidR="000139F4" w:rsidRDefault="000139F4" w:rsidP="00F85CF5">
      <w:pPr>
        <w:pStyle w:val="Default"/>
        <w:numPr>
          <w:ilvl w:val="0"/>
          <w:numId w:val="1"/>
        </w:numPr>
        <w:spacing w:line="480" w:lineRule="auto"/>
        <w:rPr>
          <w:sz w:val="28"/>
          <w:szCs w:val="23"/>
          <w:lang w:val="en-US"/>
        </w:rPr>
      </w:pPr>
      <w:r w:rsidRPr="00F85CF5">
        <w:rPr>
          <w:sz w:val="28"/>
          <w:szCs w:val="23"/>
          <w:lang w:val="en-US"/>
        </w:rPr>
        <w:t>OEHHA - Office of Environ</w:t>
      </w:r>
      <w:r w:rsidR="00F85CF5">
        <w:rPr>
          <w:sz w:val="28"/>
          <w:szCs w:val="23"/>
          <w:lang w:val="en-US"/>
        </w:rPr>
        <w:t>mental Health Hazard Assessment.</w:t>
      </w:r>
    </w:p>
    <w:p w14:paraId="21A612CA" w14:textId="77777777" w:rsidR="00211734" w:rsidRDefault="00211734" w:rsidP="00211734">
      <w:pPr>
        <w:pStyle w:val="Default"/>
        <w:spacing w:line="276" w:lineRule="auto"/>
        <w:rPr>
          <w:rStyle w:val="tlid-translation"/>
          <w:b/>
          <w:color w:val="FF0000"/>
          <w:lang w:val="en"/>
        </w:rPr>
      </w:pPr>
    </w:p>
    <w:p w14:paraId="7B2B8D45" w14:textId="77777777" w:rsidR="00215710" w:rsidRPr="00F85CF5" w:rsidRDefault="00215710" w:rsidP="00215710">
      <w:pPr>
        <w:pStyle w:val="Default"/>
        <w:spacing w:line="480" w:lineRule="auto"/>
        <w:ind w:left="360"/>
        <w:rPr>
          <w:sz w:val="28"/>
          <w:szCs w:val="23"/>
          <w:lang w:val="en-US"/>
        </w:rPr>
      </w:pPr>
    </w:p>
    <w:p w14:paraId="50D7919E" w14:textId="77777777" w:rsidR="000E54E0" w:rsidRDefault="000E54E0" w:rsidP="000E54E0">
      <w:pPr>
        <w:pStyle w:val="Default"/>
        <w:spacing w:line="276" w:lineRule="auto"/>
        <w:rPr>
          <w:sz w:val="23"/>
          <w:szCs w:val="23"/>
          <w:lang w:val="en-US"/>
        </w:rPr>
      </w:pPr>
    </w:p>
    <w:p w14:paraId="78FA367B" w14:textId="77777777" w:rsidR="00C93802" w:rsidRDefault="00C93802" w:rsidP="000E54E0">
      <w:pPr>
        <w:pStyle w:val="Default"/>
        <w:spacing w:line="276" w:lineRule="auto"/>
        <w:rPr>
          <w:sz w:val="23"/>
          <w:szCs w:val="23"/>
          <w:lang w:val="en-US"/>
        </w:rPr>
      </w:pPr>
      <w:r>
        <w:rPr>
          <w:sz w:val="23"/>
          <w:szCs w:val="23"/>
          <w:lang w:val="en-US"/>
        </w:rPr>
        <w:br w:type="page"/>
      </w:r>
    </w:p>
    <w:p w14:paraId="320915F4" w14:textId="77777777" w:rsidR="000979D0" w:rsidRDefault="000979D0" w:rsidP="009C3F96">
      <w:pPr>
        <w:widowControl w:val="0"/>
        <w:autoSpaceDE w:val="0"/>
        <w:autoSpaceDN w:val="0"/>
        <w:adjustRightInd w:val="0"/>
        <w:spacing w:line="276" w:lineRule="auto"/>
        <w:ind w:left="993" w:hanging="993"/>
        <w:jc w:val="center"/>
        <w:rPr>
          <w:b/>
          <w:i/>
          <w:sz w:val="40"/>
          <w:lang w:val="en-US"/>
        </w:rPr>
        <w:sectPr w:rsidR="000979D0" w:rsidSect="00CC68E6">
          <w:type w:val="continuous"/>
          <w:pgSz w:w="16838" w:h="11906" w:orient="landscape"/>
          <w:pgMar w:top="720" w:right="720" w:bottom="720" w:left="720" w:header="709" w:footer="709" w:gutter="0"/>
          <w:cols w:space="708"/>
          <w:docGrid w:linePitch="360"/>
        </w:sectPr>
      </w:pPr>
    </w:p>
    <w:p w14:paraId="79CD7392" w14:textId="787AD344" w:rsidR="00BB6B15" w:rsidRDefault="00BB6B15" w:rsidP="00BB6B15">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350894">
        <w:rPr>
          <w:b/>
          <w:bCs/>
          <w:sz w:val="28"/>
          <w:lang w:val="en-US"/>
        </w:rPr>
        <w:t>2</w:t>
      </w:r>
      <w:r>
        <w:rPr>
          <w:sz w:val="28"/>
          <w:lang w:val="en-US"/>
        </w:rPr>
        <w:t xml:space="preserve"> – Some </w:t>
      </w:r>
      <w:r w:rsidRPr="00BB6B15">
        <w:rPr>
          <w:color w:val="000000"/>
          <w:sz w:val="28"/>
          <w:lang w:val="en-US"/>
        </w:rPr>
        <w:t xml:space="preserve">recommended </w:t>
      </w:r>
      <w:r>
        <w:rPr>
          <w:rStyle w:val="tlid-translation"/>
          <w:sz w:val="28"/>
          <w:szCs w:val="32"/>
          <w:lang w:val="en"/>
        </w:rPr>
        <w:t>G</w:t>
      </w:r>
      <w:r w:rsidRPr="00BB6B15">
        <w:rPr>
          <w:rStyle w:val="tlid-translation"/>
          <w:sz w:val="28"/>
          <w:szCs w:val="32"/>
          <w:lang w:val="en"/>
        </w:rPr>
        <w:t>astrointestinal</w:t>
      </w:r>
      <w:r w:rsidRPr="00BB6B15">
        <w:rPr>
          <w:color w:val="000000"/>
          <w:sz w:val="28"/>
          <w:lang w:val="en-US"/>
        </w:rPr>
        <w:t xml:space="preserve"> </w:t>
      </w:r>
      <w:r>
        <w:rPr>
          <w:color w:val="000000"/>
          <w:sz w:val="28"/>
          <w:lang w:val="en-US"/>
        </w:rPr>
        <w:t>A</w:t>
      </w:r>
      <w:r w:rsidRPr="00BB6B15">
        <w:rPr>
          <w:color w:val="000000"/>
          <w:sz w:val="28"/>
          <w:lang w:val="en-US"/>
        </w:rPr>
        <w:t xml:space="preserve">bsorption </w:t>
      </w:r>
      <w:r>
        <w:rPr>
          <w:color w:val="000000"/>
          <w:sz w:val="28"/>
          <w:lang w:val="en-US"/>
        </w:rPr>
        <w:t>F</w:t>
      </w:r>
      <w:r w:rsidRPr="00BB6B15">
        <w:rPr>
          <w:color w:val="000000"/>
          <w:sz w:val="28"/>
          <w:lang w:val="en-US"/>
        </w:rPr>
        <w:t>raction</w:t>
      </w:r>
      <w:r>
        <w:rPr>
          <w:sz w:val="28"/>
          <w:lang w:val="en-US"/>
        </w:rPr>
        <w:t xml:space="preserve"> (</w:t>
      </w:r>
      <w:r w:rsidRPr="00BB6B15">
        <w:rPr>
          <w:i/>
          <w:iCs/>
          <w:sz w:val="28"/>
          <w:lang w:val="en-US"/>
        </w:rPr>
        <w:t>ABS</w:t>
      </w:r>
      <w:r w:rsidRPr="00BB6B15">
        <w:rPr>
          <w:i/>
          <w:iCs/>
          <w:sz w:val="28"/>
          <w:vertAlign w:val="subscript"/>
          <w:lang w:val="en-US"/>
        </w:rPr>
        <w:t>GI</w:t>
      </w:r>
      <w:r>
        <w:rPr>
          <w:sz w:val="28"/>
          <w:lang w:val="en-US"/>
        </w:rPr>
        <w:t>)</w:t>
      </w:r>
      <w:r>
        <w:rPr>
          <w:i/>
          <w:iCs/>
          <w:sz w:val="28"/>
          <w:lang w:val="en-US"/>
        </w:rPr>
        <w:t xml:space="preserve"> </w:t>
      </w:r>
      <w:r>
        <w:rPr>
          <w:sz w:val="28"/>
          <w:lang w:val="en-US"/>
        </w:rPr>
        <w:t>values</w:t>
      </w:r>
      <w:r w:rsidRPr="0017539F">
        <w:rPr>
          <w:sz w:val="28"/>
          <w:lang w:val="en-US"/>
        </w:rPr>
        <w:t xml:space="preserve"> used </w:t>
      </w:r>
      <w:r>
        <w:rPr>
          <w:sz w:val="28"/>
          <w:lang w:val="en-US"/>
        </w:rPr>
        <w:t>for the dermal reference values</w:t>
      </w:r>
    </w:p>
    <w:tbl>
      <w:tblPr>
        <w:tblStyle w:val="Tabelacomgrade"/>
        <w:tblW w:w="9736" w:type="dxa"/>
        <w:jc w:val="center"/>
        <w:tblLook w:val="04A0" w:firstRow="1" w:lastRow="0" w:firstColumn="1" w:lastColumn="0" w:noHBand="0" w:noVBand="1"/>
      </w:tblPr>
      <w:tblGrid>
        <w:gridCol w:w="3282"/>
        <w:gridCol w:w="3242"/>
        <w:gridCol w:w="3212"/>
      </w:tblGrid>
      <w:tr w:rsidR="00BB6B15" w:rsidRPr="00D877B6" w14:paraId="450CD9D6" w14:textId="77777777" w:rsidTr="00D877B6">
        <w:trPr>
          <w:trHeight w:val="333"/>
          <w:jc w:val="center"/>
        </w:trPr>
        <w:tc>
          <w:tcPr>
            <w:tcW w:w="3282" w:type="dxa"/>
            <w:vAlign w:val="center"/>
          </w:tcPr>
          <w:p w14:paraId="59D7A671" w14:textId="7E6C0617" w:rsidR="00BB6B15" w:rsidRPr="00D877B6" w:rsidRDefault="00D877B6" w:rsidP="00D877B6">
            <w:pPr>
              <w:pStyle w:val="Default"/>
              <w:spacing w:line="276" w:lineRule="auto"/>
              <w:jc w:val="center"/>
              <w:rPr>
                <w:sz w:val="20"/>
                <w:szCs w:val="20"/>
                <w:lang w:val="en-US"/>
              </w:rPr>
            </w:pPr>
            <w:r w:rsidRPr="00D877B6">
              <w:rPr>
                <w:b/>
                <w:sz w:val="20"/>
                <w:szCs w:val="20"/>
                <w:lang w:val="en-US"/>
              </w:rPr>
              <w:t>Chemical species</w:t>
            </w:r>
          </w:p>
        </w:tc>
        <w:tc>
          <w:tcPr>
            <w:tcW w:w="3242" w:type="dxa"/>
            <w:vAlign w:val="center"/>
          </w:tcPr>
          <w:p w14:paraId="41192760" w14:textId="77777777" w:rsidR="00BB6B15" w:rsidRPr="00D877B6" w:rsidRDefault="00BB6B15" w:rsidP="00D877B6">
            <w:pPr>
              <w:pStyle w:val="Default"/>
              <w:spacing w:line="276" w:lineRule="auto"/>
              <w:jc w:val="center"/>
              <w:rPr>
                <w:i/>
                <w:sz w:val="20"/>
                <w:szCs w:val="20"/>
                <w:vertAlign w:val="subscript"/>
                <w:lang w:val="en-US"/>
              </w:rPr>
            </w:pPr>
            <w:r w:rsidRPr="00D877B6">
              <w:rPr>
                <w:b/>
                <w:bCs/>
                <w:i/>
                <w:sz w:val="20"/>
                <w:szCs w:val="20"/>
                <w:lang w:val="en-US"/>
              </w:rPr>
              <w:t>ABS</w:t>
            </w:r>
            <w:r w:rsidRPr="00D877B6">
              <w:rPr>
                <w:b/>
                <w:bCs/>
                <w:i/>
                <w:sz w:val="20"/>
                <w:szCs w:val="20"/>
                <w:vertAlign w:val="subscript"/>
                <w:lang w:val="en-US"/>
              </w:rPr>
              <w:t>GI</w:t>
            </w:r>
          </w:p>
        </w:tc>
        <w:tc>
          <w:tcPr>
            <w:tcW w:w="3212" w:type="dxa"/>
          </w:tcPr>
          <w:p w14:paraId="7D085E0B" w14:textId="77777777" w:rsidR="00BB6B15" w:rsidRPr="00D877B6" w:rsidRDefault="00BB6B15" w:rsidP="00D877B6">
            <w:pPr>
              <w:pStyle w:val="Default"/>
              <w:spacing w:line="276" w:lineRule="auto"/>
              <w:jc w:val="center"/>
              <w:rPr>
                <w:b/>
                <w:bCs/>
                <w:sz w:val="20"/>
                <w:szCs w:val="20"/>
                <w:lang w:val="en-US"/>
              </w:rPr>
            </w:pPr>
            <w:r w:rsidRPr="00D877B6">
              <w:rPr>
                <w:b/>
                <w:bCs/>
                <w:sz w:val="20"/>
                <w:szCs w:val="20"/>
                <w:lang w:val="en-US"/>
              </w:rPr>
              <w:t>Reference</w:t>
            </w:r>
          </w:p>
        </w:tc>
      </w:tr>
      <w:tr w:rsidR="00BB6B15" w:rsidRPr="00D877B6" w14:paraId="4774F6B2" w14:textId="77777777" w:rsidTr="00D877B6">
        <w:trPr>
          <w:trHeight w:val="313"/>
          <w:jc w:val="center"/>
        </w:trPr>
        <w:tc>
          <w:tcPr>
            <w:tcW w:w="3282" w:type="dxa"/>
            <w:vAlign w:val="center"/>
          </w:tcPr>
          <w:p w14:paraId="190DBAB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Sb</w:t>
            </w:r>
          </w:p>
        </w:tc>
        <w:tc>
          <w:tcPr>
            <w:tcW w:w="3242" w:type="dxa"/>
            <w:vAlign w:val="center"/>
          </w:tcPr>
          <w:p w14:paraId="3EC1AFE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0.15</w:t>
            </w:r>
          </w:p>
        </w:tc>
        <w:tc>
          <w:tcPr>
            <w:tcW w:w="3212" w:type="dxa"/>
            <w:vMerge w:val="restart"/>
            <w:vAlign w:val="center"/>
          </w:tcPr>
          <w:p w14:paraId="27857F6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 xml:space="preserve">U.S. EPA </w:t>
            </w:r>
            <w:r w:rsidRPr="00D877B6">
              <w:rPr>
                <w:sz w:val="20"/>
                <w:szCs w:val="20"/>
                <w:lang w:val="en-US"/>
              </w:rPr>
              <w:fldChar w:fldCharType="begin" w:fldLock="1"/>
            </w:r>
            <w:r w:rsidRPr="00D877B6">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D877B6">
              <w:rPr>
                <w:sz w:val="20"/>
                <w:szCs w:val="20"/>
                <w:lang w:val="en-US"/>
              </w:rPr>
              <w:fldChar w:fldCharType="separate"/>
            </w:r>
            <w:r w:rsidRPr="00D877B6">
              <w:rPr>
                <w:noProof/>
                <w:sz w:val="20"/>
                <w:szCs w:val="20"/>
                <w:lang w:val="en-US"/>
              </w:rPr>
              <w:t>(2004)</w:t>
            </w:r>
            <w:r w:rsidRPr="00D877B6">
              <w:rPr>
                <w:sz w:val="20"/>
                <w:szCs w:val="20"/>
                <w:lang w:val="en-US"/>
              </w:rPr>
              <w:fldChar w:fldCharType="end"/>
            </w:r>
          </w:p>
        </w:tc>
      </w:tr>
      <w:tr w:rsidR="00BB6B15" w:rsidRPr="00D877B6" w14:paraId="6F3844A0" w14:textId="77777777" w:rsidTr="00D877B6">
        <w:trPr>
          <w:trHeight w:val="333"/>
          <w:jc w:val="center"/>
        </w:trPr>
        <w:tc>
          <w:tcPr>
            <w:tcW w:w="3282" w:type="dxa"/>
            <w:vAlign w:val="center"/>
          </w:tcPr>
          <w:p w14:paraId="6D28DC8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As</w:t>
            </w:r>
          </w:p>
        </w:tc>
        <w:tc>
          <w:tcPr>
            <w:tcW w:w="3242" w:type="dxa"/>
            <w:vAlign w:val="center"/>
          </w:tcPr>
          <w:p w14:paraId="53A2483E"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0.95</w:t>
            </w:r>
          </w:p>
        </w:tc>
        <w:tc>
          <w:tcPr>
            <w:tcW w:w="3212" w:type="dxa"/>
            <w:vMerge/>
          </w:tcPr>
          <w:p w14:paraId="13BA5AC0" w14:textId="77777777" w:rsidR="00BB6B15" w:rsidRPr="00D877B6" w:rsidRDefault="00BB6B15" w:rsidP="00D877B6">
            <w:pPr>
              <w:pStyle w:val="Default"/>
              <w:spacing w:line="276" w:lineRule="auto"/>
              <w:jc w:val="center"/>
              <w:rPr>
                <w:sz w:val="20"/>
                <w:szCs w:val="20"/>
                <w:lang w:val="en-US"/>
              </w:rPr>
            </w:pPr>
          </w:p>
        </w:tc>
      </w:tr>
      <w:tr w:rsidR="00BB6B15" w:rsidRPr="00D877B6" w14:paraId="30178B08" w14:textId="77777777" w:rsidTr="00D877B6">
        <w:trPr>
          <w:trHeight w:val="313"/>
          <w:jc w:val="center"/>
        </w:trPr>
        <w:tc>
          <w:tcPr>
            <w:tcW w:w="3282" w:type="dxa"/>
            <w:vAlign w:val="center"/>
          </w:tcPr>
          <w:p w14:paraId="5CAD95E6"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Ba</w:t>
            </w:r>
          </w:p>
        </w:tc>
        <w:tc>
          <w:tcPr>
            <w:tcW w:w="3242" w:type="dxa"/>
            <w:vAlign w:val="center"/>
          </w:tcPr>
          <w:p w14:paraId="0A5C886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1AEA7858" w14:textId="77777777" w:rsidR="00BB6B15" w:rsidRPr="00D877B6" w:rsidRDefault="00BB6B15" w:rsidP="00D877B6">
            <w:pPr>
              <w:pStyle w:val="Default"/>
              <w:spacing w:line="276" w:lineRule="auto"/>
              <w:jc w:val="center"/>
              <w:rPr>
                <w:sz w:val="20"/>
                <w:szCs w:val="20"/>
                <w:lang w:val="en-US"/>
              </w:rPr>
            </w:pPr>
          </w:p>
        </w:tc>
      </w:tr>
      <w:tr w:rsidR="00BB6B15" w:rsidRPr="00D877B6" w14:paraId="1019F186" w14:textId="77777777" w:rsidTr="00D877B6">
        <w:trPr>
          <w:trHeight w:val="333"/>
          <w:jc w:val="center"/>
        </w:trPr>
        <w:tc>
          <w:tcPr>
            <w:tcW w:w="3282" w:type="dxa"/>
            <w:vAlign w:val="center"/>
          </w:tcPr>
          <w:p w14:paraId="123D7B3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Be</w:t>
            </w:r>
          </w:p>
        </w:tc>
        <w:tc>
          <w:tcPr>
            <w:tcW w:w="3242" w:type="dxa"/>
            <w:vAlign w:val="center"/>
          </w:tcPr>
          <w:p w14:paraId="5BABACA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0.007</w:t>
            </w:r>
          </w:p>
        </w:tc>
        <w:tc>
          <w:tcPr>
            <w:tcW w:w="3212" w:type="dxa"/>
            <w:vMerge/>
          </w:tcPr>
          <w:p w14:paraId="640ADF00" w14:textId="77777777" w:rsidR="00BB6B15" w:rsidRPr="00D877B6" w:rsidRDefault="00BB6B15" w:rsidP="00D877B6">
            <w:pPr>
              <w:pStyle w:val="Default"/>
              <w:spacing w:line="276" w:lineRule="auto"/>
              <w:jc w:val="center"/>
              <w:rPr>
                <w:sz w:val="20"/>
                <w:szCs w:val="20"/>
                <w:lang w:val="en-US"/>
              </w:rPr>
            </w:pPr>
          </w:p>
        </w:tc>
      </w:tr>
      <w:tr w:rsidR="00BB6B15" w:rsidRPr="00D877B6" w14:paraId="02DD6E3B" w14:textId="77777777" w:rsidTr="00D877B6">
        <w:trPr>
          <w:trHeight w:val="313"/>
          <w:jc w:val="center"/>
        </w:trPr>
        <w:tc>
          <w:tcPr>
            <w:tcW w:w="3282" w:type="dxa"/>
            <w:vAlign w:val="center"/>
          </w:tcPr>
          <w:p w14:paraId="4E53521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Cd</w:t>
            </w:r>
          </w:p>
        </w:tc>
        <w:tc>
          <w:tcPr>
            <w:tcW w:w="3242" w:type="dxa"/>
            <w:vAlign w:val="center"/>
          </w:tcPr>
          <w:p w14:paraId="6D80D68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 (food)</w:t>
            </w:r>
          </w:p>
          <w:p w14:paraId="02B1FBC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0.05 (water)</w:t>
            </w:r>
          </w:p>
        </w:tc>
        <w:tc>
          <w:tcPr>
            <w:tcW w:w="3212" w:type="dxa"/>
            <w:vMerge/>
          </w:tcPr>
          <w:p w14:paraId="01144D12" w14:textId="77777777" w:rsidR="00BB6B15" w:rsidRPr="00D877B6" w:rsidRDefault="00BB6B15" w:rsidP="00D877B6">
            <w:pPr>
              <w:pStyle w:val="Default"/>
              <w:spacing w:line="276" w:lineRule="auto"/>
              <w:jc w:val="center"/>
              <w:rPr>
                <w:sz w:val="20"/>
                <w:szCs w:val="20"/>
                <w:lang w:val="en-US"/>
              </w:rPr>
            </w:pPr>
          </w:p>
        </w:tc>
      </w:tr>
      <w:tr w:rsidR="00BB6B15" w:rsidRPr="00D877B6" w14:paraId="03C1B2F7" w14:textId="77777777" w:rsidTr="00D877B6">
        <w:trPr>
          <w:trHeight w:val="333"/>
          <w:jc w:val="center"/>
        </w:trPr>
        <w:tc>
          <w:tcPr>
            <w:tcW w:w="3282" w:type="dxa"/>
            <w:vAlign w:val="center"/>
          </w:tcPr>
          <w:p w14:paraId="03DA8ADF" w14:textId="77777777" w:rsidR="00BB6B15" w:rsidRPr="00D877B6" w:rsidRDefault="00BB6B15" w:rsidP="00D877B6">
            <w:pPr>
              <w:pStyle w:val="Default"/>
              <w:spacing w:line="276" w:lineRule="auto"/>
              <w:jc w:val="center"/>
              <w:rPr>
                <w:sz w:val="20"/>
                <w:szCs w:val="20"/>
                <w:lang w:val="en-US"/>
              </w:rPr>
            </w:pPr>
            <w:proofErr w:type="gramStart"/>
            <w:r w:rsidRPr="00D877B6">
              <w:rPr>
                <w:sz w:val="20"/>
                <w:szCs w:val="20"/>
                <w:lang w:val="en-US"/>
              </w:rPr>
              <w:t>Cr(</w:t>
            </w:r>
            <w:proofErr w:type="gramEnd"/>
            <w:r w:rsidRPr="00D877B6">
              <w:rPr>
                <w:sz w:val="20"/>
                <w:szCs w:val="20"/>
                <w:lang w:val="en-US"/>
              </w:rPr>
              <w:t>III)</w:t>
            </w:r>
          </w:p>
        </w:tc>
        <w:tc>
          <w:tcPr>
            <w:tcW w:w="3242" w:type="dxa"/>
            <w:vAlign w:val="center"/>
          </w:tcPr>
          <w:p w14:paraId="720E51A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0.013</w:t>
            </w:r>
          </w:p>
        </w:tc>
        <w:tc>
          <w:tcPr>
            <w:tcW w:w="3212" w:type="dxa"/>
            <w:vMerge/>
          </w:tcPr>
          <w:p w14:paraId="2A5E6E7E" w14:textId="77777777" w:rsidR="00BB6B15" w:rsidRPr="00D877B6" w:rsidRDefault="00BB6B15" w:rsidP="00D877B6">
            <w:pPr>
              <w:pStyle w:val="Default"/>
              <w:spacing w:line="276" w:lineRule="auto"/>
              <w:jc w:val="center"/>
              <w:rPr>
                <w:sz w:val="20"/>
                <w:szCs w:val="20"/>
                <w:lang w:val="en-US"/>
              </w:rPr>
            </w:pPr>
          </w:p>
        </w:tc>
      </w:tr>
      <w:tr w:rsidR="00BB6B15" w:rsidRPr="00D877B6" w14:paraId="515B9F84" w14:textId="77777777" w:rsidTr="00D877B6">
        <w:trPr>
          <w:trHeight w:val="313"/>
          <w:jc w:val="center"/>
        </w:trPr>
        <w:tc>
          <w:tcPr>
            <w:tcW w:w="3282" w:type="dxa"/>
            <w:vAlign w:val="center"/>
          </w:tcPr>
          <w:p w14:paraId="38FB6361" w14:textId="77777777" w:rsidR="00BB6B15" w:rsidRPr="00D877B6" w:rsidRDefault="00BB6B15" w:rsidP="00D877B6">
            <w:pPr>
              <w:pStyle w:val="Default"/>
              <w:spacing w:line="276" w:lineRule="auto"/>
              <w:jc w:val="center"/>
              <w:rPr>
                <w:sz w:val="20"/>
                <w:szCs w:val="20"/>
                <w:lang w:val="en-US"/>
              </w:rPr>
            </w:pPr>
            <w:proofErr w:type="gramStart"/>
            <w:r w:rsidRPr="00D877B6">
              <w:rPr>
                <w:sz w:val="20"/>
                <w:szCs w:val="20"/>
                <w:lang w:val="en-US"/>
              </w:rPr>
              <w:t>Cr(</w:t>
            </w:r>
            <w:proofErr w:type="gramEnd"/>
            <w:r w:rsidRPr="00D877B6">
              <w:rPr>
                <w:sz w:val="20"/>
                <w:szCs w:val="20"/>
                <w:lang w:val="en-US"/>
              </w:rPr>
              <w:t>VI)</w:t>
            </w:r>
          </w:p>
        </w:tc>
        <w:tc>
          <w:tcPr>
            <w:tcW w:w="3242" w:type="dxa"/>
            <w:vAlign w:val="center"/>
          </w:tcPr>
          <w:p w14:paraId="1F205C2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w:t>
            </w:r>
          </w:p>
        </w:tc>
        <w:tc>
          <w:tcPr>
            <w:tcW w:w="3212" w:type="dxa"/>
            <w:vMerge/>
          </w:tcPr>
          <w:p w14:paraId="377CFF51" w14:textId="77777777" w:rsidR="00BB6B15" w:rsidRPr="00D877B6" w:rsidRDefault="00BB6B15" w:rsidP="00D877B6">
            <w:pPr>
              <w:pStyle w:val="Default"/>
              <w:spacing w:line="276" w:lineRule="auto"/>
              <w:jc w:val="center"/>
              <w:rPr>
                <w:sz w:val="20"/>
                <w:szCs w:val="20"/>
                <w:lang w:val="en-US"/>
              </w:rPr>
            </w:pPr>
          </w:p>
        </w:tc>
      </w:tr>
      <w:tr w:rsidR="00BB6B15" w:rsidRPr="00D877B6" w14:paraId="31D518AD" w14:textId="77777777" w:rsidTr="00D877B6">
        <w:trPr>
          <w:trHeight w:val="313"/>
          <w:jc w:val="center"/>
        </w:trPr>
        <w:tc>
          <w:tcPr>
            <w:tcW w:w="3282" w:type="dxa"/>
            <w:vAlign w:val="center"/>
          </w:tcPr>
          <w:p w14:paraId="430363A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Mn</w:t>
            </w:r>
          </w:p>
        </w:tc>
        <w:tc>
          <w:tcPr>
            <w:tcW w:w="3242" w:type="dxa"/>
            <w:vAlign w:val="center"/>
          </w:tcPr>
          <w:p w14:paraId="7413735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293D5AE7" w14:textId="77777777" w:rsidR="00BB6B15" w:rsidRPr="00D877B6" w:rsidRDefault="00BB6B15" w:rsidP="00D877B6">
            <w:pPr>
              <w:pStyle w:val="Default"/>
              <w:spacing w:line="276" w:lineRule="auto"/>
              <w:jc w:val="center"/>
              <w:rPr>
                <w:sz w:val="20"/>
                <w:szCs w:val="20"/>
                <w:lang w:val="en-US"/>
              </w:rPr>
            </w:pPr>
          </w:p>
        </w:tc>
      </w:tr>
      <w:tr w:rsidR="00BB6B15" w:rsidRPr="00D877B6" w14:paraId="7528A3F2" w14:textId="77777777" w:rsidTr="00D877B6">
        <w:trPr>
          <w:trHeight w:val="313"/>
          <w:jc w:val="center"/>
        </w:trPr>
        <w:tc>
          <w:tcPr>
            <w:tcW w:w="3282" w:type="dxa"/>
            <w:vAlign w:val="center"/>
          </w:tcPr>
          <w:p w14:paraId="572066A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(soluble salts)</w:t>
            </w:r>
          </w:p>
        </w:tc>
        <w:tc>
          <w:tcPr>
            <w:tcW w:w="3242" w:type="dxa"/>
            <w:vAlign w:val="center"/>
          </w:tcPr>
          <w:p w14:paraId="110E412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6AE52E28" w14:textId="77777777" w:rsidR="00BB6B15" w:rsidRPr="00D877B6" w:rsidRDefault="00BB6B15" w:rsidP="00D877B6">
            <w:pPr>
              <w:pStyle w:val="Default"/>
              <w:spacing w:line="276" w:lineRule="auto"/>
              <w:jc w:val="center"/>
              <w:rPr>
                <w:sz w:val="20"/>
                <w:szCs w:val="20"/>
                <w:lang w:val="en-US"/>
              </w:rPr>
            </w:pPr>
          </w:p>
        </w:tc>
      </w:tr>
      <w:tr w:rsidR="00BB6B15" w:rsidRPr="00D877B6" w14:paraId="619DC79E" w14:textId="77777777" w:rsidTr="00D877B6">
        <w:trPr>
          <w:trHeight w:val="313"/>
          <w:jc w:val="center"/>
        </w:trPr>
        <w:tc>
          <w:tcPr>
            <w:tcW w:w="3282" w:type="dxa"/>
            <w:vAlign w:val="center"/>
          </w:tcPr>
          <w:p w14:paraId="33267F0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(metallic or insoluble)</w:t>
            </w:r>
          </w:p>
        </w:tc>
        <w:tc>
          <w:tcPr>
            <w:tcW w:w="3242" w:type="dxa"/>
            <w:vAlign w:val="center"/>
          </w:tcPr>
          <w:p w14:paraId="66E378E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0.74 – 0.80</w:t>
            </w:r>
          </w:p>
        </w:tc>
        <w:tc>
          <w:tcPr>
            <w:tcW w:w="3212" w:type="dxa"/>
            <w:vMerge/>
          </w:tcPr>
          <w:p w14:paraId="3FA2BF9D" w14:textId="77777777" w:rsidR="00BB6B15" w:rsidRPr="00D877B6" w:rsidRDefault="00BB6B15" w:rsidP="00D877B6">
            <w:pPr>
              <w:pStyle w:val="Default"/>
              <w:spacing w:line="276" w:lineRule="auto"/>
              <w:jc w:val="center"/>
              <w:rPr>
                <w:sz w:val="20"/>
                <w:szCs w:val="20"/>
                <w:lang w:val="en-US"/>
              </w:rPr>
            </w:pPr>
          </w:p>
        </w:tc>
      </w:tr>
      <w:tr w:rsidR="00BB6B15" w:rsidRPr="00D877B6" w14:paraId="035D48E6" w14:textId="77777777" w:rsidTr="00D877B6">
        <w:trPr>
          <w:trHeight w:val="313"/>
          <w:jc w:val="center"/>
        </w:trPr>
        <w:tc>
          <w:tcPr>
            <w:tcW w:w="3282" w:type="dxa"/>
            <w:vAlign w:val="center"/>
          </w:tcPr>
          <w:p w14:paraId="7CFFF39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Ni</w:t>
            </w:r>
          </w:p>
        </w:tc>
        <w:tc>
          <w:tcPr>
            <w:tcW w:w="3242" w:type="dxa"/>
            <w:vAlign w:val="center"/>
          </w:tcPr>
          <w:p w14:paraId="0230664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15D0B931" w14:textId="77777777" w:rsidR="00BB6B15" w:rsidRPr="00D877B6" w:rsidRDefault="00BB6B15" w:rsidP="00D877B6">
            <w:pPr>
              <w:pStyle w:val="Default"/>
              <w:spacing w:line="276" w:lineRule="auto"/>
              <w:jc w:val="center"/>
              <w:rPr>
                <w:sz w:val="20"/>
                <w:szCs w:val="20"/>
                <w:lang w:val="en-US"/>
              </w:rPr>
            </w:pPr>
          </w:p>
        </w:tc>
      </w:tr>
      <w:tr w:rsidR="00BB6B15" w:rsidRPr="00D877B6" w14:paraId="27774759" w14:textId="77777777" w:rsidTr="00D877B6">
        <w:trPr>
          <w:trHeight w:val="313"/>
          <w:jc w:val="center"/>
        </w:trPr>
        <w:tc>
          <w:tcPr>
            <w:tcW w:w="3282" w:type="dxa"/>
            <w:vAlign w:val="center"/>
          </w:tcPr>
          <w:p w14:paraId="2CC25D9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Se</w:t>
            </w:r>
          </w:p>
        </w:tc>
        <w:tc>
          <w:tcPr>
            <w:tcW w:w="3242" w:type="dxa"/>
            <w:vAlign w:val="center"/>
          </w:tcPr>
          <w:p w14:paraId="378D795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0.30 – 0.80</w:t>
            </w:r>
          </w:p>
        </w:tc>
        <w:tc>
          <w:tcPr>
            <w:tcW w:w="3212" w:type="dxa"/>
            <w:vMerge/>
          </w:tcPr>
          <w:p w14:paraId="4974F8BD" w14:textId="77777777" w:rsidR="00BB6B15" w:rsidRPr="00D877B6" w:rsidRDefault="00BB6B15" w:rsidP="00D877B6">
            <w:pPr>
              <w:pStyle w:val="Default"/>
              <w:spacing w:line="276" w:lineRule="auto"/>
              <w:jc w:val="center"/>
              <w:rPr>
                <w:sz w:val="20"/>
                <w:szCs w:val="20"/>
                <w:lang w:val="en-US"/>
              </w:rPr>
            </w:pPr>
          </w:p>
        </w:tc>
      </w:tr>
      <w:tr w:rsidR="00BB6B15" w:rsidRPr="00D877B6" w14:paraId="2122B339" w14:textId="77777777" w:rsidTr="00D877B6">
        <w:trPr>
          <w:trHeight w:val="313"/>
          <w:jc w:val="center"/>
        </w:trPr>
        <w:tc>
          <w:tcPr>
            <w:tcW w:w="3282" w:type="dxa"/>
            <w:vAlign w:val="center"/>
          </w:tcPr>
          <w:p w14:paraId="25F8EF4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Ag</w:t>
            </w:r>
          </w:p>
        </w:tc>
        <w:tc>
          <w:tcPr>
            <w:tcW w:w="3242" w:type="dxa"/>
            <w:vAlign w:val="center"/>
          </w:tcPr>
          <w:p w14:paraId="59FF8D3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3BD979CE" w14:textId="77777777" w:rsidR="00BB6B15" w:rsidRPr="00D877B6" w:rsidRDefault="00BB6B15" w:rsidP="00D877B6">
            <w:pPr>
              <w:pStyle w:val="Default"/>
              <w:spacing w:line="276" w:lineRule="auto"/>
              <w:jc w:val="center"/>
              <w:rPr>
                <w:sz w:val="20"/>
                <w:szCs w:val="20"/>
                <w:lang w:val="en-US"/>
              </w:rPr>
            </w:pPr>
          </w:p>
        </w:tc>
      </w:tr>
      <w:tr w:rsidR="00BB6B15" w:rsidRPr="00D877B6" w14:paraId="5022F53E" w14:textId="77777777" w:rsidTr="00D877B6">
        <w:trPr>
          <w:trHeight w:val="313"/>
          <w:jc w:val="center"/>
        </w:trPr>
        <w:tc>
          <w:tcPr>
            <w:tcW w:w="3282" w:type="dxa"/>
            <w:vAlign w:val="center"/>
          </w:tcPr>
          <w:p w14:paraId="4B424DF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Tl</w:t>
            </w:r>
          </w:p>
        </w:tc>
        <w:tc>
          <w:tcPr>
            <w:tcW w:w="3242" w:type="dxa"/>
            <w:vAlign w:val="center"/>
          </w:tcPr>
          <w:p w14:paraId="49B53E9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1.00</w:t>
            </w:r>
          </w:p>
        </w:tc>
        <w:tc>
          <w:tcPr>
            <w:tcW w:w="3212" w:type="dxa"/>
            <w:vMerge/>
          </w:tcPr>
          <w:p w14:paraId="492FF6FC" w14:textId="77777777" w:rsidR="00BB6B15" w:rsidRPr="00D877B6" w:rsidRDefault="00BB6B15" w:rsidP="00D877B6">
            <w:pPr>
              <w:pStyle w:val="Default"/>
              <w:spacing w:line="276" w:lineRule="auto"/>
              <w:jc w:val="center"/>
              <w:rPr>
                <w:sz w:val="20"/>
                <w:szCs w:val="20"/>
                <w:lang w:val="en-US"/>
              </w:rPr>
            </w:pPr>
          </w:p>
        </w:tc>
      </w:tr>
      <w:tr w:rsidR="00BB6B15" w:rsidRPr="00D877B6" w14:paraId="66636343" w14:textId="77777777" w:rsidTr="00D877B6">
        <w:trPr>
          <w:trHeight w:val="313"/>
          <w:jc w:val="center"/>
        </w:trPr>
        <w:tc>
          <w:tcPr>
            <w:tcW w:w="3282" w:type="dxa"/>
            <w:vAlign w:val="center"/>
          </w:tcPr>
          <w:p w14:paraId="6827213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V</w:t>
            </w:r>
          </w:p>
        </w:tc>
        <w:tc>
          <w:tcPr>
            <w:tcW w:w="3242" w:type="dxa"/>
            <w:vAlign w:val="center"/>
          </w:tcPr>
          <w:p w14:paraId="4033199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0.026</w:t>
            </w:r>
          </w:p>
        </w:tc>
        <w:tc>
          <w:tcPr>
            <w:tcW w:w="3212" w:type="dxa"/>
            <w:vMerge/>
          </w:tcPr>
          <w:p w14:paraId="0368CBE9" w14:textId="77777777" w:rsidR="00BB6B15" w:rsidRPr="00D877B6" w:rsidRDefault="00BB6B15" w:rsidP="00D877B6">
            <w:pPr>
              <w:pStyle w:val="Default"/>
              <w:spacing w:line="276" w:lineRule="auto"/>
              <w:jc w:val="center"/>
              <w:rPr>
                <w:sz w:val="20"/>
                <w:szCs w:val="20"/>
                <w:lang w:val="en-US"/>
              </w:rPr>
            </w:pPr>
          </w:p>
        </w:tc>
      </w:tr>
      <w:tr w:rsidR="00BB6B15" w:rsidRPr="00D877B6" w14:paraId="6CCFCA69" w14:textId="77777777" w:rsidTr="00D877B6">
        <w:trPr>
          <w:trHeight w:val="313"/>
          <w:jc w:val="center"/>
        </w:trPr>
        <w:tc>
          <w:tcPr>
            <w:tcW w:w="3282" w:type="dxa"/>
            <w:vAlign w:val="center"/>
          </w:tcPr>
          <w:p w14:paraId="0DE3F55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Zn</w:t>
            </w:r>
          </w:p>
        </w:tc>
        <w:tc>
          <w:tcPr>
            <w:tcW w:w="3242" w:type="dxa"/>
            <w:vAlign w:val="center"/>
          </w:tcPr>
          <w:p w14:paraId="7D4778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Highly variable</w:t>
            </w:r>
          </w:p>
        </w:tc>
        <w:tc>
          <w:tcPr>
            <w:tcW w:w="3212" w:type="dxa"/>
            <w:vMerge/>
          </w:tcPr>
          <w:p w14:paraId="39DCF5D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1747ABD" w14:textId="77777777" w:rsidTr="00D877B6">
        <w:trPr>
          <w:trHeight w:val="313"/>
          <w:jc w:val="center"/>
        </w:trPr>
        <w:tc>
          <w:tcPr>
            <w:tcW w:w="3282" w:type="dxa"/>
            <w:vAlign w:val="center"/>
          </w:tcPr>
          <w:p w14:paraId="7A951CC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Chlordane</w:t>
            </w:r>
          </w:p>
        </w:tc>
        <w:tc>
          <w:tcPr>
            <w:tcW w:w="3242" w:type="dxa"/>
            <w:vAlign w:val="center"/>
          </w:tcPr>
          <w:p w14:paraId="457DB0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w:t>
            </w:r>
          </w:p>
        </w:tc>
        <w:tc>
          <w:tcPr>
            <w:tcW w:w="3212" w:type="dxa"/>
            <w:vMerge/>
          </w:tcPr>
          <w:p w14:paraId="01F725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23F52A" w14:textId="77777777" w:rsidTr="00D877B6">
        <w:trPr>
          <w:trHeight w:val="313"/>
          <w:jc w:val="center"/>
        </w:trPr>
        <w:tc>
          <w:tcPr>
            <w:tcW w:w="3282" w:type="dxa"/>
            <w:vAlign w:val="center"/>
          </w:tcPr>
          <w:p w14:paraId="6C9543E8" w14:textId="77777777" w:rsidR="00BB6B15" w:rsidRPr="00D877B6" w:rsidRDefault="00BB6B15" w:rsidP="00D877B6">
            <w:pPr>
              <w:pStyle w:val="Default"/>
              <w:jc w:val="center"/>
              <w:rPr>
                <w:sz w:val="20"/>
                <w:szCs w:val="20"/>
                <w:lang w:val="en-US"/>
              </w:rPr>
            </w:pPr>
            <w:r w:rsidRPr="00D877B6">
              <w:rPr>
                <w:sz w:val="20"/>
                <w:szCs w:val="20"/>
                <w:lang w:val="en-US"/>
              </w:rPr>
              <w:t>2,4-</w:t>
            </w:r>
            <w:r w:rsidRPr="00D877B6">
              <w:rPr>
                <w:rFonts w:ascii="IIHGJ A+ Times" w:hAnsi="IIHGJ A+ Times" w:cs="IIHGJ A+ Times"/>
                <w:sz w:val="20"/>
                <w:szCs w:val="20"/>
                <w:lang w:val="en-US"/>
              </w:rPr>
              <w:t>Dichlorophenoxyacetic acid (2,4-D)</w:t>
            </w:r>
          </w:p>
        </w:tc>
        <w:tc>
          <w:tcPr>
            <w:tcW w:w="3242" w:type="dxa"/>
            <w:vAlign w:val="center"/>
          </w:tcPr>
          <w:p w14:paraId="355B02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0.90</w:t>
            </w:r>
          </w:p>
        </w:tc>
        <w:tc>
          <w:tcPr>
            <w:tcW w:w="3212" w:type="dxa"/>
            <w:vMerge/>
          </w:tcPr>
          <w:p w14:paraId="7F7427B3"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0736EA0" w14:textId="77777777" w:rsidTr="00D877B6">
        <w:trPr>
          <w:trHeight w:val="313"/>
          <w:jc w:val="center"/>
        </w:trPr>
        <w:tc>
          <w:tcPr>
            <w:tcW w:w="3282" w:type="dxa"/>
            <w:vAlign w:val="center"/>
          </w:tcPr>
          <w:p w14:paraId="4C811E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DDT</w:t>
            </w:r>
          </w:p>
        </w:tc>
        <w:tc>
          <w:tcPr>
            <w:tcW w:w="3242" w:type="dxa"/>
            <w:vAlign w:val="center"/>
          </w:tcPr>
          <w:p w14:paraId="108B6B2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0.70 – 0.90</w:t>
            </w:r>
          </w:p>
        </w:tc>
        <w:tc>
          <w:tcPr>
            <w:tcW w:w="3212" w:type="dxa"/>
            <w:vMerge/>
          </w:tcPr>
          <w:p w14:paraId="4F9B36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43A58F" w14:textId="77777777" w:rsidTr="00D877B6">
        <w:trPr>
          <w:trHeight w:val="313"/>
          <w:jc w:val="center"/>
        </w:trPr>
        <w:tc>
          <w:tcPr>
            <w:tcW w:w="3282" w:type="dxa"/>
            <w:vAlign w:val="center"/>
          </w:tcPr>
          <w:p w14:paraId="3767B4A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Pentachlorophenol</w:t>
            </w:r>
          </w:p>
        </w:tc>
        <w:tc>
          <w:tcPr>
            <w:tcW w:w="3242" w:type="dxa"/>
            <w:vAlign w:val="center"/>
          </w:tcPr>
          <w:p w14:paraId="208B7F2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0.76 (food)</w:t>
            </w:r>
          </w:p>
          <w:p w14:paraId="229901D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1.00 (water)</w:t>
            </w:r>
          </w:p>
        </w:tc>
        <w:tc>
          <w:tcPr>
            <w:tcW w:w="3212" w:type="dxa"/>
            <w:vMerge/>
          </w:tcPr>
          <w:p w14:paraId="62E92BD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7189422E" w14:textId="77777777" w:rsidTr="00D877B6">
        <w:trPr>
          <w:trHeight w:val="313"/>
          <w:jc w:val="center"/>
        </w:trPr>
        <w:tc>
          <w:tcPr>
            <w:tcW w:w="3282" w:type="dxa"/>
            <w:vAlign w:val="center"/>
          </w:tcPr>
          <w:p w14:paraId="0C3319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Polychlorinated biphenyls (PCBs)</w:t>
            </w:r>
          </w:p>
        </w:tc>
        <w:tc>
          <w:tcPr>
            <w:tcW w:w="3242" w:type="dxa"/>
            <w:vAlign w:val="center"/>
          </w:tcPr>
          <w:p w14:paraId="1F5C458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 – 0.96</w:t>
            </w:r>
          </w:p>
        </w:tc>
        <w:tc>
          <w:tcPr>
            <w:tcW w:w="3212" w:type="dxa"/>
            <w:vMerge/>
          </w:tcPr>
          <w:p w14:paraId="31E3218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536F9F21" w14:textId="77777777" w:rsidTr="00D877B6">
        <w:trPr>
          <w:trHeight w:val="313"/>
          <w:jc w:val="center"/>
        </w:trPr>
        <w:tc>
          <w:tcPr>
            <w:tcW w:w="3282" w:type="dxa"/>
            <w:vAlign w:val="center"/>
          </w:tcPr>
          <w:p w14:paraId="39BCC344"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Polycyclic aromatic hydrocarbons (PAHs)</w:t>
            </w:r>
          </w:p>
        </w:tc>
        <w:tc>
          <w:tcPr>
            <w:tcW w:w="3242" w:type="dxa"/>
            <w:vAlign w:val="center"/>
          </w:tcPr>
          <w:p w14:paraId="199BD88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0.89</w:t>
            </w:r>
          </w:p>
        </w:tc>
        <w:tc>
          <w:tcPr>
            <w:tcW w:w="3212" w:type="dxa"/>
            <w:vMerge/>
          </w:tcPr>
          <w:p w14:paraId="0ACF72B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2CCCC29" w14:textId="77777777" w:rsidTr="00D877B6">
        <w:trPr>
          <w:trHeight w:val="313"/>
          <w:jc w:val="center"/>
        </w:trPr>
        <w:tc>
          <w:tcPr>
            <w:tcW w:w="3282" w:type="dxa"/>
            <w:vAlign w:val="center"/>
          </w:tcPr>
          <w:p w14:paraId="7C38A2FB"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TCDD</w:t>
            </w:r>
          </w:p>
        </w:tc>
        <w:tc>
          <w:tcPr>
            <w:tcW w:w="3242" w:type="dxa"/>
            <w:vAlign w:val="center"/>
          </w:tcPr>
          <w:p w14:paraId="23D169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0.50 – 0.70</w:t>
            </w:r>
          </w:p>
        </w:tc>
        <w:tc>
          <w:tcPr>
            <w:tcW w:w="3212" w:type="dxa"/>
            <w:vMerge/>
          </w:tcPr>
          <w:p w14:paraId="33D879F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4864806" w14:textId="77777777" w:rsidTr="00D877B6">
        <w:trPr>
          <w:trHeight w:val="313"/>
          <w:jc w:val="center"/>
        </w:trPr>
        <w:tc>
          <w:tcPr>
            <w:tcW w:w="3282" w:type="dxa"/>
            <w:vAlign w:val="center"/>
          </w:tcPr>
          <w:p w14:paraId="55C0EDED" w14:textId="77777777" w:rsidR="00BB6B15" w:rsidRPr="00D877B6" w:rsidRDefault="00BB6B15" w:rsidP="00D877B6">
            <w:pPr>
              <w:pStyle w:val="Default"/>
              <w:jc w:val="center"/>
              <w:rPr>
                <w:rFonts w:ascii="IIHGJ A+ Times" w:hAnsi="IIHGJ A+ Times" w:cs="IIHGJ A+ Times"/>
                <w:sz w:val="20"/>
                <w:szCs w:val="20"/>
                <w:lang w:val="en-US"/>
              </w:rPr>
            </w:pPr>
            <w:r w:rsidRPr="00D877B6">
              <w:rPr>
                <w:rFonts w:ascii="IIHGJ A+ Times" w:hAnsi="IIHGJ A+ Times" w:cs="IIHGJ A+ Times"/>
                <w:sz w:val="20"/>
                <w:szCs w:val="20"/>
                <w:lang w:val="en-US"/>
              </w:rPr>
              <w:t>Other Dioxins/Dibenzofurans</w:t>
            </w:r>
          </w:p>
        </w:tc>
        <w:tc>
          <w:tcPr>
            <w:tcW w:w="3242" w:type="dxa"/>
            <w:vAlign w:val="center"/>
          </w:tcPr>
          <w:p w14:paraId="65747D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0.50</w:t>
            </w:r>
          </w:p>
        </w:tc>
        <w:tc>
          <w:tcPr>
            <w:tcW w:w="3212" w:type="dxa"/>
            <w:vMerge/>
          </w:tcPr>
          <w:p w14:paraId="40F7FBD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D6972D0" w14:textId="77777777" w:rsidTr="00D877B6">
        <w:trPr>
          <w:trHeight w:val="313"/>
          <w:jc w:val="center"/>
        </w:trPr>
        <w:tc>
          <w:tcPr>
            <w:tcW w:w="3282" w:type="dxa"/>
            <w:vAlign w:val="center"/>
          </w:tcPr>
          <w:p w14:paraId="2E85AF8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All other organic compounds</w:t>
            </w:r>
          </w:p>
        </w:tc>
        <w:tc>
          <w:tcPr>
            <w:tcW w:w="3242" w:type="dxa"/>
            <w:vAlign w:val="center"/>
          </w:tcPr>
          <w:p w14:paraId="59AB7B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roofErr w:type="gramStart"/>
            <w:r w:rsidRPr="00D877B6">
              <w:rPr>
                <w:rFonts w:ascii="IIHGJ A+ Times" w:hAnsi="IIHGJ A+ Times" w:cs="IIHGJ A+ Times"/>
                <w:color w:val="000000"/>
                <w:sz w:val="20"/>
                <w:szCs w:val="20"/>
                <w:lang w:val="en-US"/>
              </w:rPr>
              <w:t>Generally</w:t>
            </w:r>
            <w:proofErr w:type="gramEnd"/>
            <w:r w:rsidRPr="00D877B6">
              <w:rPr>
                <w:rFonts w:ascii="IIHGJ A+ Times" w:hAnsi="IIHGJ A+ Times" w:cs="IIHGJ A+ Times"/>
                <w:color w:val="000000"/>
                <w:sz w:val="20"/>
                <w:szCs w:val="20"/>
                <w:lang w:val="en-US"/>
              </w:rPr>
              <w:t xml:space="preserve"> &gt; 0.50</w:t>
            </w:r>
          </w:p>
        </w:tc>
        <w:tc>
          <w:tcPr>
            <w:tcW w:w="3212" w:type="dxa"/>
            <w:vMerge/>
          </w:tcPr>
          <w:p w14:paraId="229A883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bl>
    <w:p w14:paraId="7166698E" w14:textId="77777777" w:rsidR="00BB6B15" w:rsidRPr="00D877B6" w:rsidRDefault="00BB6B15" w:rsidP="00BB6B15">
      <w:pPr>
        <w:widowControl w:val="0"/>
        <w:autoSpaceDE w:val="0"/>
        <w:autoSpaceDN w:val="0"/>
        <w:adjustRightInd w:val="0"/>
        <w:spacing w:line="276" w:lineRule="auto"/>
        <w:ind w:left="993" w:hanging="993"/>
        <w:rPr>
          <w:sz w:val="20"/>
          <w:szCs w:val="20"/>
          <w:lang w:val="en-US"/>
        </w:rPr>
      </w:pPr>
    </w:p>
    <w:p w14:paraId="00EC5E2E" w14:textId="0BC60CE9" w:rsidR="00BB6B15" w:rsidRPr="004012DB" w:rsidRDefault="00BB6B15" w:rsidP="00BB6B15">
      <w:pPr>
        <w:widowControl w:val="0"/>
        <w:autoSpaceDE w:val="0"/>
        <w:autoSpaceDN w:val="0"/>
        <w:adjustRightInd w:val="0"/>
        <w:spacing w:line="276" w:lineRule="auto"/>
        <w:ind w:firstLine="567"/>
        <w:rPr>
          <w:szCs w:val="24"/>
          <w:lang w:val="en-US"/>
        </w:rPr>
      </w:pPr>
      <w:r w:rsidRPr="004012DB">
        <w:rPr>
          <w:rFonts w:cs="IIHGJ A+ Times"/>
          <w:color w:val="000000"/>
          <w:sz w:val="28"/>
          <w:szCs w:val="26"/>
          <w:lang w:val="en-US"/>
        </w:rPr>
        <w:t xml:space="preserve">According to U.S. EPA </w:t>
      </w:r>
      <w:r w:rsidRPr="004012DB">
        <w:rPr>
          <w:rFonts w:cs="IIHGJ A+ Times"/>
          <w:color w:val="000000"/>
          <w:sz w:val="28"/>
          <w:szCs w:val="26"/>
          <w:lang w:val="en-US"/>
        </w:rPr>
        <w:fldChar w:fldCharType="begin" w:fldLock="1"/>
      </w:r>
      <w:r w:rsidRPr="004012DB">
        <w:rPr>
          <w:rFonts w:cs="IIHGJ A+ Times"/>
          <w:color w:val="000000"/>
          <w:sz w:val="28"/>
          <w:szCs w:val="26"/>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4012DB">
        <w:rPr>
          <w:rFonts w:cs="IIHGJ A+ Times"/>
          <w:color w:val="000000"/>
          <w:sz w:val="28"/>
          <w:szCs w:val="26"/>
          <w:lang w:val="en-US"/>
        </w:rPr>
        <w:fldChar w:fldCharType="separate"/>
      </w:r>
      <w:r w:rsidRPr="004012DB">
        <w:rPr>
          <w:rFonts w:cs="IIHGJ A+ Times"/>
          <w:noProof/>
          <w:color w:val="000000"/>
          <w:sz w:val="28"/>
          <w:szCs w:val="26"/>
          <w:lang w:val="en-US"/>
        </w:rPr>
        <w:t>(2004)</w:t>
      </w:r>
      <w:r w:rsidRPr="004012DB">
        <w:rPr>
          <w:rFonts w:cs="IIHGJ A+ Times"/>
          <w:color w:val="000000"/>
          <w:sz w:val="28"/>
          <w:szCs w:val="26"/>
          <w:lang w:val="en-US"/>
        </w:rPr>
        <w:fldChar w:fldCharType="end"/>
      </w:r>
      <w:r w:rsidRPr="004012DB">
        <w:rPr>
          <w:rFonts w:cs="IIHGJ A+ Times"/>
          <w:color w:val="000000"/>
          <w:sz w:val="28"/>
          <w:szCs w:val="26"/>
          <w:lang w:val="en-US"/>
        </w:rPr>
        <w:t xml:space="preserve">, for those organic or inorganic chemicals that do not appear on the table above, the recommendation is to assume a 1.00 (100%) </w:t>
      </w:r>
      <w:r w:rsidRPr="004012DB">
        <w:rPr>
          <w:rFonts w:cs="IIHGJ A+ Times"/>
          <w:i/>
          <w:iCs/>
          <w:color w:val="000000"/>
          <w:sz w:val="28"/>
          <w:szCs w:val="26"/>
          <w:lang w:val="en-US"/>
        </w:rPr>
        <w:t>ABS</w:t>
      </w:r>
      <w:r w:rsidRPr="004012DB">
        <w:rPr>
          <w:rFonts w:cs="IIHGJ A+ Times"/>
          <w:i/>
          <w:iCs/>
          <w:color w:val="000000"/>
          <w:sz w:val="28"/>
          <w:szCs w:val="26"/>
          <w:vertAlign w:val="subscript"/>
          <w:lang w:val="en-US"/>
        </w:rPr>
        <w:t>GI</w:t>
      </w:r>
      <w:r w:rsidRPr="004012DB">
        <w:rPr>
          <w:rFonts w:cs="IIHGJ A+ Times"/>
          <w:i/>
          <w:iCs/>
          <w:color w:val="000000"/>
          <w:sz w:val="28"/>
          <w:szCs w:val="26"/>
          <w:lang w:val="en-US"/>
        </w:rPr>
        <w:t xml:space="preserve"> </w:t>
      </w:r>
      <w:r w:rsidRPr="004012DB">
        <w:rPr>
          <w:rFonts w:cs="IIHGJ A+ Times"/>
          <w:color w:val="000000"/>
          <w:sz w:val="28"/>
          <w:szCs w:val="26"/>
          <w:lang w:val="en-US"/>
        </w:rPr>
        <w:t>value.</w:t>
      </w:r>
    </w:p>
    <w:p w14:paraId="06E5CC47" w14:textId="38DA70CC" w:rsidR="00BB6B15" w:rsidRDefault="00BB6B15" w:rsidP="00BB6B15">
      <w:pPr>
        <w:widowControl w:val="0"/>
        <w:autoSpaceDE w:val="0"/>
        <w:autoSpaceDN w:val="0"/>
        <w:adjustRightInd w:val="0"/>
        <w:spacing w:line="276" w:lineRule="auto"/>
        <w:rPr>
          <w:sz w:val="20"/>
          <w:szCs w:val="20"/>
          <w:lang w:val="en-US"/>
        </w:rPr>
      </w:pPr>
    </w:p>
    <w:p w14:paraId="151145AA" w14:textId="77777777" w:rsidR="00BB6B15" w:rsidRDefault="00BB6B15" w:rsidP="00CE25E4">
      <w:pPr>
        <w:spacing w:before="240" w:after="120" w:line="480" w:lineRule="auto"/>
        <w:jc w:val="center"/>
        <w:rPr>
          <w:b/>
          <w:bCs/>
          <w:sz w:val="28"/>
          <w:lang w:val="en-US"/>
        </w:rPr>
      </w:pPr>
    </w:p>
    <w:p w14:paraId="675D6D68" w14:textId="274B7697" w:rsidR="00BB6B15" w:rsidRDefault="00BB6B15" w:rsidP="00CE25E4">
      <w:pPr>
        <w:spacing w:before="240" w:after="120" w:line="480" w:lineRule="auto"/>
        <w:jc w:val="center"/>
        <w:rPr>
          <w:b/>
          <w:bCs/>
          <w:sz w:val="28"/>
          <w:lang w:val="en-US"/>
        </w:rPr>
      </w:pPr>
      <w:r>
        <w:rPr>
          <w:b/>
          <w:bCs/>
          <w:sz w:val="28"/>
          <w:lang w:val="en-US"/>
        </w:rPr>
        <w:br w:type="page"/>
      </w:r>
    </w:p>
    <w:p w14:paraId="5F3C4C64" w14:textId="77777777" w:rsidR="00BB6B15" w:rsidRDefault="00BB6B15" w:rsidP="00CE25E4">
      <w:pPr>
        <w:spacing w:before="240" w:after="120" w:line="480" w:lineRule="auto"/>
        <w:jc w:val="center"/>
        <w:rPr>
          <w:b/>
          <w:bCs/>
          <w:sz w:val="28"/>
          <w:lang w:val="en-US"/>
        </w:rPr>
        <w:sectPr w:rsidR="00BB6B15" w:rsidSect="00BB6B15">
          <w:pgSz w:w="11906" w:h="16838"/>
          <w:pgMar w:top="720" w:right="720" w:bottom="720" w:left="720" w:header="709" w:footer="709" w:gutter="0"/>
          <w:cols w:space="708"/>
          <w:docGrid w:linePitch="360"/>
        </w:sectPr>
      </w:pPr>
    </w:p>
    <w:p w14:paraId="79184EDF" w14:textId="13C255C2" w:rsidR="00FC2676" w:rsidRPr="00CE25E4" w:rsidRDefault="00CE25E4" w:rsidP="00DC14EC">
      <w:pPr>
        <w:spacing w:before="240" w:after="0" w:line="480" w:lineRule="auto"/>
        <w:jc w:val="center"/>
        <w:rPr>
          <w:b/>
          <w:sz w:val="32"/>
          <w:lang w:val="en-US"/>
        </w:rPr>
      </w:pPr>
      <w:r w:rsidRPr="00A25D23">
        <w:rPr>
          <w:b/>
          <w:bCs/>
          <w:sz w:val="28"/>
          <w:lang w:val="en-US"/>
        </w:rPr>
        <w:lastRenderedPageBreak/>
        <w:t xml:space="preserve">Table </w:t>
      </w:r>
      <w:r>
        <w:rPr>
          <w:b/>
          <w:bCs/>
          <w:sz w:val="28"/>
          <w:lang w:val="en-US"/>
        </w:rPr>
        <w:t>1</w:t>
      </w:r>
      <w:r w:rsidR="00350894">
        <w:rPr>
          <w:b/>
          <w:bCs/>
          <w:sz w:val="28"/>
          <w:lang w:val="en-US"/>
        </w:rPr>
        <w:t>3</w:t>
      </w:r>
      <w:r>
        <w:rPr>
          <w:sz w:val="28"/>
          <w:lang w:val="en-US"/>
        </w:rPr>
        <w:t xml:space="preserve"> – Some </w:t>
      </w:r>
      <w:r w:rsidRPr="00CE25E4">
        <w:rPr>
          <w:i/>
          <w:iCs/>
          <w:sz w:val="28"/>
          <w:lang w:val="en-US"/>
        </w:rPr>
        <w:t>BAF</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030" w:type="dxa"/>
        <w:jc w:val="center"/>
        <w:tblLook w:val="04A0" w:firstRow="1" w:lastRow="0" w:firstColumn="1" w:lastColumn="0" w:noHBand="0" w:noVBand="1"/>
      </w:tblPr>
      <w:tblGrid>
        <w:gridCol w:w="2266"/>
        <w:gridCol w:w="1131"/>
        <w:gridCol w:w="1122"/>
        <w:gridCol w:w="925"/>
        <w:gridCol w:w="80"/>
        <w:gridCol w:w="71"/>
        <w:gridCol w:w="775"/>
        <w:gridCol w:w="257"/>
        <w:gridCol w:w="668"/>
        <w:gridCol w:w="213"/>
        <w:gridCol w:w="713"/>
        <w:gridCol w:w="133"/>
        <w:gridCol w:w="87"/>
        <w:gridCol w:w="705"/>
        <w:gridCol w:w="54"/>
        <w:gridCol w:w="44"/>
        <w:gridCol w:w="7"/>
        <w:gridCol w:w="22"/>
        <w:gridCol w:w="30"/>
        <w:gridCol w:w="48"/>
        <w:gridCol w:w="721"/>
        <w:gridCol w:w="63"/>
        <w:gridCol w:w="19"/>
        <w:gridCol w:w="11"/>
        <w:gridCol w:w="832"/>
        <w:gridCol w:w="29"/>
        <w:gridCol w:w="26"/>
        <w:gridCol w:w="84"/>
        <w:gridCol w:w="787"/>
        <w:gridCol w:w="1122"/>
        <w:gridCol w:w="985"/>
      </w:tblGrid>
      <w:tr w:rsidR="009C67C5" w:rsidRPr="00A358DB" w14:paraId="72D616B4" w14:textId="77777777" w:rsidTr="00E664F4">
        <w:trPr>
          <w:trHeight w:val="96"/>
          <w:jc w:val="center"/>
        </w:trPr>
        <w:tc>
          <w:tcPr>
            <w:tcW w:w="2266" w:type="dxa"/>
            <w:vMerge w:val="restart"/>
            <w:vAlign w:val="center"/>
          </w:tcPr>
          <w:p w14:paraId="3496BC92"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vAlign w:val="center"/>
          </w:tcPr>
          <w:p w14:paraId="15CCF4C0" w14:textId="77777777" w:rsidR="009C67C5" w:rsidRPr="00DF43DF" w:rsidRDefault="009C67C5" w:rsidP="001D35D7">
            <w:pPr>
              <w:jc w:val="center"/>
              <w:rPr>
                <w:sz w:val="20"/>
                <w:szCs w:val="20"/>
                <w:vertAlign w:val="superscript"/>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8C1B9D6" w14:textId="77777777" w:rsidTr="00E664F4">
        <w:trPr>
          <w:trHeight w:val="257"/>
          <w:jc w:val="center"/>
        </w:trPr>
        <w:tc>
          <w:tcPr>
            <w:tcW w:w="2266" w:type="dxa"/>
            <w:vMerge/>
            <w:vAlign w:val="center"/>
          </w:tcPr>
          <w:p w14:paraId="1A31F6FF" w14:textId="77777777" w:rsidR="009C67C5" w:rsidRPr="00A358DB" w:rsidRDefault="009C67C5" w:rsidP="001D35D7">
            <w:pPr>
              <w:jc w:val="center"/>
              <w:rPr>
                <w:b/>
                <w:sz w:val="20"/>
                <w:szCs w:val="20"/>
                <w:lang w:val="en-US"/>
              </w:rPr>
            </w:pPr>
          </w:p>
        </w:tc>
        <w:tc>
          <w:tcPr>
            <w:tcW w:w="9657" w:type="dxa"/>
            <w:gridSpan w:val="28"/>
            <w:vAlign w:val="center"/>
          </w:tcPr>
          <w:p w14:paraId="09DD5501" w14:textId="77777777" w:rsidR="009C67C5" w:rsidRPr="00A358DB" w:rsidRDefault="009C67C5" w:rsidP="001D35D7">
            <w:pPr>
              <w:jc w:val="center"/>
              <w:rPr>
                <w:b/>
                <w:sz w:val="20"/>
                <w:szCs w:val="20"/>
                <w:lang w:val="en-US"/>
              </w:rPr>
            </w:pPr>
            <w:r w:rsidRPr="00A358DB">
              <w:rPr>
                <w:b/>
                <w:sz w:val="20"/>
                <w:szCs w:val="20"/>
                <w:lang w:val="en-US"/>
              </w:rPr>
              <w:t>Ingestion</w:t>
            </w:r>
          </w:p>
        </w:tc>
        <w:tc>
          <w:tcPr>
            <w:tcW w:w="2107" w:type="dxa"/>
            <w:gridSpan w:val="2"/>
            <w:vAlign w:val="center"/>
          </w:tcPr>
          <w:p w14:paraId="0B12BBF7" w14:textId="77777777" w:rsidR="009C67C5" w:rsidRPr="00A358DB" w:rsidRDefault="009C67C5" w:rsidP="001D35D7">
            <w:pPr>
              <w:jc w:val="center"/>
              <w:rPr>
                <w:b/>
                <w:sz w:val="20"/>
                <w:szCs w:val="20"/>
                <w:lang w:val="en-US"/>
              </w:rPr>
            </w:pPr>
            <w:r w:rsidRPr="00A358DB">
              <w:rPr>
                <w:b/>
                <w:sz w:val="20"/>
                <w:szCs w:val="20"/>
                <w:lang w:val="en-US"/>
              </w:rPr>
              <w:t>Inhalation</w:t>
            </w:r>
          </w:p>
        </w:tc>
      </w:tr>
      <w:tr w:rsidR="009C67C5" w:rsidRPr="00A358DB" w14:paraId="17D88360" w14:textId="77777777" w:rsidTr="00984C55">
        <w:trPr>
          <w:trHeight w:val="525"/>
          <w:jc w:val="center"/>
        </w:trPr>
        <w:tc>
          <w:tcPr>
            <w:tcW w:w="2266" w:type="dxa"/>
            <w:vMerge/>
            <w:tcBorders>
              <w:bottom w:val="single" w:sz="4" w:space="0" w:color="auto"/>
            </w:tcBorders>
            <w:vAlign w:val="center"/>
          </w:tcPr>
          <w:p w14:paraId="6B032F0A" w14:textId="77777777" w:rsidR="009C67C5" w:rsidRPr="00A358DB" w:rsidRDefault="009C67C5" w:rsidP="001D35D7">
            <w:pPr>
              <w:jc w:val="center"/>
              <w:rPr>
                <w:b/>
                <w:sz w:val="20"/>
                <w:szCs w:val="20"/>
                <w:lang w:val="en-US"/>
              </w:rPr>
            </w:pPr>
          </w:p>
        </w:tc>
        <w:tc>
          <w:tcPr>
            <w:tcW w:w="1131" w:type="dxa"/>
            <w:tcBorders>
              <w:bottom w:val="single" w:sz="4" w:space="0" w:color="auto"/>
            </w:tcBorders>
            <w:vAlign w:val="center"/>
          </w:tcPr>
          <w:p w14:paraId="74308CD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single" w:sz="4" w:space="0" w:color="auto"/>
            </w:tcBorders>
            <w:vAlign w:val="center"/>
          </w:tcPr>
          <w:p w14:paraId="0597F7D7"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single" w:sz="4" w:space="0" w:color="auto"/>
            </w:tcBorders>
            <w:vAlign w:val="center"/>
          </w:tcPr>
          <w:p w14:paraId="320B9D97"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single" w:sz="4" w:space="0" w:color="auto"/>
            </w:tcBorders>
            <w:vAlign w:val="center"/>
          </w:tcPr>
          <w:p w14:paraId="02A9835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1FB5FC"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27954C2F"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single" w:sz="4" w:space="0" w:color="auto"/>
            </w:tcBorders>
            <w:vAlign w:val="center"/>
          </w:tcPr>
          <w:p w14:paraId="25986411"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single" w:sz="4" w:space="0" w:color="auto"/>
            </w:tcBorders>
            <w:vAlign w:val="center"/>
          </w:tcPr>
          <w:p w14:paraId="6243B478"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5A6F46B2"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single" w:sz="4" w:space="0" w:color="auto"/>
            </w:tcBorders>
            <w:vAlign w:val="center"/>
          </w:tcPr>
          <w:p w14:paraId="79F7F21A"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single" w:sz="4" w:space="0" w:color="auto"/>
            </w:tcBorders>
            <w:vAlign w:val="center"/>
          </w:tcPr>
          <w:p w14:paraId="380FCEAD"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single" w:sz="4" w:space="0" w:color="auto"/>
            </w:tcBorders>
            <w:vAlign w:val="center"/>
          </w:tcPr>
          <w:p w14:paraId="517886C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7811F342" w14:textId="77777777" w:rsidTr="00E664F4">
        <w:trPr>
          <w:trHeight w:val="276"/>
          <w:jc w:val="center"/>
        </w:trPr>
        <w:tc>
          <w:tcPr>
            <w:tcW w:w="2266" w:type="dxa"/>
            <w:tcBorders>
              <w:bottom w:val="nil"/>
            </w:tcBorders>
            <w:vAlign w:val="center"/>
          </w:tcPr>
          <w:p w14:paraId="6834BAFC" w14:textId="77777777" w:rsidR="009C67C5" w:rsidRPr="00A61503" w:rsidRDefault="009C67C5" w:rsidP="001D35D7">
            <w:pPr>
              <w:jc w:val="center"/>
              <w:rPr>
                <w:b/>
                <w:sz w:val="20"/>
                <w:szCs w:val="20"/>
                <w:lang w:val="en-US"/>
              </w:rPr>
            </w:pPr>
            <w:r w:rsidRPr="00A61503">
              <w:rPr>
                <w:b/>
                <w:i/>
                <w:iCs/>
                <w:sz w:val="20"/>
                <w:szCs w:val="52"/>
                <w:lang w:val="en-US"/>
              </w:rPr>
              <w:t>p</w:t>
            </w:r>
            <w:r w:rsidRPr="00A61503">
              <w:rPr>
                <w:b/>
                <w:iCs/>
                <w:sz w:val="20"/>
                <w:szCs w:val="52"/>
                <w:lang w:val="en-US"/>
              </w:rPr>
              <w:t>-Benzoquinone</w:t>
            </w:r>
          </w:p>
        </w:tc>
        <w:tc>
          <w:tcPr>
            <w:tcW w:w="9657" w:type="dxa"/>
            <w:gridSpan w:val="28"/>
            <w:tcBorders>
              <w:bottom w:val="nil"/>
            </w:tcBorders>
            <w:vAlign w:val="center"/>
          </w:tcPr>
          <w:p w14:paraId="49F64FD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96162A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A2C85B0" w14:textId="77777777" w:rsidTr="00E664F4">
        <w:trPr>
          <w:trHeight w:val="276"/>
          <w:jc w:val="center"/>
        </w:trPr>
        <w:tc>
          <w:tcPr>
            <w:tcW w:w="2266" w:type="dxa"/>
            <w:tcBorders>
              <w:top w:val="nil"/>
              <w:bottom w:val="single" w:sz="4" w:space="0" w:color="auto"/>
            </w:tcBorders>
            <w:vAlign w:val="center"/>
          </w:tcPr>
          <w:p w14:paraId="63AE28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4E1A60"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E56920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59A4F76" w14:textId="77777777" w:rsidTr="00E664F4">
        <w:trPr>
          <w:trHeight w:val="261"/>
          <w:jc w:val="center"/>
        </w:trPr>
        <w:tc>
          <w:tcPr>
            <w:tcW w:w="2266" w:type="dxa"/>
            <w:tcBorders>
              <w:top w:val="single" w:sz="4" w:space="0" w:color="auto"/>
              <w:left w:val="single" w:sz="4" w:space="0" w:color="auto"/>
              <w:bottom w:val="nil"/>
              <w:right w:val="single" w:sz="4" w:space="0" w:color="auto"/>
            </w:tcBorders>
            <w:vAlign w:val="center"/>
          </w:tcPr>
          <w:p w14:paraId="69116982" w14:textId="77777777" w:rsidR="009C67C5" w:rsidRPr="00A61503" w:rsidRDefault="009C67C5" w:rsidP="001D35D7">
            <w:pPr>
              <w:jc w:val="center"/>
              <w:rPr>
                <w:b/>
                <w:sz w:val="20"/>
                <w:szCs w:val="20"/>
                <w:lang w:val="en-US"/>
              </w:rPr>
            </w:pPr>
            <w:r w:rsidRPr="00A61503">
              <w:rPr>
                <w:b/>
                <w:sz w:val="20"/>
                <w:szCs w:val="52"/>
                <w:lang w:val="en-US"/>
              </w:rPr>
              <w:t>Acetophenone</w:t>
            </w:r>
          </w:p>
        </w:tc>
        <w:tc>
          <w:tcPr>
            <w:tcW w:w="9657" w:type="dxa"/>
            <w:gridSpan w:val="28"/>
            <w:tcBorders>
              <w:top w:val="single" w:sz="4" w:space="0" w:color="auto"/>
              <w:left w:val="single" w:sz="4" w:space="0" w:color="auto"/>
              <w:bottom w:val="nil"/>
              <w:right w:val="single" w:sz="4" w:space="0" w:color="auto"/>
            </w:tcBorders>
            <w:vAlign w:val="center"/>
          </w:tcPr>
          <w:p w14:paraId="5C097F62" w14:textId="77777777" w:rsidR="009C67C5" w:rsidRPr="00A358DB" w:rsidRDefault="009C67C5" w:rsidP="001D35D7">
            <w:pPr>
              <w:jc w:val="center"/>
              <w:rPr>
                <w:sz w:val="20"/>
                <w:szCs w:val="20"/>
                <w:lang w:val="en-US"/>
              </w:rPr>
            </w:pPr>
            <w:r w:rsidRPr="00A358DB">
              <w:rPr>
                <w:sz w:val="20"/>
                <w:szCs w:val="20"/>
                <w:lang w:val="en-US"/>
              </w:rPr>
              <w:t>1.000</w:t>
            </w:r>
            <w:r>
              <w:rPr>
                <w:sz w:val="20"/>
                <w:szCs w:val="20"/>
                <w:vertAlign w:val="superscript"/>
                <w:lang w:val="en-US"/>
              </w:rPr>
              <w:t xml:space="preserve"> c</w:t>
            </w:r>
          </w:p>
        </w:tc>
        <w:tc>
          <w:tcPr>
            <w:tcW w:w="2107" w:type="dxa"/>
            <w:gridSpan w:val="2"/>
            <w:tcBorders>
              <w:top w:val="single" w:sz="4" w:space="0" w:color="auto"/>
              <w:left w:val="single" w:sz="4" w:space="0" w:color="auto"/>
              <w:bottom w:val="nil"/>
              <w:right w:val="single" w:sz="4" w:space="0" w:color="auto"/>
            </w:tcBorders>
            <w:vAlign w:val="center"/>
          </w:tcPr>
          <w:p w14:paraId="7368C6A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5840EDF" w14:textId="77777777" w:rsidTr="00E664F4">
        <w:trPr>
          <w:trHeight w:val="261"/>
          <w:jc w:val="center"/>
        </w:trPr>
        <w:tc>
          <w:tcPr>
            <w:tcW w:w="2266" w:type="dxa"/>
            <w:tcBorders>
              <w:top w:val="nil"/>
              <w:left w:val="single" w:sz="4" w:space="0" w:color="auto"/>
              <w:bottom w:val="single" w:sz="4" w:space="0" w:color="auto"/>
              <w:right w:val="single" w:sz="4" w:space="0" w:color="auto"/>
            </w:tcBorders>
            <w:vAlign w:val="center"/>
          </w:tcPr>
          <w:p w14:paraId="5BE724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left w:val="single" w:sz="4" w:space="0" w:color="auto"/>
              <w:bottom w:val="single" w:sz="4" w:space="0" w:color="auto"/>
              <w:right w:val="single" w:sz="4" w:space="0" w:color="auto"/>
            </w:tcBorders>
            <w:vAlign w:val="center"/>
          </w:tcPr>
          <w:p w14:paraId="4D6988C6" w14:textId="77777777" w:rsidR="009C67C5" w:rsidRPr="00A358DB" w:rsidRDefault="009C67C5" w:rsidP="001D35D7">
            <w:pPr>
              <w:jc w:val="center"/>
              <w:rPr>
                <w:sz w:val="20"/>
                <w:szCs w:val="20"/>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2107" w:type="dxa"/>
            <w:gridSpan w:val="2"/>
            <w:tcBorders>
              <w:top w:val="nil"/>
              <w:left w:val="single" w:sz="4" w:space="0" w:color="auto"/>
              <w:bottom w:val="single" w:sz="4" w:space="0" w:color="auto"/>
              <w:right w:val="single" w:sz="4" w:space="0" w:color="auto"/>
            </w:tcBorders>
            <w:vAlign w:val="center"/>
          </w:tcPr>
          <w:p w14:paraId="64B10119" w14:textId="77777777" w:rsidR="009C67C5" w:rsidRPr="00232832" w:rsidRDefault="009C67C5" w:rsidP="001D35D7">
            <w:pPr>
              <w:jc w:val="center"/>
              <w:rPr>
                <w:sz w:val="16"/>
                <w:szCs w:val="20"/>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r>
      <w:tr w:rsidR="009C67C5" w:rsidRPr="00A358DB" w14:paraId="53D94889" w14:textId="77777777" w:rsidTr="00984C55">
        <w:trPr>
          <w:trHeight w:val="261"/>
          <w:jc w:val="center"/>
        </w:trPr>
        <w:tc>
          <w:tcPr>
            <w:tcW w:w="2266" w:type="dxa"/>
            <w:tcBorders>
              <w:top w:val="single" w:sz="4" w:space="0" w:color="auto"/>
              <w:bottom w:val="nil"/>
            </w:tcBorders>
            <w:vAlign w:val="center"/>
          </w:tcPr>
          <w:p w14:paraId="663B6557" w14:textId="77777777" w:rsidR="009C67C5" w:rsidRPr="00A61503" w:rsidRDefault="009C67C5" w:rsidP="001D35D7">
            <w:pPr>
              <w:jc w:val="center"/>
              <w:rPr>
                <w:b/>
                <w:sz w:val="20"/>
                <w:szCs w:val="20"/>
                <w:lang w:val="en-US"/>
              </w:rPr>
            </w:pPr>
            <w:r w:rsidRPr="00A61503">
              <w:rPr>
                <w:b/>
                <w:sz w:val="20"/>
                <w:szCs w:val="52"/>
                <w:lang w:val="en-US"/>
              </w:rPr>
              <w:t>Naphthalene</w:t>
            </w:r>
          </w:p>
        </w:tc>
        <w:tc>
          <w:tcPr>
            <w:tcW w:w="1131" w:type="dxa"/>
            <w:tcBorders>
              <w:top w:val="single" w:sz="4" w:space="0" w:color="auto"/>
              <w:bottom w:val="nil"/>
            </w:tcBorders>
            <w:vAlign w:val="center"/>
          </w:tcPr>
          <w:p w14:paraId="0FAB9CD7" w14:textId="77777777" w:rsidR="009C67C5" w:rsidRPr="00A358DB" w:rsidRDefault="009C67C5" w:rsidP="001D35D7">
            <w:pPr>
              <w:jc w:val="center"/>
              <w:rPr>
                <w:sz w:val="20"/>
                <w:szCs w:val="20"/>
                <w:lang w:val="en-US"/>
              </w:rPr>
            </w:pPr>
            <w:r>
              <w:rPr>
                <w:sz w:val="20"/>
                <w:szCs w:val="20"/>
                <w:lang w:val="en-US"/>
              </w:rPr>
              <w:t>1.000</w:t>
            </w:r>
          </w:p>
        </w:tc>
        <w:tc>
          <w:tcPr>
            <w:tcW w:w="8526" w:type="dxa"/>
            <w:gridSpan w:val="27"/>
            <w:tcBorders>
              <w:top w:val="single" w:sz="4" w:space="0" w:color="auto"/>
              <w:bottom w:val="nil"/>
            </w:tcBorders>
            <w:vAlign w:val="center"/>
          </w:tcPr>
          <w:p w14:paraId="45AC9C9A" w14:textId="77777777" w:rsidR="009C67C5" w:rsidRPr="00A358DB" w:rsidRDefault="009C67C5" w:rsidP="001D35D7">
            <w:pPr>
              <w:jc w:val="center"/>
              <w:rPr>
                <w:sz w:val="20"/>
                <w:szCs w:val="20"/>
                <w:lang w:val="en-US"/>
              </w:rPr>
            </w:pPr>
            <w:r>
              <w:rPr>
                <w:sz w:val="20"/>
                <w:szCs w:val="20"/>
                <w:lang w:val="en-US"/>
              </w:rPr>
              <w:t xml:space="preserve">0.760 </w:t>
            </w:r>
            <w:r>
              <w:rPr>
                <w:sz w:val="20"/>
                <w:szCs w:val="20"/>
                <w:vertAlign w:val="superscript"/>
                <w:lang w:val="en-US"/>
              </w:rPr>
              <w:t>d</w:t>
            </w:r>
          </w:p>
        </w:tc>
        <w:tc>
          <w:tcPr>
            <w:tcW w:w="2107" w:type="dxa"/>
            <w:gridSpan w:val="2"/>
            <w:tcBorders>
              <w:top w:val="single" w:sz="4" w:space="0" w:color="auto"/>
              <w:bottom w:val="nil"/>
            </w:tcBorders>
            <w:vAlign w:val="center"/>
          </w:tcPr>
          <w:p w14:paraId="0A00982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079D97B" w14:textId="77777777" w:rsidTr="00984C55">
        <w:trPr>
          <w:trHeight w:val="261"/>
          <w:jc w:val="center"/>
        </w:trPr>
        <w:tc>
          <w:tcPr>
            <w:tcW w:w="2266" w:type="dxa"/>
            <w:tcBorders>
              <w:top w:val="nil"/>
              <w:bottom w:val="single" w:sz="4" w:space="0" w:color="auto"/>
            </w:tcBorders>
            <w:vAlign w:val="center"/>
          </w:tcPr>
          <w:p w14:paraId="51C09718"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64716010" w14:textId="77777777" w:rsidR="009C67C5" w:rsidRPr="00A358DB"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C7F38AD"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2107" w:type="dxa"/>
            <w:gridSpan w:val="2"/>
            <w:tcBorders>
              <w:top w:val="nil"/>
              <w:bottom w:val="single" w:sz="4" w:space="0" w:color="auto"/>
            </w:tcBorders>
            <w:vAlign w:val="center"/>
          </w:tcPr>
          <w:p w14:paraId="67AE3025"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28CD6317" w14:textId="77777777" w:rsidTr="00A85030">
        <w:trPr>
          <w:trHeight w:val="261"/>
          <w:jc w:val="center"/>
        </w:trPr>
        <w:tc>
          <w:tcPr>
            <w:tcW w:w="2266" w:type="dxa"/>
            <w:tcBorders>
              <w:bottom w:val="nil"/>
            </w:tcBorders>
            <w:vAlign w:val="center"/>
          </w:tcPr>
          <w:p w14:paraId="7D98F595" w14:textId="77777777" w:rsidR="009C67C5" w:rsidRPr="00A61503" w:rsidRDefault="009C67C5" w:rsidP="001D35D7">
            <w:pPr>
              <w:jc w:val="center"/>
              <w:rPr>
                <w:b/>
                <w:sz w:val="20"/>
                <w:szCs w:val="20"/>
                <w:lang w:val="en-US"/>
              </w:rPr>
            </w:pPr>
            <w:r w:rsidRPr="00A61503">
              <w:rPr>
                <w:b/>
                <w:sz w:val="20"/>
                <w:szCs w:val="52"/>
                <w:lang w:val="en-US"/>
              </w:rPr>
              <w:t>1,4-Naphthoquinone</w:t>
            </w:r>
          </w:p>
        </w:tc>
        <w:tc>
          <w:tcPr>
            <w:tcW w:w="9657" w:type="dxa"/>
            <w:gridSpan w:val="28"/>
            <w:tcBorders>
              <w:bottom w:val="nil"/>
            </w:tcBorders>
            <w:vAlign w:val="center"/>
          </w:tcPr>
          <w:p w14:paraId="70125448"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A38317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80005A9" w14:textId="77777777" w:rsidTr="00A85030">
        <w:trPr>
          <w:trHeight w:val="261"/>
          <w:jc w:val="center"/>
        </w:trPr>
        <w:tc>
          <w:tcPr>
            <w:tcW w:w="2266" w:type="dxa"/>
            <w:tcBorders>
              <w:top w:val="nil"/>
              <w:bottom w:val="single" w:sz="4" w:space="0" w:color="auto"/>
            </w:tcBorders>
            <w:vAlign w:val="center"/>
          </w:tcPr>
          <w:p w14:paraId="6A5F352E"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61881F05" w14:textId="77777777" w:rsidR="009C67C5" w:rsidRPr="00A358DB" w:rsidRDefault="009C67C5" w:rsidP="001D35D7">
            <w:pPr>
              <w:jc w:val="center"/>
              <w:rPr>
                <w:sz w:val="20"/>
                <w:szCs w:val="20"/>
                <w:lang w:val="en-US"/>
              </w:rPr>
            </w:pPr>
            <w:r w:rsidRPr="0081387C">
              <w:rPr>
                <w:sz w:val="20"/>
                <w:szCs w:val="20"/>
                <w:vertAlign w:val="superscript"/>
                <w:lang w:val="en-US"/>
              </w:rPr>
              <w:t>b</w:t>
            </w:r>
          </w:p>
        </w:tc>
        <w:tc>
          <w:tcPr>
            <w:tcW w:w="2107" w:type="dxa"/>
            <w:gridSpan w:val="2"/>
            <w:tcBorders>
              <w:top w:val="nil"/>
              <w:bottom w:val="single" w:sz="4" w:space="0" w:color="auto"/>
            </w:tcBorders>
            <w:vAlign w:val="center"/>
          </w:tcPr>
          <w:p w14:paraId="3E1ADF9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679F7730" w14:textId="77777777" w:rsidTr="00984C55">
        <w:trPr>
          <w:trHeight w:val="261"/>
          <w:jc w:val="center"/>
        </w:trPr>
        <w:tc>
          <w:tcPr>
            <w:tcW w:w="2266" w:type="dxa"/>
            <w:tcBorders>
              <w:bottom w:val="nil"/>
            </w:tcBorders>
            <w:vAlign w:val="center"/>
          </w:tcPr>
          <w:p w14:paraId="23E5F685" w14:textId="77777777" w:rsidR="009C67C5" w:rsidRPr="00A61503" w:rsidRDefault="009C67C5" w:rsidP="001D35D7">
            <w:pPr>
              <w:jc w:val="center"/>
              <w:rPr>
                <w:b/>
                <w:sz w:val="20"/>
                <w:szCs w:val="20"/>
                <w:lang w:val="en-US"/>
              </w:rPr>
            </w:pPr>
            <w:r w:rsidRPr="00A61503">
              <w:rPr>
                <w:b/>
                <w:sz w:val="20"/>
                <w:szCs w:val="52"/>
                <w:lang w:val="en-US"/>
              </w:rPr>
              <w:t>Acenaphthylene</w:t>
            </w:r>
          </w:p>
        </w:tc>
        <w:tc>
          <w:tcPr>
            <w:tcW w:w="1131" w:type="dxa"/>
            <w:tcBorders>
              <w:bottom w:val="nil"/>
            </w:tcBorders>
            <w:vAlign w:val="center"/>
          </w:tcPr>
          <w:p w14:paraId="482F02CA"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E8ADB3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09CDE3" w14:textId="77777777" w:rsidR="009C67C5" w:rsidRPr="00A358DB" w:rsidRDefault="009C67C5" w:rsidP="001D35D7">
            <w:pPr>
              <w:jc w:val="center"/>
              <w:rPr>
                <w:sz w:val="20"/>
                <w:szCs w:val="20"/>
                <w:lang w:val="en-US"/>
              </w:rPr>
            </w:pPr>
            <w:r>
              <w:rPr>
                <w:sz w:val="20"/>
                <w:szCs w:val="20"/>
                <w:lang w:val="en-US"/>
              </w:rPr>
              <w:t>0.442</w:t>
            </w:r>
          </w:p>
        </w:tc>
        <w:tc>
          <w:tcPr>
            <w:tcW w:w="985" w:type="dxa"/>
            <w:tcBorders>
              <w:bottom w:val="nil"/>
            </w:tcBorders>
            <w:vAlign w:val="center"/>
          </w:tcPr>
          <w:p w14:paraId="532C5AAD" w14:textId="77777777" w:rsidR="009C67C5" w:rsidRPr="00A358DB" w:rsidRDefault="009C67C5" w:rsidP="001D35D7">
            <w:pPr>
              <w:jc w:val="center"/>
              <w:rPr>
                <w:sz w:val="20"/>
                <w:szCs w:val="20"/>
                <w:lang w:val="en-US"/>
              </w:rPr>
            </w:pPr>
            <w:r>
              <w:rPr>
                <w:sz w:val="20"/>
                <w:szCs w:val="20"/>
                <w:lang w:val="en-US"/>
              </w:rPr>
              <w:t>1.000</w:t>
            </w:r>
          </w:p>
        </w:tc>
      </w:tr>
      <w:tr w:rsidR="009C67C5" w:rsidRPr="0081387C" w14:paraId="35921E8C" w14:textId="77777777" w:rsidTr="00984C55">
        <w:trPr>
          <w:trHeight w:val="261"/>
          <w:jc w:val="center"/>
        </w:trPr>
        <w:tc>
          <w:tcPr>
            <w:tcW w:w="2266" w:type="dxa"/>
            <w:tcBorders>
              <w:top w:val="nil"/>
              <w:bottom w:val="single" w:sz="4" w:space="0" w:color="auto"/>
            </w:tcBorders>
            <w:vAlign w:val="center"/>
          </w:tcPr>
          <w:p w14:paraId="6BAC4C3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BF3F93F"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9ADD30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4C86B2E0"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6891FB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07CD753B" w14:textId="77777777" w:rsidTr="00984C55">
        <w:trPr>
          <w:trHeight w:val="261"/>
          <w:jc w:val="center"/>
        </w:trPr>
        <w:tc>
          <w:tcPr>
            <w:tcW w:w="2266" w:type="dxa"/>
            <w:tcBorders>
              <w:bottom w:val="nil"/>
            </w:tcBorders>
            <w:vAlign w:val="center"/>
          </w:tcPr>
          <w:p w14:paraId="41AAB8C0" w14:textId="77777777" w:rsidR="009C67C5" w:rsidRPr="00A61503" w:rsidRDefault="009C67C5" w:rsidP="001D35D7">
            <w:pPr>
              <w:jc w:val="center"/>
              <w:rPr>
                <w:b/>
                <w:sz w:val="20"/>
                <w:szCs w:val="20"/>
                <w:lang w:val="en-US"/>
              </w:rPr>
            </w:pPr>
            <w:r w:rsidRPr="00A61503">
              <w:rPr>
                <w:b/>
                <w:sz w:val="20"/>
                <w:szCs w:val="52"/>
                <w:lang w:val="en-US"/>
              </w:rPr>
              <w:t>Acenaphthene</w:t>
            </w:r>
          </w:p>
        </w:tc>
        <w:tc>
          <w:tcPr>
            <w:tcW w:w="1131" w:type="dxa"/>
            <w:tcBorders>
              <w:bottom w:val="nil"/>
            </w:tcBorders>
            <w:vAlign w:val="center"/>
          </w:tcPr>
          <w:p w14:paraId="4D7E7A10"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81D8943"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02793D2" w14:textId="77777777" w:rsidR="009C67C5" w:rsidRPr="00A358DB" w:rsidRDefault="009C67C5" w:rsidP="001D35D7">
            <w:pPr>
              <w:jc w:val="center"/>
              <w:rPr>
                <w:sz w:val="20"/>
                <w:szCs w:val="20"/>
                <w:lang w:val="en-US"/>
              </w:rPr>
            </w:pPr>
            <w:r>
              <w:rPr>
                <w:sz w:val="20"/>
                <w:szCs w:val="20"/>
                <w:lang w:val="en-US"/>
              </w:rPr>
              <w:t>0.316</w:t>
            </w:r>
          </w:p>
        </w:tc>
        <w:tc>
          <w:tcPr>
            <w:tcW w:w="985" w:type="dxa"/>
            <w:tcBorders>
              <w:bottom w:val="nil"/>
            </w:tcBorders>
            <w:vAlign w:val="center"/>
          </w:tcPr>
          <w:p w14:paraId="395EE03E"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2FAE3655" w14:textId="77777777" w:rsidTr="00984C55">
        <w:trPr>
          <w:trHeight w:val="261"/>
          <w:jc w:val="center"/>
        </w:trPr>
        <w:tc>
          <w:tcPr>
            <w:tcW w:w="2266" w:type="dxa"/>
            <w:tcBorders>
              <w:top w:val="nil"/>
              <w:bottom w:val="single" w:sz="4" w:space="0" w:color="auto"/>
            </w:tcBorders>
            <w:vAlign w:val="center"/>
          </w:tcPr>
          <w:p w14:paraId="70170F94"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3FBD94FB"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7093088"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97B8F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59F69E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039E40D" w14:textId="77777777" w:rsidTr="00984C55">
        <w:trPr>
          <w:trHeight w:val="261"/>
          <w:jc w:val="center"/>
        </w:trPr>
        <w:tc>
          <w:tcPr>
            <w:tcW w:w="2266" w:type="dxa"/>
            <w:tcBorders>
              <w:bottom w:val="nil"/>
            </w:tcBorders>
            <w:vAlign w:val="center"/>
          </w:tcPr>
          <w:p w14:paraId="496720F0" w14:textId="77777777" w:rsidR="009C67C5" w:rsidRPr="00A61503" w:rsidRDefault="009C67C5" w:rsidP="001D35D7">
            <w:pPr>
              <w:jc w:val="center"/>
              <w:rPr>
                <w:b/>
                <w:sz w:val="20"/>
                <w:szCs w:val="20"/>
                <w:lang w:val="en-US"/>
              </w:rPr>
            </w:pPr>
            <w:r w:rsidRPr="00A61503">
              <w:rPr>
                <w:b/>
                <w:sz w:val="20"/>
                <w:szCs w:val="52"/>
                <w:lang w:val="en-US"/>
              </w:rPr>
              <w:t>Fluorene</w:t>
            </w:r>
          </w:p>
        </w:tc>
        <w:tc>
          <w:tcPr>
            <w:tcW w:w="1131" w:type="dxa"/>
            <w:tcBorders>
              <w:bottom w:val="nil"/>
            </w:tcBorders>
            <w:vAlign w:val="center"/>
          </w:tcPr>
          <w:p w14:paraId="14676AA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E739635"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3564DAB" w14:textId="77777777" w:rsidR="009C67C5" w:rsidRPr="00A358DB" w:rsidRDefault="009C67C5" w:rsidP="001D35D7">
            <w:pPr>
              <w:jc w:val="center"/>
              <w:rPr>
                <w:sz w:val="20"/>
                <w:szCs w:val="20"/>
                <w:lang w:val="en-US"/>
              </w:rPr>
            </w:pPr>
            <w:r>
              <w:rPr>
                <w:sz w:val="20"/>
                <w:szCs w:val="20"/>
                <w:lang w:val="en-US"/>
              </w:rPr>
              <w:t>0.248</w:t>
            </w:r>
          </w:p>
        </w:tc>
        <w:tc>
          <w:tcPr>
            <w:tcW w:w="985" w:type="dxa"/>
            <w:tcBorders>
              <w:bottom w:val="nil"/>
            </w:tcBorders>
            <w:vAlign w:val="center"/>
          </w:tcPr>
          <w:p w14:paraId="70EE4780"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0E7E6AEF" w14:textId="77777777" w:rsidTr="00984C55">
        <w:trPr>
          <w:trHeight w:val="261"/>
          <w:jc w:val="center"/>
        </w:trPr>
        <w:tc>
          <w:tcPr>
            <w:tcW w:w="2266" w:type="dxa"/>
            <w:tcBorders>
              <w:top w:val="nil"/>
              <w:bottom w:val="single" w:sz="4" w:space="0" w:color="auto"/>
            </w:tcBorders>
            <w:vAlign w:val="center"/>
          </w:tcPr>
          <w:p w14:paraId="47EE859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2487B48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52613B0"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20CDFC97"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95FE26F"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DD26127" w14:textId="77777777" w:rsidTr="00E664F4">
        <w:trPr>
          <w:trHeight w:val="261"/>
          <w:jc w:val="center"/>
        </w:trPr>
        <w:tc>
          <w:tcPr>
            <w:tcW w:w="2266" w:type="dxa"/>
            <w:tcBorders>
              <w:bottom w:val="nil"/>
            </w:tcBorders>
            <w:vAlign w:val="center"/>
          </w:tcPr>
          <w:p w14:paraId="22D9058E" w14:textId="77777777" w:rsidR="009C67C5" w:rsidRPr="00A61503" w:rsidRDefault="009C67C5" w:rsidP="001D35D7">
            <w:pPr>
              <w:jc w:val="center"/>
              <w:rPr>
                <w:b/>
                <w:sz w:val="20"/>
                <w:szCs w:val="20"/>
                <w:lang w:val="en-US"/>
              </w:rPr>
            </w:pPr>
            <w:r w:rsidRPr="00A61503">
              <w:rPr>
                <w:b/>
                <w:sz w:val="20"/>
                <w:szCs w:val="20"/>
                <w:lang w:val="en-US"/>
              </w:rPr>
              <w:t>2-Nitrobiphenyl</w:t>
            </w:r>
          </w:p>
        </w:tc>
        <w:tc>
          <w:tcPr>
            <w:tcW w:w="9657" w:type="dxa"/>
            <w:gridSpan w:val="28"/>
            <w:tcBorders>
              <w:bottom w:val="nil"/>
            </w:tcBorders>
            <w:vAlign w:val="center"/>
          </w:tcPr>
          <w:p w14:paraId="7AB6CAE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5194356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2338ADC" w14:textId="77777777" w:rsidTr="00E664F4">
        <w:trPr>
          <w:trHeight w:val="261"/>
          <w:jc w:val="center"/>
        </w:trPr>
        <w:tc>
          <w:tcPr>
            <w:tcW w:w="2266" w:type="dxa"/>
            <w:tcBorders>
              <w:top w:val="nil"/>
              <w:bottom w:val="single" w:sz="4" w:space="0" w:color="auto"/>
            </w:tcBorders>
            <w:vAlign w:val="center"/>
          </w:tcPr>
          <w:p w14:paraId="4AE5E4B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085231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EA1046C"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42CB86" w14:textId="77777777" w:rsidTr="00984C55">
        <w:trPr>
          <w:trHeight w:val="261"/>
          <w:jc w:val="center"/>
        </w:trPr>
        <w:tc>
          <w:tcPr>
            <w:tcW w:w="2266" w:type="dxa"/>
            <w:tcBorders>
              <w:bottom w:val="nil"/>
            </w:tcBorders>
            <w:vAlign w:val="center"/>
          </w:tcPr>
          <w:p w14:paraId="4E62FBC7" w14:textId="77777777" w:rsidR="009C67C5" w:rsidRPr="00A61503" w:rsidRDefault="009C67C5" w:rsidP="001D35D7">
            <w:pPr>
              <w:jc w:val="center"/>
              <w:rPr>
                <w:b/>
                <w:sz w:val="20"/>
                <w:szCs w:val="20"/>
                <w:lang w:val="en-US"/>
              </w:rPr>
            </w:pPr>
            <w:r w:rsidRPr="00A61503">
              <w:rPr>
                <w:b/>
                <w:sz w:val="20"/>
                <w:szCs w:val="20"/>
                <w:lang w:val="en-US"/>
              </w:rPr>
              <w:t>Phenanthrene</w:t>
            </w:r>
          </w:p>
        </w:tc>
        <w:tc>
          <w:tcPr>
            <w:tcW w:w="1131" w:type="dxa"/>
            <w:tcBorders>
              <w:bottom w:val="nil"/>
            </w:tcBorders>
            <w:vAlign w:val="center"/>
          </w:tcPr>
          <w:p w14:paraId="4661E3A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4682A48"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B2ADC1B" w14:textId="77777777" w:rsidR="009C67C5" w:rsidRPr="00A358DB" w:rsidRDefault="009C67C5" w:rsidP="001D35D7">
            <w:pPr>
              <w:jc w:val="center"/>
              <w:rPr>
                <w:sz w:val="20"/>
                <w:szCs w:val="20"/>
                <w:lang w:val="en-US"/>
              </w:rPr>
            </w:pPr>
            <w:r>
              <w:rPr>
                <w:sz w:val="20"/>
                <w:szCs w:val="20"/>
                <w:lang w:val="en-US"/>
              </w:rPr>
              <w:t>0.301</w:t>
            </w:r>
          </w:p>
        </w:tc>
        <w:tc>
          <w:tcPr>
            <w:tcW w:w="985" w:type="dxa"/>
            <w:tcBorders>
              <w:bottom w:val="nil"/>
            </w:tcBorders>
            <w:vAlign w:val="center"/>
          </w:tcPr>
          <w:p w14:paraId="564ACA61"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7CD5147B" w14:textId="77777777" w:rsidTr="00984C55">
        <w:trPr>
          <w:trHeight w:val="261"/>
          <w:jc w:val="center"/>
        </w:trPr>
        <w:tc>
          <w:tcPr>
            <w:tcW w:w="2266" w:type="dxa"/>
            <w:tcBorders>
              <w:top w:val="nil"/>
              <w:bottom w:val="single" w:sz="4" w:space="0" w:color="auto"/>
            </w:tcBorders>
            <w:vAlign w:val="center"/>
          </w:tcPr>
          <w:p w14:paraId="338696D1"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D54A02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4291A66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8AA99C2"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73D99279"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F3F7197" w14:textId="77777777" w:rsidTr="00984C55">
        <w:trPr>
          <w:trHeight w:val="261"/>
          <w:jc w:val="center"/>
        </w:trPr>
        <w:tc>
          <w:tcPr>
            <w:tcW w:w="2266" w:type="dxa"/>
            <w:tcBorders>
              <w:bottom w:val="nil"/>
            </w:tcBorders>
            <w:vAlign w:val="center"/>
          </w:tcPr>
          <w:p w14:paraId="157F9B83" w14:textId="77777777" w:rsidR="009C67C5" w:rsidRPr="00A61503" w:rsidRDefault="009C67C5" w:rsidP="001D35D7">
            <w:pPr>
              <w:jc w:val="center"/>
              <w:rPr>
                <w:b/>
                <w:sz w:val="20"/>
                <w:szCs w:val="20"/>
                <w:lang w:val="en-US"/>
              </w:rPr>
            </w:pPr>
            <w:r w:rsidRPr="00A61503">
              <w:rPr>
                <w:b/>
                <w:sz w:val="20"/>
                <w:szCs w:val="52"/>
                <w:lang w:val="en-US"/>
              </w:rPr>
              <w:t>Anthracene</w:t>
            </w:r>
          </w:p>
        </w:tc>
        <w:tc>
          <w:tcPr>
            <w:tcW w:w="1131" w:type="dxa"/>
            <w:tcBorders>
              <w:bottom w:val="nil"/>
            </w:tcBorders>
            <w:vAlign w:val="center"/>
          </w:tcPr>
          <w:p w14:paraId="5B7DA88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7EB86A1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3CABCAA" w14:textId="77777777" w:rsidR="009C67C5" w:rsidRPr="00A358DB" w:rsidRDefault="009C67C5" w:rsidP="001D35D7">
            <w:pPr>
              <w:jc w:val="center"/>
              <w:rPr>
                <w:sz w:val="20"/>
                <w:szCs w:val="20"/>
                <w:lang w:val="en-US"/>
              </w:rPr>
            </w:pPr>
            <w:r>
              <w:rPr>
                <w:sz w:val="20"/>
                <w:szCs w:val="20"/>
                <w:lang w:val="en-US"/>
              </w:rPr>
              <w:t>0.202</w:t>
            </w:r>
          </w:p>
        </w:tc>
        <w:tc>
          <w:tcPr>
            <w:tcW w:w="985" w:type="dxa"/>
            <w:tcBorders>
              <w:bottom w:val="nil"/>
            </w:tcBorders>
            <w:vAlign w:val="center"/>
          </w:tcPr>
          <w:p w14:paraId="13B4842D"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32184D9A" w14:textId="77777777" w:rsidTr="00984C55">
        <w:trPr>
          <w:trHeight w:val="261"/>
          <w:jc w:val="center"/>
        </w:trPr>
        <w:tc>
          <w:tcPr>
            <w:tcW w:w="2266" w:type="dxa"/>
            <w:tcBorders>
              <w:top w:val="nil"/>
              <w:bottom w:val="single" w:sz="4" w:space="0" w:color="auto"/>
            </w:tcBorders>
            <w:vAlign w:val="center"/>
          </w:tcPr>
          <w:p w14:paraId="0FF56D0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55643760"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0AD408F"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19269E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8F535A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DBE862" w14:textId="77777777" w:rsidTr="00E664F4">
        <w:trPr>
          <w:trHeight w:val="261"/>
          <w:jc w:val="center"/>
        </w:trPr>
        <w:tc>
          <w:tcPr>
            <w:tcW w:w="2266" w:type="dxa"/>
            <w:tcBorders>
              <w:bottom w:val="nil"/>
            </w:tcBorders>
            <w:vAlign w:val="center"/>
          </w:tcPr>
          <w:p w14:paraId="6965EDC0" w14:textId="77777777" w:rsidR="009C67C5" w:rsidRPr="00A61503" w:rsidRDefault="009C67C5" w:rsidP="001D35D7">
            <w:pPr>
              <w:jc w:val="center"/>
              <w:rPr>
                <w:b/>
                <w:sz w:val="20"/>
                <w:szCs w:val="20"/>
                <w:lang w:val="en-US"/>
              </w:rPr>
            </w:pPr>
            <w:r w:rsidRPr="00A61503">
              <w:rPr>
                <w:b/>
                <w:sz w:val="20"/>
                <w:szCs w:val="52"/>
                <w:lang w:val="en-US"/>
              </w:rPr>
              <w:t>5-Nitroacenaphthene</w:t>
            </w:r>
          </w:p>
        </w:tc>
        <w:tc>
          <w:tcPr>
            <w:tcW w:w="9657" w:type="dxa"/>
            <w:gridSpan w:val="28"/>
            <w:tcBorders>
              <w:bottom w:val="nil"/>
            </w:tcBorders>
            <w:vAlign w:val="center"/>
          </w:tcPr>
          <w:p w14:paraId="065ED2AB"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7EC49D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F024505" w14:textId="77777777" w:rsidTr="00E664F4">
        <w:trPr>
          <w:trHeight w:val="261"/>
          <w:jc w:val="center"/>
        </w:trPr>
        <w:tc>
          <w:tcPr>
            <w:tcW w:w="2266" w:type="dxa"/>
            <w:tcBorders>
              <w:top w:val="nil"/>
              <w:bottom w:val="single" w:sz="4" w:space="0" w:color="auto"/>
            </w:tcBorders>
            <w:vAlign w:val="center"/>
          </w:tcPr>
          <w:p w14:paraId="2A6ED530"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8F56741"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79871A2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499A3AF" w14:textId="77777777" w:rsidTr="00984C55">
        <w:trPr>
          <w:trHeight w:val="261"/>
          <w:jc w:val="center"/>
        </w:trPr>
        <w:tc>
          <w:tcPr>
            <w:tcW w:w="2266" w:type="dxa"/>
            <w:tcBorders>
              <w:bottom w:val="nil"/>
            </w:tcBorders>
            <w:vAlign w:val="center"/>
          </w:tcPr>
          <w:p w14:paraId="251EB359" w14:textId="77777777" w:rsidR="009C67C5" w:rsidRPr="00A61503" w:rsidRDefault="009C67C5" w:rsidP="001D35D7">
            <w:pPr>
              <w:jc w:val="center"/>
              <w:rPr>
                <w:b/>
                <w:sz w:val="20"/>
                <w:szCs w:val="20"/>
                <w:lang w:val="en-US"/>
              </w:rPr>
            </w:pPr>
            <w:r w:rsidRPr="00A61503">
              <w:rPr>
                <w:b/>
                <w:sz w:val="20"/>
                <w:szCs w:val="52"/>
                <w:lang w:val="en-US"/>
              </w:rPr>
              <w:t>Fluoranthene</w:t>
            </w:r>
          </w:p>
        </w:tc>
        <w:tc>
          <w:tcPr>
            <w:tcW w:w="1131" w:type="dxa"/>
            <w:tcBorders>
              <w:bottom w:val="nil"/>
            </w:tcBorders>
            <w:vAlign w:val="center"/>
          </w:tcPr>
          <w:p w14:paraId="25D331B4"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2268E19"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C262868" w14:textId="77777777" w:rsidR="009C67C5" w:rsidRPr="00A358DB" w:rsidRDefault="009C67C5" w:rsidP="001D35D7">
            <w:pPr>
              <w:jc w:val="center"/>
              <w:rPr>
                <w:sz w:val="20"/>
                <w:szCs w:val="20"/>
                <w:lang w:val="en-US"/>
              </w:rPr>
            </w:pPr>
            <w:r>
              <w:rPr>
                <w:sz w:val="20"/>
                <w:szCs w:val="20"/>
                <w:lang w:val="en-US"/>
              </w:rPr>
              <w:t>0.282</w:t>
            </w:r>
          </w:p>
        </w:tc>
        <w:tc>
          <w:tcPr>
            <w:tcW w:w="985" w:type="dxa"/>
            <w:tcBorders>
              <w:bottom w:val="nil"/>
            </w:tcBorders>
            <w:vAlign w:val="center"/>
          </w:tcPr>
          <w:p w14:paraId="2EE8D0A9"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661F4E82" w14:textId="77777777" w:rsidTr="00984C55">
        <w:trPr>
          <w:trHeight w:val="261"/>
          <w:jc w:val="center"/>
        </w:trPr>
        <w:tc>
          <w:tcPr>
            <w:tcW w:w="2266" w:type="dxa"/>
            <w:tcBorders>
              <w:top w:val="nil"/>
              <w:bottom w:val="single" w:sz="4" w:space="0" w:color="auto"/>
            </w:tcBorders>
            <w:vAlign w:val="center"/>
          </w:tcPr>
          <w:p w14:paraId="05294493"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B386045"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5CD1F8A1"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E3C0FDA"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1391674" w14:textId="77777777" w:rsidR="009C67C5" w:rsidRPr="00A358DB" w:rsidRDefault="009C67C5" w:rsidP="001D35D7">
            <w:pPr>
              <w:jc w:val="center"/>
              <w:rPr>
                <w:sz w:val="20"/>
                <w:szCs w:val="20"/>
                <w:lang w:val="en-US"/>
              </w:rPr>
            </w:pPr>
            <w:r>
              <w:rPr>
                <w:sz w:val="20"/>
                <w:szCs w:val="20"/>
                <w:vertAlign w:val="superscript"/>
              </w:rPr>
              <w:t>b</w:t>
            </w:r>
          </w:p>
        </w:tc>
      </w:tr>
      <w:tr w:rsidR="008A0E75" w:rsidRPr="00A358DB" w14:paraId="3FB3DC84" w14:textId="77777777" w:rsidTr="00FF666D">
        <w:trPr>
          <w:trHeight w:val="261"/>
          <w:jc w:val="center"/>
        </w:trPr>
        <w:tc>
          <w:tcPr>
            <w:tcW w:w="2266" w:type="dxa"/>
            <w:tcBorders>
              <w:top w:val="single" w:sz="4" w:space="0" w:color="auto"/>
              <w:bottom w:val="nil"/>
              <w:right w:val="single" w:sz="4" w:space="0" w:color="auto"/>
            </w:tcBorders>
            <w:vAlign w:val="center"/>
          </w:tcPr>
          <w:p w14:paraId="672FE3D5" w14:textId="5F782ED5" w:rsidR="008A0E75" w:rsidRPr="00A61503" w:rsidRDefault="008A0E75" w:rsidP="008A0E75">
            <w:pPr>
              <w:jc w:val="center"/>
              <w:rPr>
                <w:i/>
                <w:iCs/>
                <w:sz w:val="20"/>
                <w:szCs w:val="52"/>
                <w:lang w:val="en-US"/>
              </w:rPr>
            </w:pPr>
            <w:r w:rsidRPr="00A61503">
              <w:rPr>
                <w:b/>
                <w:sz w:val="20"/>
                <w:szCs w:val="20"/>
                <w:lang w:val="en-US"/>
              </w:rPr>
              <w:t>2-Nitrofluorene</w:t>
            </w:r>
          </w:p>
        </w:tc>
        <w:tc>
          <w:tcPr>
            <w:tcW w:w="9657" w:type="dxa"/>
            <w:gridSpan w:val="28"/>
            <w:tcBorders>
              <w:top w:val="single" w:sz="4" w:space="0" w:color="auto"/>
              <w:left w:val="single" w:sz="4" w:space="0" w:color="auto"/>
              <w:bottom w:val="nil"/>
              <w:right w:val="single" w:sz="4" w:space="0" w:color="auto"/>
            </w:tcBorders>
            <w:vAlign w:val="center"/>
          </w:tcPr>
          <w:p w14:paraId="5DB28BE6" w14:textId="20A993CC" w:rsidR="008A0E75" w:rsidRDefault="008A0E75" w:rsidP="008A0E75">
            <w:pPr>
              <w:jc w:val="center"/>
              <w:rPr>
                <w:sz w:val="20"/>
                <w:szCs w:val="20"/>
                <w:lang w:val="en-US"/>
              </w:rPr>
            </w:pPr>
            <w:r w:rsidRPr="00A358DB">
              <w:rPr>
                <w:sz w:val="20"/>
                <w:szCs w:val="20"/>
                <w:lang w:val="en-US"/>
              </w:rPr>
              <w:t>1.000</w:t>
            </w:r>
          </w:p>
        </w:tc>
        <w:tc>
          <w:tcPr>
            <w:tcW w:w="2107" w:type="dxa"/>
            <w:gridSpan w:val="2"/>
            <w:tcBorders>
              <w:top w:val="single" w:sz="4" w:space="0" w:color="auto"/>
              <w:left w:val="single" w:sz="4" w:space="0" w:color="auto"/>
              <w:bottom w:val="nil"/>
            </w:tcBorders>
            <w:vAlign w:val="center"/>
          </w:tcPr>
          <w:p w14:paraId="1BAFBB5F" w14:textId="2497BA99" w:rsidR="008A0E75" w:rsidRDefault="008A0E75" w:rsidP="008A0E75">
            <w:pPr>
              <w:jc w:val="center"/>
              <w:rPr>
                <w:sz w:val="20"/>
                <w:szCs w:val="20"/>
                <w:vertAlign w:val="superscript"/>
              </w:rPr>
            </w:pPr>
            <w:r w:rsidRPr="00A358DB">
              <w:rPr>
                <w:sz w:val="20"/>
                <w:szCs w:val="20"/>
                <w:lang w:val="en-US"/>
              </w:rPr>
              <w:t>1.000</w:t>
            </w:r>
          </w:p>
        </w:tc>
      </w:tr>
      <w:tr w:rsidR="008A0E75" w:rsidRPr="00A358DB" w14:paraId="0DFE1D3B" w14:textId="77777777" w:rsidTr="00FF666D">
        <w:trPr>
          <w:trHeight w:val="261"/>
          <w:jc w:val="center"/>
        </w:trPr>
        <w:tc>
          <w:tcPr>
            <w:tcW w:w="2266" w:type="dxa"/>
            <w:tcBorders>
              <w:top w:val="nil"/>
              <w:bottom w:val="single" w:sz="4" w:space="0" w:color="auto"/>
            </w:tcBorders>
            <w:vAlign w:val="center"/>
          </w:tcPr>
          <w:p w14:paraId="215599DC" w14:textId="6BDE4FFA" w:rsidR="008A0E75" w:rsidRPr="00A61503" w:rsidRDefault="008A0E75" w:rsidP="008A0E75">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474ADA36" w14:textId="4AAF2633" w:rsidR="008A0E75" w:rsidRDefault="008A0E75" w:rsidP="008A0E75">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DB32E24" w14:textId="3C596073" w:rsidR="008A0E75" w:rsidRDefault="008A0E75" w:rsidP="008A0E75">
            <w:pPr>
              <w:jc w:val="center"/>
              <w:rPr>
                <w:sz w:val="20"/>
                <w:szCs w:val="20"/>
                <w:vertAlign w:val="superscript"/>
              </w:rPr>
            </w:pPr>
            <w:r>
              <w:rPr>
                <w:sz w:val="20"/>
                <w:szCs w:val="20"/>
                <w:vertAlign w:val="superscript"/>
              </w:rPr>
              <w:t>b</w:t>
            </w:r>
          </w:p>
        </w:tc>
      </w:tr>
      <w:tr w:rsidR="009C67C5" w:rsidRPr="00A358DB" w14:paraId="4FA44D0F" w14:textId="77777777" w:rsidTr="00E664F4">
        <w:trPr>
          <w:trHeight w:val="261"/>
          <w:jc w:val="center"/>
        </w:trPr>
        <w:tc>
          <w:tcPr>
            <w:tcW w:w="2266" w:type="dxa"/>
            <w:vMerge w:val="restart"/>
            <w:vAlign w:val="center"/>
          </w:tcPr>
          <w:p w14:paraId="5A13C06B"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bottom w:val="nil"/>
            </w:tcBorders>
            <w:vAlign w:val="center"/>
          </w:tcPr>
          <w:p w14:paraId="42C9B7FD"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4AB7900" w14:textId="77777777" w:rsidTr="00E664F4">
        <w:trPr>
          <w:trHeight w:val="261"/>
          <w:jc w:val="center"/>
        </w:trPr>
        <w:tc>
          <w:tcPr>
            <w:tcW w:w="2266" w:type="dxa"/>
            <w:vMerge/>
            <w:vAlign w:val="center"/>
          </w:tcPr>
          <w:p w14:paraId="6D2D24B8"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77E692BD"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63984C14"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5BAB3070" w14:textId="77777777" w:rsidTr="00984C55">
        <w:trPr>
          <w:trHeight w:val="261"/>
          <w:jc w:val="center"/>
        </w:trPr>
        <w:tc>
          <w:tcPr>
            <w:tcW w:w="2266" w:type="dxa"/>
            <w:vMerge/>
            <w:tcBorders>
              <w:bottom w:val="nil"/>
            </w:tcBorders>
            <w:vAlign w:val="center"/>
          </w:tcPr>
          <w:p w14:paraId="214DD7C2" w14:textId="77777777" w:rsidR="009C67C5" w:rsidRPr="00A61503" w:rsidRDefault="009C67C5" w:rsidP="001D35D7">
            <w:pPr>
              <w:jc w:val="center"/>
              <w:rPr>
                <w:b/>
                <w:sz w:val="20"/>
                <w:szCs w:val="20"/>
                <w:lang w:val="en-US"/>
              </w:rPr>
            </w:pPr>
          </w:p>
        </w:tc>
        <w:tc>
          <w:tcPr>
            <w:tcW w:w="1131" w:type="dxa"/>
            <w:tcBorders>
              <w:bottom w:val="nil"/>
            </w:tcBorders>
            <w:vAlign w:val="center"/>
          </w:tcPr>
          <w:p w14:paraId="425AF063"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5C4E7AC"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5DF885ED"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2236CA2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2AF56FEA"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24D33DA0"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nil"/>
            </w:tcBorders>
            <w:vAlign w:val="center"/>
          </w:tcPr>
          <w:p w14:paraId="56EFDFE4"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nil"/>
            </w:tcBorders>
            <w:vAlign w:val="center"/>
          </w:tcPr>
          <w:p w14:paraId="4B6D1395"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3295083B"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A6995C1"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5FA2CA2E"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33321FA"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1A8CF1CC" w14:textId="77777777" w:rsidTr="00984C55">
        <w:trPr>
          <w:trHeight w:val="261"/>
          <w:jc w:val="center"/>
        </w:trPr>
        <w:tc>
          <w:tcPr>
            <w:tcW w:w="2266" w:type="dxa"/>
            <w:tcBorders>
              <w:bottom w:val="nil"/>
            </w:tcBorders>
            <w:vAlign w:val="center"/>
          </w:tcPr>
          <w:p w14:paraId="3FD5762E" w14:textId="77777777" w:rsidR="009C67C5" w:rsidRPr="00A61503" w:rsidRDefault="009C67C5" w:rsidP="001D35D7">
            <w:pPr>
              <w:jc w:val="center"/>
              <w:rPr>
                <w:b/>
                <w:sz w:val="20"/>
                <w:szCs w:val="20"/>
                <w:lang w:val="en-US"/>
              </w:rPr>
            </w:pPr>
            <w:r w:rsidRPr="00A61503">
              <w:rPr>
                <w:b/>
                <w:sz w:val="20"/>
                <w:szCs w:val="52"/>
                <w:lang w:val="en-US"/>
              </w:rPr>
              <w:t>Pyrene</w:t>
            </w:r>
          </w:p>
        </w:tc>
        <w:tc>
          <w:tcPr>
            <w:tcW w:w="1131" w:type="dxa"/>
            <w:tcBorders>
              <w:bottom w:val="nil"/>
            </w:tcBorders>
            <w:vAlign w:val="center"/>
          </w:tcPr>
          <w:p w14:paraId="7B238BB0" w14:textId="77777777" w:rsidR="009C67C5" w:rsidRPr="00A358DB" w:rsidRDefault="009C67C5" w:rsidP="001D35D7">
            <w:pPr>
              <w:jc w:val="center"/>
              <w:rPr>
                <w:sz w:val="20"/>
                <w:szCs w:val="20"/>
                <w:lang w:val="en-US"/>
              </w:rPr>
            </w:pPr>
            <w:r>
              <w:rPr>
                <w:sz w:val="20"/>
                <w:szCs w:val="20"/>
                <w:lang w:val="en-US"/>
              </w:rPr>
              <w:t>0.180</w:t>
            </w:r>
          </w:p>
        </w:tc>
        <w:tc>
          <w:tcPr>
            <w:tcW w:w="1122" w:type="dxa"/>
            <w:tcBorders>
              <w:bottom w:val="nil"/>
            </w:tcBorders>
            <w:vAlign w:val="center"/>
          </w:tcPr>
          <w:p w14:paraId="1DB2DBF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7404" w:type="dxa"/>
            <w:gridSpan w:val="26"/>
            <w:tcBorders>
              <w:bottom w:val="nil"/>
            </w:tcBorders>
            <w:vAlign w:val="center"/>
          </w:tcPr>
          <w:p w14:paraId="71AE7F41" w14:textId="77777777" w:rsidR="009C67C5" w:rsidRPr="00A358DB" w:rsidRDefault="009C67C5" w:rsidP="001D35D7">
            <w:pPr>
              <w:jc w:val="center"/>
              <w:rPr>
                <w:sz w:val="20"/>
                <w:szCs w:val="20"/>
                <w:lang w:val="en-US"/>
              </w:rPr>
            </w:pPr>
            <w:r>
              <w:rPr>
                <w:sz w:val="20"/>
                <w:szCs w:val="20"/>
                <w:lang w:val="en-US"/>
              </w:rPr>
              <w:t xml:space="preserve">0.900 </w:t>
            </w:r>
            <w:r>
              <w:rPr>
                <w:sz w:val="20"/>
                <w:szCs w:val="20"/>
                <w:vertAlign w:val="superscript"/>
                <w:lang w:val="en-US"/>
              </w:rPr>
              <w:t>d</w:t>
            </w:r>
          </w:p>
        </w:tc>
        <w:tc>
          <w:tcPr>
            <w:tcW w:w="1122" w:type="dxa"/>
            <w:tcBorders>
              <w:bottom w:val="nil"/>
            </w:tcBorders>
            <w:vAlign w:val="center"/>
          </w:tcPr>
          <w:p w14:paraId="4E54D49A" w14:textId="77777777" w:rsidR="009C67C5" w:rsidRPr="00A358DB" w:rsidRDefault="009C67C5" w:rsidP="001D35D7">
            <w:pPr>
              <w:jc w:val="center"/>
              <w:rPr>
                <w:sz w:val="20"/>
                <w:szCs w:val="20"/>
                <w:lang w:val="en-US"/>
              </w:rPr>
            </w:pPr>
            <w:r>
              <w:rPr>
                <w:sz w:val="20"/>
                <w:szCs w:val="20"/>
                <w:lang w:val="en-US"/>
              </w:rPr>
              <w:t>0.276</w:t>
            </w:r>
          </w:p>
        </w:tc>
        <w:tc>
          <w:tcPr>
            <w:tcW w:w="985" w:type="dxa"/>
            <w:tcBorders>
              <w:bottom w:val="nil"/>
            </w:tcBorders>
            <w:vAlign w:val="center"/>
          </w:tcPr>
          <w:p w14:paraId="276CF8AE"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960D505" w14:textId="77777777" w:rsidTr="00984C55">
        <w:trPr>
          <w:trHeight w:val="261"/>
          <w:jc w:val="center"/>
        </w:trPr>
        <w:tc>
          <w:tcPr>
            <w:tcW w:w="2266" w:type="dxa"/>
            <w:tcBorders>
              <w:top w:val="nil"/>
              <w:bottom w:val="single" w:sz="4" w:space="0" w:color="auto"/>
            </w:tcBorders>
            <w:vAlign w:val="center"/>
          </w:tcPr>
          <w:p w14:paraId="2C24D6A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C4ACF2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1122" w:type="dxa"/>
            <w:tcBorders>
              <w:top w:val="nil"/>
              <w:bottom w:val="single" w:sz="4" w:space="0" w:color="auto"/>
            </w:tcBorders>
            <w:vAlign w:val="center"/>
          </w:tcPr>
          <w:p w14:paraId="7CFAF8BD" w14:textId="77777777" w:rsidR="009C67C5" w:rsidRPr="00A358DB" w:rsidRDefault="009C67C5" w:rsidP="001D35D7">
            <w:pPr>
              <w:jc w:val="center"/>
              <w:rPr>
                <w:sz w:val="20"/>
                <w:szCs w:val="20"/>
                <w:lang w:val="en-US"/>
              </w:rPr>
            </w:pPr>
            <w:r w:rsidRPr="00AF70E5">
              <w:rPr>
                <w:sz w:val="18"/>
                <w:szCs w:val="20"/>
                <w:lang w:val="en-US"/>
              </w:rPr>
              <w:t xml:space="preserve">U.S. EPA </w:t>
            </w:r>
            <w:r w:rsidRPr="00AF70E5">
              <w:rPr>
                <w:sz w:val="18"/>
                <w:szCs w:val="20"/>
                <w:lang w:val="en-US"/>
              </w:rPr>
              <w:fldChar w:fldCharType="begin" w:fldLock="1"/>
            </w:r>
            <w:r w:rsidRPr="00AF70E5">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AF70E5">
              <w:rPr>
                <w:sz w:val="18"/>
                <w:szCs w:val="20"/>
                <w:lang w:val="en-US"/>
              </w:rPr>
              <w:fldChar w:fldCharType="separate"/>
            </w:r>
            <w:r w:rsidRPr="00AF70E5">
              <w:rPr>
                <w:noProof/>
                <w:sz w:val="18"/>
                <w:szCs w:val="20"/>
                <w:lang w:val="en-US"/>
              </w:rPr>
              <w:t>(2004)</w:t>
            </w:r>
            <w:r w:rsidRPr="00AF70E5">
              <w:rPr>
                <w:sz w:val="18"/>
                <w:szCs w:val="20"/>
                <w:lang w:val="en-US"/>
              </w:rPr>
              <w:fldChar w:fldCharType="end"/>
            </w:r>
          </w:p>
        </w:tc>
        <w:tc>
          <w:tcPr>
            <w:tcW w:w="7404" w:type="dxa"/>
            <w:gridSpan w:val="26"/>
            <w:tcBorders>
              <w:top w:val="nil"/>
              <w:bottom w:val="single" w:sz="4" w:space="0" w:color="auto"/>
            </w:tcBorders>
            <w:vAlign w:val="center"/>
          </w:tcPr>
          <w:p w14:paraId="4325737B"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0ECC033D"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3A4EE9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B06A00" w14:textId="77777777" w:rsidTr="00E664F4">
        <w:trPr>
          <w:trHeight w:val="261"/>
          <w:jc w:val="center"/>
        </w:trPr>
        <w:tc>
          <w:tcPr>
            <w:tcW w:w="2266" w:type="dxa"/>
            <w:tcBorders>
              <w:top w:val="single" w:sz="4" w:space="0" w:color="auto"/>
              <w:bottom w:val="nil"/>
            </w:tcBorders>
            <w:vAlign w:val="center"/>
          </w:tcPr>
          <w:p w14:paraId="02D8D7F8" w14:textId="77777777" w:rsidR="009C67C5" w:rsidRPr="00A61503" w:rsidRDefault="009C67C5" w:rsidP="001D35D7">
            <w:pPr>
              <w:jc w:val="center"/>
              <w:rPr>
                <w:b/>
                <w:sz w:val="20"/>
                <w:szCs w:val="20"/>
                <w:lang w:val="en-US"/>
              </w:rPr>
            </w:pPr>
            <w:r w:rsidRPr="00232832">
              <w:rPr>
                <w:b/>
                <w:sz w:val="16"/>
                <w:szCs w:val="20"/>
                <w:lang w:val="en-US"/>
              </w:rPr>
              <w:t>9,10-Phenanthrenequinone</w:t>
            </w:r>
          </w:p>
        </w:tc>
        <w:tc>
          <w:tcPr>
            <w:tcW w:w="9657" w:type="dxa"/>
            <w:gridSpan w:val="28"/>
            <w:tcBorders>
              <w:top w:val="single" w:sz="4" w:space="0" w:color="auto"/>
              <w:bottom w:val="nil"/>
            </w:tcBorders>
            <w:vAlign w:val="center"/>
          </w:tcPr>
          <w:p w14:paraId="53E1EC9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1D3DDF6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89F1C12" w14:textId="77777777" w:rsidTr="00E664F4">
        <w:trPr>
          <w:trHeight w:val="261"/>
          <w:jc w:val="center"/>
        </w:trPr>
        <w:tc>
          <w:tcPr>
            <w:tcW w:w="2266" w:type="dxa"/>
            <w:tcBorders>
              <w:top w:val="nil"/>
              <w:bottom w:val="single" w:sz="4" w:space="0" w:color="auto"/>
            </w:tcBorders>
            <w:vAlign w:val="center"/>
          </w:tcPr>
          <w:p w14:paraId="2FDF7E4F" w14:textId="77777777" w:rsidR="009C67C5" w:rsidRPr="00232832" w:rsidRDefault="009C67C5" w:rsidP="001D35D7">
            <w:pPr>
              <w:jc w:val="center"/>
              <w:rPr>
                <w:b/>
                <w:sz w:val="16"/>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FD5D4A"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1F0A963"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FF929D8" w14:textId="77777777" w:rsidTr="00984C55">
        <w:trPr>
          <w:trHeight w:val="276"/>
          <w:jc w:val="center"/>
        </w:trPr>
        <w:tc>
          <w:tcPr>
            <w:tcW w:w="2266" w:type="dxa"/>
            <w:tcBorders>
              <w:bottom w:val="nil"/>
            </w:tcBorders>
            <w:vAlign w:val="center"/>
          </w:tcPr>
          <w:p w14:paraId="0B04C7F7" w14:textId="77777777" w:rsidR="009C67C5" w:rsidRPr="00A61503" w:rsidRDefault="009C67C5" w:rsidP="001D35D7">
            <w:pPr>
              <w:jc w:val="center"/>
              <w:rPr>
                <w:b/>
                <w:sz w:val="20"/>
                <w:szCs w:val="20"/>
                <w:lang w:val="en-US"/>
              </w:rPr>
            </w:pPr>
            <w:proofErr w:type="spellStart"/>
            <w:r w:rsidRPr="00A61503">
              <w:rPr>
                <w:b/>
                <w:sz w:val="20"/>
                <w:szCs w:val="20"/>
                <w:lang w:val="en-US"/>
              </w:rPr>
              <w:t>Retene</w:t>
            </w:r>
            <w:proofErr w:type="spellEnd"/>
          </w:p>
        </w:tc>
        <w:tc>
          <w:tcPr>
            <w:tcW w:w="1131" w:type="dxa"/>
            <w:tcBorders>
              <w:bottom w:val="nil"/>
            </w:tcBorders>
            <w:vAlign w:val="center"/>
          </w:tcPr>
          <w:p w14:paraId="51781816"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740D72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5D8B318F"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C6DC97" w14:textId="77777777" w:rsidTr="00984C55">
        <w:trPr>
          <w:trHeight w:val="276"/>
          <w:jc w:val="center"/>
        </w:trPr>
        <w:tc>
          <w:tcPr>
            <w:tcW w:w="2266" w:type="dxa"/>
            <w:tcBorders>
              <w:top w:val="nil"/>
              <w:bottom w:val="single" w:sz="4" w:space="0" w:color="auto"/>
            </w:tcBorders>
            <w:vAlign w:val="center"/>
          </w:tcPr>
          <w:p w14:paraId="54C716B7"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4BF3CC0" w14:textId="77777777" w:rsidR="009C67C5"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78A7C85"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46D7F46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ED1FCE" w14:textId="77777777" w:rsidTr="00E664F4">
        <w:trPr>
          <w:trHeight w:val="261"/>
          <w:jc w:val="center"/>
        </w:trPr>
        <w:tc>
          <w:tcPr>
            <w:tcW w:w="2266" w:type="dxa"/>
            <w:tcBorders>
              <w:bottom w:val="nil"/>
            </w:tcBorders>
            <w:vAlign w:val="center"/>
          </w:tcPr>
          <w:p w14:paraId="19098545" w14:textId="77777777" w:rsidR="009C67C5" w:rsidRPr="00A61503" w:rsidRDefault="009C67C5" w:rsidP="001D35D7">
            <w:pPr>
              <w:jc w:val="center"/>
              <w:rPr>
                <w:b/>
                <w:sz w:val="20"/>
                <w:szCs w:val="20"/>
                <w:lang w:val="en-US"/>
              </w:rPr>
            </w:pPr>
            <w:r w:rsidRPr="00A61503">
              <w:rPr>
                <w:b/>
                <w:sz w:val="20"/>
                <w:szCs w:val="20"/>
                <w:lang w:val="en-US"/>
              </w:rPr>
              <w:t>9-Nitrophenanthrene</w:t>
            </w:r>
          </w:p>
        </w:tc>
        <w:tc>
          <w:tcPr>
            <w:tcW w:w="9657" w:type="dxa"/>
            <w:gridSpan w:val="28"/>
            <w:tcBorders>
              <w:bottom w:val="nil"/>
            </w:tcBorders>
            <w:vAlign w:val="center"/>
          </w:tcPr>
          <w:p w14:paraId="1D4A579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480E5C06"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A6220A2" w14:textId="77777777" w:rsidTr="00E664F4">
        <w:trPr>
          <w:trHeight w:val="261"/>
          <w:jc w:val="center"/>
        </w:trPr>
        <w:tc>
          <w:tcPr>
            <w:tcW w:w="2266" w:type="dxa"/>
            <w:tcBorders>
              <w:top w:val="nil"/>
              <w:bottom w:val="single" w:sz="4" w:space="0" w:color="auto"/>
            </w:tcBorders>
            <w:vAlign w:val="center"/>
          </w:tcPr>
          <w:p w14:paraId="48EA029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471619F"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1CBAEEA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EE5A87" w14:textId="77777777" w:rsidTr="00E664F4">
        <w:trPr>
          <w:trHeight w:val="261"/>
          <w:jc w:val="center"/>
        </w:trPr>
        <w:tc>
          <w:tcPr>
            <w:tcW w:w="2266" w:type="dxa"/>
            <w:tcBorders>
              <w:bottom w:val="nil"/>
            </w:tcBorders>
            <w:vAlign w:val="center"/>
          </w:tcPr>
          <w:p w14:paraId="318AC7E3" w14:textId="77777777" w:rsidR="009C67C5" w:rsidRPr="00A61503" w:rsidRDefault="009C67C5" w:rsidP="001D35D7">
            <w:pPr>
              <w:jc w:val="center"/>
              <w:rPr>
                <w:b/>
                <w:sz w:val="20"/>
                <w:szCs w:val="20"/>
                <w:lang w:val="en-US"/>
              </w:rPr>
            </w:pPr>
            <w:r w:rsidRPr="00A61503">
              <w:rPr>
                <w:b/>
                <w:sz w:val="20"/>
                <w:szCs w:val="20"/>
                <w:lang w:val="en-US"/>
              </w:rPr>
              <w:t>9-Nitroantracene</w:t>
            </w:r>
          </w:p>
        </w:tc>
        <w:tc>
          <w:tcPr>
            <w:tcW w:w="9657" w:type="dxa"/>
            <w:gridSpan w:val="28"/>
            <w:tcBorders>
              <w:bottom w:val="nil"/>
            </w:tcBorders>
            <w:vAlign w:val="center"/>
          </w:tcPr>
          <w:p w14:paraId="34230B8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F7F3A5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329738C" w14:textId="77777777" w:rsidTr="00E664F4">
        <w:trPr>
          <w:trHeight w:val="261"/>
          <w:jc w:val="center"/>
        </w:trPr>
        <w:tc>
          <w:tcPr>
            <w:tcW w:w="2266" w:type="dxa"/>
            <w:tcBorders>
              <w:top w:val="nil"/>
              <w:bottom w:val="single" w:sz="4" w:space="0" w:color="auto"/>
            </w:tcBorders>
            <w:vAlign w:val="center"/>
          </w:tcPr>
          <w:p w14:paraId="691399A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FF96BE3"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EACB85D"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CF33E65" w14:textId="77777777" w:rsidTr="00E664F4">
        <w:trPr>
          <w:trHeight w:val="261"/>
          <w:jc w:val="center"/>
        </w:trPr>
        <w:tc>
          <w:tcPr>
            <w:tcW w:w="2266" w:type="dxa"/>
            <w:tcBorders>
              <w:bottom w:val="nil"/>
            </w:tcBorders>
            <w:vAlign w:val="center"/>
          </w:tcPr>
          <w:p w14:paraId="3842785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a</w:t>
            </w:r>
            <w:r w:rsidRPr="00A61503">
              <w:rPr>
                <w:b/>
                <w:sz w:val="20"/>
                <w:szCs w:val="20"/>
                <w:lang w:val="en-US"/>
              </w:rPr>
              <w:t>]fluorenone</w:t>
            </w:r>
          </w:p>
        </w:tc>
        <w:tc>
          <w:tcPr>
            <w:tcW w:w="9657" w:type="dxa"/>
            <w:gridSpan w:val="28"/>
            <w:tcBorders>
              <w:bottom w:val="nil"/>
            </w:tcBorders>
            <w:vAlign w:val="center"/>
          </w:tcPr>
          <w:p w14:paraId="690F30BD"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6CDB707"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50C5C63" w14:textId="77777777" w:rsidTr="00E664F4">
        <w:trPr>
          <w:trHeight w:val="261"/>
          <w:jc w:val="center"/>
        </w:trPr>
        <w:tc>
          <w:tcPr>
            <w:tcW w:w="2266" w:type="dxa"/>
            <w:tcBorders>
              <w:top w:val="nil"/>
              <w:bottom w:val="single" w:sz="4" w:space="0" w:color="auto"/>
            </w:tcBorders>
            <w:vAlign w:val="center"/>
          </w:tcPr>
          <w:p w14:paraId="3AAD5AAB"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77C31E2"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29263D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F6AE42B" w14:textId="77777777" w:rsidTr="00984C55">
        <w:trPr>
          <w:trHeight w:val="261"/>
          <w:jc w:val="center"/>
        </w:trPr>
        <w:tc>
          <w:tcPr>
            <w:tcW w:w="2266" w:type="dxa"/>
            <w:tcBorders>
              <w:bottom w:val="nil"/>
            </w:tcBorders>
            <w:vAlign w:val="center"/>
          </w:tcPr>
          <w:p w14:paraId="6641076C" w14:textId="77777777" w:rsidR="009C67C5" w:rsidRPr="00A61503" w:rsidRDefault="009C67C5" w:rsidP="001D35D7">
            <w:pPr>
              <w:jc w:val="center"/>
              <w:rPr>
                <w:b/>
                <w:sz w:val="20"/>
                <w:szCs w:val="20"/>
                <w:lang w:val="en-US"/>
              </w:rPr>
            </w:pPr>
            <w:r w:rsidRPr="00A61503">
              <w:rPr>
                <w:b/>
                <w:sz w:val="20"/>
                <w:szCs w:val="20"/>
                <w:lang w:val="en-US"/>
              </w:rPr>
              <w:t>Benz</w:t>
            </w:r>
            <w:r>
              <w:rPr>
                <w:b/>
                <w:sz w:val="20"/>
                <w:szCs w:val="20"/>
                <w:lang w:val="en-US"/>
              </w:rPr>
              <w:t>o</w:t>
            </w:r>
            <w:r w:rsidRPr="00A61503">
              <w:rPr>
                <w:b/>
                <w:sz w:val="20"/>
                <w:szCs w:val="20"/>
                <w:lang w:val="en-US"/>
              </w:rPr>
              <w:t>[</w:t>
            </w:r>
            <w:r w:rsidRPr="00A61503">
              <w:rPr>
                <w:b/>
                <w:i/>
                <w:sz w:val="20"/>
                <w:szCs w:val="20"/>
                <w:lang w:val="en-US"/>
              </w:rPr>
              <w:t>a</w:t>
            </w:r>
            <w:r w:rsidRPr="00A61503">
              <w:rPr>
                <w:b/>
                <w:sz w:val="20"/>
                <w:szCs w:val="20"/>
                <w:lang w:val="en-US"/>
              </w:rPr>
              <w:t>]anthracene</w:t>
            </w:r>
          </w:p>
        </w:tc>
        <w:tc>
          <w:tcPr>
            <w:tcW w:w="1131" w:type="dxa"/>
            <w:tcBorders>
              <w:bottom w:val="nil"/>
            </w:tcBorders>
            <w:vAlign w:val="center"/>
          </w:tcPr>
          <w:p w14:paraId="67C6A2A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A5BF55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4E07F79" w14:textId="77777777" w:rsidR="009C67C5" w:rsidRPr="00A358DB" w:rsidRDefault="009C67C5" w:rsidP="001D35D7">
            <w:pPr>
              <w:jc w:val="center"/>
              <w:rPr>
                <w:sz w:val="20"/>
                <w:szCs w:val="20"/>
                <w:lang w:val="en-US"/>
              </w:rPr>
            </w:pPr>
            <w:r>
              <w:rPr>
                <w:sz w:val="20"/>
                <w:szCs w:val="20"/>
                <w:lang w:val="en-US"/>
              </w:rPr>
              <w:t>0.055</w:t>
            </w:r>
          </w:p>
        </w:tc>
        <w:tc>
          <w:tcPr>
            <w:tcW w:w="985" w:type="dxa"/>
            <w:tcBorders>
              <w:bottom w:val="nil"/>
            </w:tcBorders>
            <w:vAlign w:val="center"/>
          </w:tcPr>
          <w:p w14:paraId="73870F82"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71BCB88" w14:textId="77777777" w:rsidTr="00984C55">
        <w:trPr>
          <w:trHeight w:val="261"/>
          <w:jc w:val="center"/>
        </w:trPr>
        <w:tc>
          <w:tcPr>
            <w:tcW w:w="2266" w:type="dxa"/>
            <w:tcBorders>
              <w:top w:val="nil"/>
              <w:bottom w:val="single" w:sz="4" w:space="0" w:color="auto"/>
            </w:tcBorders>
            <w:vAlign w:val="center"/>
          </w:tcPr>
          <w:p w14:paraId="62BFF58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93A0BF5"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42E9BBC0"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BD4976F"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5C2394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D58C588" w14:textId="77777777" w:rsidTr="00984C55">
        <w:trPr>
          <w:trHeight w:val="261"/>
          <w:jc w:val="center"/>
        </w:trPr>
        <w:tc>
          <w:tcPr>
            <w:tcW w:w="2266" w:type="dxa"/>
            <w:tcBorders>
              <w:bottom w:val="nil"/>
            </w:tcBorders>
            <w:vAlign w:val="center"/>
          </w:tcPr>
          <w:p w14:paraId="105BF47B" w14:textId="77777777" w:rsidR="009C67C5" w:rsidRPr="00A61503" w:rsidRDefault="009C67C5" w:rsidP="001D35D7">
            <w:pPr>
              <w:jc w:val="center"/>
              <w:rPr>
                <w:b/>
                <w:sz w:val="20"/>
                <w:szCs w:val="20"/>
                <w:lang w:val="en-US"/>
              </w:rPr>
            </w:pPr>
            <w:r w:rsidRPr="00A61503">
              <w:rPr>
                <w:b/>
                <w:sz w:val="20"/>
                <w:szCs w:val="20"/>
                <w:lang w:val="en-US"/>
              </w:rPr>
              <w:t>Chrysene</w:t>
            </w:r>
          </w:p>
        </w:tc>
        <w:tc>
          <w:tcPr>
            <w:tcW w:w="1131" w:type="dxa"/>
            <w:tcBorders>
              <w:bottom w:val="nil"/>
            </w:tcBorders>
            <w:vAlign w:val="center"/>
          </w:tcPr>
          <w:p w14:paraId="32BEBE85"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A9FB1C2"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B733738" w14:textId="77777777" w:rsidR="009C67C5" w:rsidRPr="00A358DB" w:rsidRDefault="009C67C5" w:rsidP="001D35D7">
            <w:pPr>
              <w:jc w:val="center"/>
              <w:rPr>
                <w:sz w:val="20"/>
                <w:szCs w:val="20"/>
                <w:lang w:val="en-US"/>
              </w:rPr>
            </w:pPr>
            <w:r>
              <w:rPr>
                <w:sz w:val="20"/>
                <w:szCs w:val="20"/>
                <w:lang w:val="en-US"/>
              </w:rPr>
              <w:t>0.110</w:t>
            </w:r>
          </w:p>
        </w:tc>
        <w:tc>
          <w:tcPr>
            <w:tcW w:w="985" w:type="dxa"/>
            <w:tcBorders>
              <w:bottom w:val="nil"/>
            </w:tcBorders>
            <w:vAlign w:val="center"/>
          </w:tcPr>
          <w:p w14:paraId="4E1A2DB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BDE0607" w14:textId="77777777" w:rsidTr="00984C55">
        <w:trPr>
          <w:trHeight w:val="261"/>
          <w:jc w:val="center"/>
        </w:trPr>
        <w:tc>
          <w:tcPr>
            <w:tcW w:w="2266" w:type="dxa"/>
            <w:tcBorders>
              <w:top w:val="nil"/>
              <w:bottom w:val="single" w:sz="4" w:space="0" w:color="auto"/>
            </w:tcBorders>
            <w:vAlign w:val="center"/>
          </w:tcPr>
          <w:p w14:paraId="319EDC82"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367E227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1FFE2F9D"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5756CD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4DCF63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432CA9B" w14:textId="77777777" w:rsidTr="00E664F4">
        <w:trPr>
          <w:trHeight w:val="261"/>
          <w:jc w:val="center"/>
        </w:trPr>
        <w:tc>
          <w:tcPr>
            <w:tcW w:w="2266" w:type="dxa"/>
            <w:tcBorders>
              <w:bottom w:val="nil"/>
            </w:tcBorders>
            <w:vAlign w:val="center"/>
          </w:tcPr>
          <w:p w14:paraId="2F9A0BEB" w14:textId="77777777" w:rsidR="009C67C5" w:rsidRPr="00A61503" w:rsidRDefault="009C67C5" w:rsidP="001D35D7">
            <w:pPr>
              <w:jc w:val="center"/>
              <w:rPr>
                <w:b/>
                <w:sz w:val="20"/>
                <w:szCs w:val="20"/>
                <w:lang w:val="en-US"/>
              </w:rPr>
            </w:pPr>
            <w:r w:rsidRPr="00A61503">
              <w:rPr>
                <w:b/>
                <w:sz w:val="20"/>
                <w:szCs w:val="20"/>
                <w:lang w:val="en-US"/>
              </w:rPr>
              <w:t>1-Nitropyrene</w:t>
            </w:r>
          </w:p>
        </w:tc>
        <w:tc>
          <w:tcPr>
            <w:tcW w:w="9657" w:type="dxa"/>
            <w:gridSpan w:val="28"/>
            <w:tcBorders>
              <w:bottom w:val="nil"/>
            </w:tcBorders>
            <w:vAlign w:val="center"/>
          </w:tcPr>
          <w:p w14:paraId="43C7F3E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8E42A2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EF5A302" w14:textId="77777777" w:rsidTr="00E664F4">
        <w:trPr>
          <w:trHeight w:val="261"/>
          <w:jc w:val="center"/>
        </w:trPr>
        <w:tc>
          <w:tcPr>
            <w:tcW w:w="2266" w:type="dxa"/>
            <w:tcBorders>
              <w:top w:val="nil"/>
              <w:bottom w:val="single" w:sz="4" w:space="0" w:color="auto"/>
            </w:tcBorders>
            <w:vAlign w:val="center"/>
          </w:tcPr>
          <w:p w14:paraId="7B93500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D71434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5D2FD47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AA3263" w14:textId="77777777" w:rsidTr="00984C55">
        <w:trPr>
          <w:trHeight w:val="261"/>
          <w:jc w:val="center"/>
        </w:trPr>
        <w:tc>
          <w:tcPr>
            <w:tcW w:w="2266" w:type="dxa"/>
            <w:tcBorders>
              <w:bottom w:val="nil"/>
            </w:tcBorders>
            <w:vAlign w:val="center"/>
          </w:tcPr>
          <w:p w14:paraId="007B40CC"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b</w:t>
            </w:r>
            <w:r w:rsidRPr="00A61503">
              <w:rPr>
                <w:b/>
                <w:sz w:val="20"/>
                <w:szCs w:val="20"/>
                <w:lang w:val="en-US"/>
              </w:rPr>
              <w:t>]fluoranthene</w:t>
            </w:r>
          </w:p>
        </w:tc>
        <w:tc>
          <w:tcPr>
            <w:tcW w:w="1131" w:type="dxa"/>
            <w:tcBorders>
              <w:bottom w:val="nil"/>
            </w:tcBorders>
            <w:vAlign w:val="center"/>
          </w:tcPr>
          <w:p w14:paraId="13718703"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5553AB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1BA1513"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4AC7378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360BAFF" w14:textId="77777777" w:rsidTr="00984C55">
        <w:trPr>
          <w:trHeight w:val="261"/>
          <w:jc w:val="center"/>
        </w:trPr>
        <w:tc>
          <w:tcPr>
            <w:tcW w:w="2266" w:type="dxa"/>
            <w:tcBorders>
              <w:top w:val="nil"/>
              <w:bottom w:val="single" w:sz="4" w:space="0" w:color="auto"/>
            </w:tcBorders>
            <w:vAlign w:val="center"/>
          </w:tcPr>
          <w:p w14:paraId="375BD72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95AEA08"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FD12B72"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7C7586"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FB58FF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63FDA2B" w14:textId="77777777" w:rsidTr="00984C55">
        <w:trPr>
          <w:trHeight w:val="261"/>
          <w:jc w:val="center"/>
        </w:trPr>
        <w:tc>
          <w:tcPr>
            <w:tcW w:w="2266" w:type="dxa"/>
            <w:tcBorders>
              <w:bottom w:val="nil"/>
            </w:tcBorders>
            <w:vAlign w:val="center"/>
          </w:tcPr>
          <w:p w14:paraId="30F267F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k</w:t>
            </w:r>
            <w:r w:rsidRPr="00A61503">
              <w:rPr>
                <w:b/>
                <w:sz w:val="20"/>
                <w:szCs w:val="20"/>
                <w:lang w:val="en-US"/>
              </w:rPr>
              <w:t>]fluoranthene</w:t>
            </w:r>
          </w:p>
        </w:tc>
        <w:tc>
          <w:tcPr>
            <w:tcW w:w="1131" w:type="dxa"/>
            <w:tcBorders>
              <w:bottom w:val="nil"/>
            </w:tcBorders>
            <w:vAlign w:val="center"/>
          </w:tcPr>
          <w:p w14:paraId="5E8AF8FE"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147F240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6C97099F"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7958FF1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DE32B69" w14:textId="77777777" w:rsidTr="00984C55">
        <w:trPr>
          <w:trHeight w:val="261"/>
          <w:jc w:val="center"/>
        </w:trPr>
        <w:tc>
          <w:tcPr>
            <w:tcW w:w="2266" w:type="dxa"/>
            <w:tcBorders>
              <w:top w:val="nil"/>
              <w:bottom w:val="single" w:sz="4" w:space="0" w:color="auto"/>
            </w:tcBorders>
            <w:vAlign w:val="center"/>
          </w:tcPr>
          <w:p w14:paraId="3AA18D58" w14:textId="77777777" w:rsidR="009C67C5" w:rsidRPr="004002FD" w:rsidRDefault="009C67C5" w:rsidP="001D35D7">
            <w:pPr>
              <w:jc w:val="center"/>
              <w:rPr>
                <w:b/>
                <w:sz w:val="20"/>
                <w:szCs w:val="20"/>
              </w:rPr>
            </w:pPr>
            <w:r w:rsidRPr="00A61503">
              <w:rPr>
                <w:i/>
                <w:iCs/>
                <w:sz w:val="20"/>
                <w:szCs w:val="52"/>
                <w:lang w:val="en-US"/>
              </w:rPr>
              <w:t>Reference</w:t>
            </w:r>
          </w:p>
        </w:tc>
        <w:tc>
          <w:tcPr>
            <w:tcW w:w="1131" w:type="dxa"/>
            <w:tcBorders>
              <w:top w:val="nil"/>
              <w:bottom w:val="single" w:sz="4" w:space="0" w:color="auto"/>
            </w:tcBorders>
            <w:vAlign w:val="center"/>
          </w:tcPr>
          <w:p w14:paraId="62B84E1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399DD5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50CD49E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E98904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21A767B" w14:textId="77777777" w:rsidTr="00984C55">
        <w:trPr>
          <w:trHeight w:val="261"/>
          <w:jc w:val="center"/>
        </w:trPr>
        <w:tc>
          <w:tcPr>
            <w:tcW w:w="2266" w:type="dxa"/>
            <w:tcBorders>
              <w:bottom w:val="nil"/>
            </w:tcBorders>
            <w:vAlign w:val="center"/>
          </w:tcPr>
          <w:p w14:paraId="3F0549AA"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e</w:t>
            </w:r>
            <w:r w:rsidRPr="00A61503">
              <w:rPr>
                <w:b/>
                <w:sz w:val="20"/>
                <w:szCs w:val="20"/>
                <w:lang w:val="en-US"/>
              </w:rPr>
              <w:t>]pyrene</w:t>
            </w:r>
          </w:p>
        </w:tc>
        <w:tc>
          <w:tcPr>
            <w:tcW w:w="1131" w:type="dxa"/>
            <w:tcBorders>
              <w:bottom w:val="nil"/>
            </w:tcBorders>
            <w:vAlign w:val="center"/>
          </w:tcPr>
          <w:p w14:paraId="48E7D59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0FA3C6E"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1AED066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BABFCF" w14:textId="77777777" w:rsidTr="00984C55">
        <w:trPr>
          <w:trHeight w:val="261"/>
          <w:jc w:val="center"/>
        </w:trPr>
        <w:tc>
          <w:tcPr>
            <w:tcW w:w="2266" w:type="dxa"/>
            <w:tcBorders>
              <w:top w:val="nil"/>
              <w:bottom w:val="single" w:sz="4" w:space="0" w:color="auto"/>
            </w:tcBorders>
            <w:vAlign w:val="center"/>
          </w:tcPr>
          <w:p w14:paraId="1C40175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CC9E8A"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1EAF73B"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2E1B3B32" w14:textId="77777777" w:rsidR="009C67C5" w:rsidRPr="00A358DB" w:rsidRDefault="009C67C5" w:rsidP="001D35D7">
            <w:pPr>
              <w:jc w:val="center"/>
              <w:rPr>
                <w:sz w:val="20"/>
                <w:szCs w:val="20"/>
                <w:lang w:val="en-US"/>
              </w:rPr>
            </w:pPr>
            <w:r>
              <w:rPr>
                <w:sz w:val="20"/>
                <w:szCs w:val="20"/>
                <w:vertAlign w:val="superscript"/>
              </w:rPr>
              <w:t>b</w:t>
            </w:r>
          </w:p>
        </w:tc>
      </w:tr>
      <w:tr w:rsidR="00124930" w:rsidRPr="00A358DB" w14:paraId="564D593A" w14:textId="77777777" w:rsidTr="00984C55">
        <w:trPr>
          <w:trHeight w:val="261"/>
          <w:jc w:val="center"/>
        </w:trPr>
        <w:tc>
          <w:tcPr>
            <w:tcW w:w="2266" w:type="dxa"/>
            <w:tcBorders>
              <w:top w:val="single" w:sz="4" w:space="0" w:color="auto"/>
              <w:bottom w:val="nil"/>
            </w:tcBorders>
            <w:vAlign w:val="center"/>
          </w:tcPr>
          <w:p w14:paraId="7AE3EF08" w14:textId="007A2410" w:rsidR="00124930" w:rsidRPr="00A61503" w:rsidRDefault="00124930" w:rsidP="00124930">
            <w:pPr>
              <w:jc w:val="center"/>
              <w:rPr>
                <w:i/>
                <w:iCs/>
                <w:sz w:val="20"/>
                <w:szCs w:val="52"/>
                <w:lang w:val="en-US"/>
              </w:rPr>
            </w:pPr>
            <w:r w:rsidRPr="00A61503">
              <w:rPr>
                <w:b/>
                <w:sz w:val="20"/>
                <w:szCs w:val="20"/>
                <w:lang w:val="en-US"/>
              </w:rPr>
              <w:t>Benzo[</w:t>
            </w:r>
            <w:r w:rsidRPr="00A61503">
              <w:rPr>
                <w:b/>
                <w:i/>
                <w:sz w:val="20"/>
                <w:szCs w:val="20"/>
                <w:lang w:val="en-US"/>
              </w:rPr>
              <w:t>a</w:t>
            </w:r>
            <w:r w:rsidRPr="00A61503">
              <w:rPr>
                <w:b/>
                <w:sz w:val="20"/>
                <w:szCs w:val="20"/>
                <w:lang w:val="en-US"/>
              </w:rPr>
              <w:t>]pyrene</w:t>
            </w:r>
          </w:p>
        </w:tc>
        <w:tc>
          <w:tcPr>
            <w:tcW w:w="1131" w:type="dxa"/>
            <w:tcBorders>
              <w:top w:val="single" w:sz="4" w:space="0" w:color="auto"/>
              <w:bottom w:val="nil"/>
            </w:tcBorders>
            <w:vAlign w:val="center"/>
          </w:tcPr>
          <w:p w14:paraId="1555F88D" w14:textId="68C63707" w:rsidR="00124930" w:rsidRPr="00AF70E5" w:rsidRDefault="00124930" w:rsidP="00124930">
            <w:pPr>
              <w:jc w:val="center"/>
              <w:rPr>
                <w:sz w:val="18"/>
                <w:lang w:val="en-US"/>
              </w:rPr>
            </w:pPr>
            <w:r>
              <w:rPr>
                <w:sz w:val="20"/>
                <w:szCs w:val="20"/>
                <w:lang w:val="en-US"/>
              </w:rPr>
              <w:t>0.910</w:t>
            </w:r>
          </w:p>
        </w:tc>
        <w:tc>
          <w:tcPr>
            <w:tcW w:w="8526" w:type="dxa"/>
            <w:gridSpan w:val="27"/>
            <w:tcBorders>
              <w:top w:val="single" w:sz="4" w:space="0" w:color="auto"/>
              <w:bottom w:val="nil"/>
            </w:tcBorders>
            <w:vAlign w:val="center"/>
          </w:tcPr>
          <w:p w14:paraId="1E2CE967" w14:textId="1739F0BF" w:rsidR="00124930" w:rsidRDefault="00124930" w:rsidP="00124930">
            <w:pPr>
              <w:jc w:val="center"/>
              <w:rPr>
                <w:sz w:val="20"/>
                <w:szCs w:val="20"/>
                <w:lang w:val="en-US"/>
              </w:rPr>
            </w:pPr>
            <w:r>
              <w:rPr>
                <w:sz w:val="20"/>
                <w:szCs w:val="20"/>
                <w:lang w:val="en-US"/>
              </w:rPr>
              <w:t xml:space="preserve">0.988 </w:t>
            </w:r>
            <w:r>
              <w:rPr>
                <w:sz w:val="20"/>
                <w:szCs w:val="20"/>
                <w:vertAlign w:val="superscript"/>
                <w:lang w:val="en-US"/>
              </w:rPr>
              <w:t>c</w:t>
            </w:r>
          </w:p>
        </w:tc>
        <w:tc>
          <w:tcPr>
            <w:tcW w:w="1122" w:type="dxa"/>
            <w:tcBorders>
              <w:top w:val="single" w:sz="4" w:space="0" w:color="auto"/>
              <w:bottom w:val="nil"/>
            </w:tcBorders>
            <w:vAlign w:val="center"/>
          </w:tcPr>
          <w:p w14:paraId="4EFD4A2C" w14:textId="24D58F3A" w:rsidR="00124930" w:rsidRDefault="00124930" w:rsidP="00124930">
            <w:pPr>
              <w:jc w:val="center"/>
              <w:rPr>
                <w:sz w:val="20"/>
                <w:szCs w:val="20"/>
                <w:vertAlign w:val="superscript"/>
              </w:rPr>
            </w:pPr>
            <w:r>
              <w:rPr>
                <w:sz w:val="20"/>
                <w:szCs w:val="20"/>
                <w:lang w:val="en-US"/>
              </w:rPr>
              <w:t>0.061</w:t>
            </w:r>
          </w:p>
        </w:tc>
        <w:tc>
          <w:tcPr>
            <w:tcW w:w="985" w:type="dxa"/>
            <w:tcBorders>
              <w:top w:val="single" w:sz="4" w:space="0" w:color="auto"/>
              <w:bottom w:val="nil"/>
            </w:tcBorders>
            <w:vAlign w:val="center"/>
          </w:tcPr>
          <w:p w14:paraId="3C02E664" w14:textId="2FE4749F" w:rsidR="00124930" w:rsidRDefault="00124930" w:rsidP="00124930">
            <w:pPr>
              <w:jc w:val="center"/>
              <w:rPr>
                <w:sz w:val="20"/>
                <w:szCs w:val="20"/>
                <w:vertAlign w:val="superscript"/>
              </w:rPr>
            </w:pPr>
            <w:r w:rsidRPr="00A358DB">
              <w:rPr>
                <w:sz w:val="20"/>
                <w:szCs w:val="20"/>
                <w:lang w:val="en-US"/>
              </w:rPr>
              <w:t>1.000</w:t>
            </w:r>
          </w:p>
        </w:tc>
      </w:tr>
      <w:tr w:rsidR="00124930" w:rsidRPr="00A358DB" w14:paraId="4E34E86B" w14:textId="77777777" w:rsidTr="00984C55">
        <w:trPr>
          <w:trHeight w:val="261"/>
          <w:jc w:val="center"/>
        </w:trPr>
        <w:tc>
          <w:tcPr>
            <w:tcW w:w="2266" w:type="dxa"/>
            <w:tcBorders>
              <w:top w:val="nil"/>
              <w:bottom w:val="single" w:sz="4" w:space="0" w:color="auto"/>
            </w:tcBorders>
            <w:vAlign w:val="center"/>
          </w:tcPr>
          <w:p w14:paraId="3CBF865D" w14:textId="6A5AB55A" w:rsidR="00124930" w:rsidRPr="00A61503" w:rsidRDefault="00124930" w:rsidP="00124930">
            <w:pPr>
              <w:jc w:val="center"/>
              <w:rPr>
                <w:i/>
                <w:iCs/>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A927A19" w14:textId="34EC2360" w:rsidR="00124930" w:rsidRPr="00AF70E5" w:rsidRDefault="00124930" w:rsidP="00124930">
            <w:pPr>
              <w:jc w:val="center"/>
              <w:rPr>
                <w:sz w:val="18"/>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062E289" w14:textId="6215E002" w:rsidR="00124930" w:rsidRDefault="00124930" w:rsidP="00124930">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2D7DCE55" w14:textId="7C3F8729" w:rsidR="00124930" w:rsidRDefault="00124930" w:rsidP="00124930">
            <w:pPr>
              <w:jc w:val="center"/>
              <w:rPr>
                <w:sz w:val="20"/>
                <w:szCs w:val="20"/>
                <w:vertAlign w:val="superscript"/>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C993FE3" w14:textId="2C313951" w:rsidR="00124930" w:rsidRDefault="00124930" w:rsidP="00124930">
            <w:pPr>
              <w:jc w:val="center"/>
              <w:rPr>
                <w:sz w:val="20"/>
                <w:szCs w:val="20"/>
                <w:vertAlign w:val="superscript"/>
              </w:rPr>
            </w:pPr>
            <w:r>
              <w:rPr>
                <w:sz w:val="20"/>
                <w:szCs w:val="20"/>
                <w:vertAlign w:val="superscript"/>
              </w:rPr>
              <w:t>b</w:t>
            </w:r>
          </w:p>
        </w:tc>
      </w:tr>
      <w:tr w:rsidR="00124930" w:rsidRPr="00A358DB" w14:paraId="1CC63025" w14:textId="77777777" w:rsidTr="00D877B6">
        <w:trPr>
          <w:trHeight w:val="261"/>
          <w:jc w:val="center"/>
        </w:trPr>
        <w:tc>
          <w:tcPr>
            <w:tcW w:w="2266" w:type="dxa"/>
            <w:tcBorders>
              <w:top w:val="single" w:sz="4" w:space="0" w:color="auto"/>
              <w:bottom w:val="nil"/>
            </w:tcBorders>
            <w:vAlign w:val="center"/>
          </w:tcPr>
          <w:p w14:paraId="63085205" w14:textId="179E400F" w:rsidR="00124930" w:rsidRPr="00A61503" w:rsidRDefault="00124930" w:rsidP="00124930">
            <w:pPr>
              <w:jc w:val="center"/>
              <w:rPr>
                <w:i/>
                <w:iCs/>
                <w:sz w:val="20"/>
                <w:szCs w:val="52"/>
                <w:lang w:val="en-US"/>
              </w:rPr>
            </w:pPr>
            <w:r w:rsidRPr="00232832">
              <w:rPr>
                <w:b/>
                <w:sz w:val="18"/>
                <w:szCs w:val="20"/>
                <w:lang w:val="en-US"/>
              </w:rPr>
              <w:t>6H-Benzo[</w:t>
            </w:r>
            <w:r w:rsidRPr="00232832">
              <w:rPr>
                <w:b/>
                <w:i/>
                <w:iCs/>
                <w:sz w:val="18"/>
                <w:szCs w:val="20"/>
                <w:lang w:val="en-US"/>
              </w:rPr>
              <w:t>cd</w:t>
            </w:r>
            <w:r w:rsidRPr="00232832">
              <w:rPr>
                <w:b/>
                <w:sz w:val="18"/>
                <w:szCs w:val="20"/>
                <w:lang w:val="en-US"/>
              </w:rPr>
              <w:t>]pyren-6-one</w:t>
            </w:r>
          </w:p>
        </w:tc>
        <w:tc>
          <w:tcPr>
            <w:tcW w:w="9657" w:type="dxa"/>
            <w:gridSpan w:val="28"/>
            <w:tcBorders>
              <w:top w:val="single" w:sz="4" w:space="0" w:color="auto"/>
              <w:bottom w:val="nil"/>
            </w:tcBorders>
            <w:vAlign w:val="center"/>
          </w:tcPr>
          <w:p w14:paraId="0C7980AF" w14:textId="2D0C35D9" w:rsidR="00124930" w:rsidRPr="00EF46C9" w:rsidRDefault="00124930" w:rsidP="00124930">
            <w:pPr>
              <w:jc w:val="center"/>
              <w:rPr>
                <w:sz w:val="20"/>
                <w:szCs w:val="22"/>
                <w:lang w:val="en-US"/>
              </w:rPr>
            </w:pPr>
            <w:r>
              <w:rPr>
                <w:sz w:val="20"/>
                <w:szCs w:val="20"/>
                <w:lang w:val="en-US"/>
              </w:rPr>
              <w:t>1.000</w:t>
            </w:r>
          </w:p>
        </w:tc>
        <w:tc>
          <w:tcPr>
            <w:tcW w:w="2107" w:type="dxa"/>
            <w:gridSpan w:val="2"/>
            <w:tcBorders>
              <w:top w:val="single" w:sz="4" w:space="0" w:color="auto"/>
              <w:bottom w:val="nil"/>
            </w:tcBorders>
            <w:vAlign w:val="center"/>
          </w:tcPr>
          <w:p w14:paraId="3DF5E104" w14:textId="487A9ABA" w:rsidR="00124930" w:rsidRDefault="00124930" w:rsidP="00124930">
            <w:pPr>
              <w:jc w:val="center"/>
              <w:rPr>
                <w:sz w:val="20"/>
                <w:szCs w:val="20"/>
                <w:vertAlign w:val="superscript"/>
              </w:rPr>
            </w:pPr>
            <w:r w:rsidRPr="00A358DB">
              <w:rPr>
                <w:sz w:val="20"/>
                <w:szCs w:val="20"/>
                <w:lang w:val="en-US"/>
              </w:rPr>
              <w:t>1.000</w:t>
            </w:r>
          </w:p>
        </w:tc>
      </w:tr>
      <w:tr w:rsidR="00124930" w:rsidRPr="00A358DB" w14:paraId="2C054623" w14:textId="77777777" w:rsidTr="00DC14EC">
        <w:trPr>
          <w:trHeight w:val="261"/>
          <w:jc w:val="center"/>
        </w:trPr>
        <w:tc>
          <w:tcPr>
            <w:tcW w:w="2266" w:type="dxa"/>
            <w:tcBorders>
              <w:top w:val="nil"/>
              <w:bottom w:val="single" w:sz="4" w:space="0" w:color="auto"/>
            </w:tcBorders>
            <w:vAlign w:val="center"/>
          </w:tcPr>
          <w:p w14:paraId="6A847F76" w14:textId="228EA3B2" w:rsidR="00124930" w:rsidRPr="00A61503" w:rsidRDefault="00124930" w:rsidP="00124930">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362DE2E7" w14:textId="552A9A23" w:rsidR="00124930" w:rsidRPr="00EF46C9" w:rsidRDefault="00124930" w:rsidP="00124930">
            <w:pPr>
              <w:jc w:val="center"/>
              <w:rPr>
                <w:sz w:val="20"/>
                <w:szCs w:val="22"/>
                <w:lang w:val="en-US"/>
              </w:rPr>
            </w:pPr>
            <w:r>
              <w:rPr>
                <w:sz w:val="20"/>
                <w:szCs w:val="20"/>
                <w:vertAlign w:val="superscript"/>
              </w:rPr>
              <w:t>b</w:t>
            </w:r>
          </w:p>
        </w:tc>
        <w:tc>
          <w:tcPr>
            <w:tcW w:w="2107" w:type="dxa"/>
            <w:gridSpan w:val="2"/>
            <w:tcBorders>
              <w:top w:val="nil"/>
              <w:bottom w:val="single" w:sz="4" w:space="0" w:color="auto"/>
            </w:tcBorders>
            <w:vAlign w:val="center"/>
          </w:tcPr>
          <w:p w14:paraId="0FFB0541" w14:textId="5E680C93" w:rsidR="00124930" w:rsidRDefault="00124930" w:rsidP="00124930">
            <w:pPr>
              <w:jc w:val="center"/>
              <w:rPr>
                <w:sz w:val="20"/>
                <w:szCs w:val="20"/>
                <w:vertAlign w:val="superscript"/>
              </w:rPr>
            </w:pPr>
            <w:r>
              <w:rPr>
                <w:sz w:val="20"/>
                <w:szCs w:val="20"/>
                <w:vertAlign w:val="superscript"/>
              </w:rPr>
              <w:t>b</w:t>
            </w:r>
          </w:p>
        </w:tc>
      </w:tr>
      <w:tr w:rsidR="009C67C5" w:rsidRPr="00A358DB" w14:paraId="0C3FFE9D" w14:textId="77777777" w:rsidTr="00DC14EC">
        <w:trPr>
          <w:trHeight w:val="261"/>
          <w:jc w:val="center"/>
        </w:trPr>
        <w:tc>
          <w:tcPr>
            <w:tcW w:w="2266" w:type="dxa"/>
            <w:vMerge w:val="restart"/>
            <w:tcBorders>
              <w:top w:val="single" w:sz="4" w:space="0" w:color="auto"/>
              <w:right w:val="single" w:sz="4" w:space="0" w:color="auto"/>
            </w:tcBorders>
            <w:vAlign w:val="center"/>
          </w:tcPr>
          <w:p w14:paraId="732D6649"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left w:val="single" w:sz="4" w:space="0" w:color="auto"/>
              <w:bottom w:val="nil"/>
            </w:tcBorders>
            <w:vAlign w:val="center"/>
          </w:tcPr>
          <w:p w14:paraId="2FB9F6DB"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19AADFD7" w14:textId="77777777" w:rsidTr="003B392C">
        <w:trPr>
          <w:trHeight w:val="261"/>
          <w:jc w:val="center"/>
        </w:trPr>
        <w:tc>
          <w:tcPr>
            <w:tcW w:w="2266" w:type="dxa"/>
            <w:vMerge/>
            <w:vAlign w:val="center"/>
          </w:tcPr>
          <w:p w14:paraId="0E17725A" w14:textId="77777777" w:rsidR="009C67C5" w:rsidRPr="00A61503" w:rsidRDefault="009C67C5" w:rsidP="00BF301D">
            <w:pPr>
              <w:jc w:val="center"/>
              <w:rPr>
                <w:b/>
                <w:sz w:val="20"/>
                <w:szCs w:val="20"/>
                <w:lang w:val="en-US"/>
              </w:rPr>
            </w:pPr>
          </w:p>
        </w:tc>
        <w:tc>
          <w:tcPr>
            <w:tcW w:w="9657" w:type="dxa"/>
            <w:gridSpan w:val="28"/>
            <w:tcBorders>
              <w:top w:val="single" w:sz="4" w:space="0" w:color="auto"/>
              <w:bottom w:val="nil"/>
              <w:right w:val="single" w:sz="4" w:space="0" w:color="auto"/>
            </w:tcBorders>
            <w:vAlign w:val="center"/>
          </w:tcPr>
          <w:p w14:paraId="348AABB5"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top w:val="single" w:sz="4" w:space="0" w:color="auto"/>
              <w:left w:val="single" w:sz="4" w:space="0" w:color="auto"/>
              <w:bottom w:val="nil"/>
            </w:tcBorders>
            <w:vAlign w:val="center"/>
          </w:tcPr>
          <w:p w14:paraId="46E9FD65"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219349A2" w14:textId="77777777" w:rsidTr="00984C55">
        <w:trPr>
          <w:trHeight w:val="261"/>
          <w:jc w:val="center"/>
        </w:trPr>
        <w:tc>
          <w:tcPr>
            <w:tcW w:w="2266" w:type="dxa"/>
            <w:vMerge/>
            <w:tcBorders>
              <w:bottom w:val="nil"/>
            </w:tcBorders>
            <w:vAlign w:val="center"/>
          </w:tcPr>
          <w:p w14:paraId="4B59EDE8" w14:textId="77777777" w:rsidR="009C67C5" w:rsidRPr="00A61503" w:rsidRDefault="009C67C5" w:rsidP="001D35D7">
            <w:pPr>
              <w:jc w:val="center"/>
              <w:rPr>
                <w:b/>
                <w:sz w:val="20"/>
                <w:szCs w:val="20"/>
                <w:lang w:val="en-US"/>
              </w:rPr>
            </w:pPr>
          </w:p>
        </w:tc>
        <w:tc>
          <w:tcPr>
            <w:tcW w:w="1131" w:type="dxa"/>
            <w:tcBorders>
              <w:top w:val="single" w:sz="4" w:space="0" w:color="auto"/>
              <w:bottom w:val="nil"/>
            </w:tcBorders>
            <w:vAlign w:val="center"/>
          </w:tcPr>
          <w:p w14:paraId="5408BCF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top w:val="single" w:sz="4" w:space="0" w:color="auto"/>
              <w:bottom w:val="nil"/>
            </w:tcBorders>
            <w:vAlign w:val="center"/>
          </w:tcPr>
          <w:p w14:paraId="6E4627D8"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top w:val="single" w:sz="4" w:space="0" w:color="auto"/>
              <w:bottom w:val="nil"/>
            </w:tcBorders>
            <w:vAlign w:val="center"/>
          </w:tcPr>
          <w:p w14:paraId="14737AB0"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top w:val="single" w:sz="4" w:space="0" w:color="auto"/>
              <w:bottom w:val="nil"/>
            </w:tcBorders>
            <w:vAlign w:val="center"/>
          </w:tcPr>
          <w:p w14:paraId="2D367719"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top w:val="single" w:sz="4" w:space="0" w:color="auto"/>
              <w:bottom w:val="nil"/>
            </w:tcBorders>
            <w:vAlign w:val="center"/>
          </w:tcPr>
          <w:p w14:paraId="1D83C6A9"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top w:val="single" w:sz="4" w:space="0" w:color="auto"/>
              <w:bottom w:val="nil"/>
            </w:tcBorders>
            <w:vAlign w:val="center"/>
          </w:tcPr>
          <w:p w14:paraId="63690D4C"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top w:val="single" w:sz="4" w:space="0" w:color="auto"/>
              <w:bottom w:val="nil"/>
            </w:tcBorders>
            <w:vAlign w:val="center"/>
          </w:tcPr>
          <w:p w14:paraId="502FF686"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top w:val="single" w:sz="4" w:space="0" w:color="auto"/>
              <w:bottom w:val="nil"/>
            </w:tcBorders>
            <w:vAlign w:val="center"/>
          </w:tcPr>
          <w:p w14:paraId="5B114B52"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top w:val="single" w:sz="4" w:space="0" w:color="auto"/>
              <w:bottom w:val="nil"/>
            </w:tcBorders>
            <w:vAlign w:val="center"/>
          </w:tcPr>
          <w:p w14:paraId="41835E0F"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top w:val="single" w:sz="4" w:space="0" w:color="auto"/>
              <w:bottom w:val="nil"/>
            </w:tcBorders>
            <w:vAlign w:val="center"/>
          </w:tcPr>
          <w:p w14:paraId="67BC340C"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top w:val="single" w:sz="4" w:space="0" w:color="auto"/>
              <w:bottom w:val="nil"/>
            </w:tcBorders>
            <w:vAlign w:val="center"/>
          </w:tcPr>
          <w:p w14:paraId="3A259EF4"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top w:val="single" w:sz="4" w:space="0" w:color="auto"/>
              <w:bottom w:val="nil"/>
            </w:tcBorders>
            <w:vAlign w:val="center"/>
          </w:tcPr>
          <w:p w14:paraId="504FD460"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33EBFC5D" w14:textId="77777777" w:rsidTr="00984C55">
        <w:trPr>
          <w:trHeight w:val="261"/>
          <w:jc w:val="center"/>
        </w:trPr>
        <w:tc>
          <w:tcPr>
            <w:tcW w:w="2266" w:type="dxa"/>
            <w:tcBorders>
              <w:bottom w:val="nil"/>
            </w:tcBorders>
            <w:vAlign w:val="center"/>
          </w:tcPr>
          <w:p w14:paraId="5DF072B5" w14:textId="77777777" w:rsidR="009C67C5" w:rsidRPr="00A61503" w:rsidRDefault="009C67C5" w:rsidP="001D35D7">
            <w:pPr>
              <w:jc w:val="center"/>
              <w:rPr>
                <w:b/>
                <w:sz w:val="20"/>
                <w:szCs w:val="20"/>
                <w:lang w:val="en-US"/>
              </w:rPr>
            </w:pPr>
            <w:proofErr w:type="spellStart"/>
            <w:r w:rsidRPr="00A61503">
              <w:rPr>
                <w:b/>
                <w:sz w:val="20"/>
                <w:szCs w:val="20"/>
                <w:lang w:val="en-US"/>
              </w:rPr>
              <w:t>Indeno</w:t>
            </w:r>
            <w:proofErr w:type="spellEnd"/>
            <w:r w:rsidRPr="00A61503">
              <w:rPr>
                <w:b/>
                <w:sz w:val="20"/>
                <w:szCs w:val="20"/>
                <w:lang w:val="en-US"/>
              </w:rPr>
              <w:t>[1,2,3-</w:t>
            </w:r>
            <w:proofErr w:type="gramStart"/>
            <w:r w:rsidRPr="00A61503">
              <w:rPr>
                <w:b/>
                <w:i/>
                <w:iCs/>
                <w:sz w:val="20"/>
                <w:szCs w:val="20"/>
                <w:lang w:val="en-US"/>
              </w:rPr>
              <w:t>cd</w:t>
            </w:r>
            <w:r w:rsidRPr="00A61503">
              <w:rPr>
                <w:b/>
                <w:sz w:val="20"/>
                <w:szCs w:val="20"/>
                <w:lang w:val="en-US"/>
              </w:rPr>
              <w:t>]pyrene</w:t>
            </w:r>
            <w:proofErr w:type="gramEnd"/>
          </w:p>
        </w:tc>
        <w:tc>
          <w:tcPr>
            <w:tcW w:w="1131" w:type="dxa"/>
            <w:tcBorders>
              <w:bottom w:val="nil"/>
            </w:tcBorders>
            <w:vAlign w:val="center"/>
          </w:tcPr>
          <w:p w14:paraId="6C6D8502"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094963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F537275" w14:textId="77777777" w:rsidR="009C67C5" w:rsidRPr="00A358DB" w:rsidRDefault="009C67C5" w:rsidP="001D35D7">
            <w:pPr>
              <w:jc w:val="center"/>
              <w:rPr>
                <w:sz w:val="20"/>
                <w:szCs w:val="20"/>
                <w:lang w:val="en-US"/>
              </w:rPr>
            </w:pPr>
            <w:r>
              <w:rPr>
                <w:sz w:val="20"/>
                <w:szCs w:val="20"/>
                <w:lang w:val="en-US"/>
              </w:rPr>
              <w:t>0.037</w:t>
            </w:r>
          </w:p>
        </w:tc>
        <w:tc>
          <w:tcPr>
            <w:tcW w:w="985" w:type="dxa"/>
            <w:tcBorders>
              <w:bottom w:val="nil"/>
            </w:tcBorders>
            <w:vAlign w:val="center"/>
          </w:tcPr>
          <w:p w14:paraId="5F5AA800"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32523704" w14:textId="77777777" w:rsidTr="00984C55">
        <w:trPr>
          <w:trHeight w:val="261"/>
          <w:jc w:val="center"/>
        </w:trPr>
        <w:tc>
          <w:tcPr>
            <w:tcW w:w="2266" w:type="dxa"/>
            <w:tcBorders>
              <w:top w:val="nil"/>
              <w:bottom w:val="single" w:sz="4" w:space="0" w:color="auto"/>
            </w:tcBorders>
            <w:vAlign w:val="center"/>
          </w:tcPr>
          <w:p w14:paraId="7F3D58F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F8C06F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9F484A7"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491E0CB"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B69BBB0" w14:textId="77777777" w:rsidR="009C67C5" w:rsidRPr="00A358DB" w:rsidRDefault="009C67C5" w:rsidP="001D35D7">
            <w:pPr>
              <w:jc w:val="center"/>
              <w:rPr>
                <w:sz w:val="20"/>
                <w:szCs w:val="20"/>
                <w:lang w:val="en-US"/>
              </w:rPr>
            </w:pPr>
            <w:r>
              <w:rPr>
                <w:sz w:val="20"/>
                <w:szCs w:val="20"/>
                <w:vertAlign w:val="superscript"/>
              </w:rPr>
              <w:t>b</w:t>
            </w:r>
          </w:p>
        </w:tc>
      </w:tr>
      <w:tr w:rsidR="005F2094" w:rsidRPr="00A358DB" w14:paraId="538F8245" w14:textId="77777777" w:rsidTr="00E664F4">
        <w:trPr>
          <w:trHeight w:val="261"/>
          <w:jc w:val="center"/>
        </w:trPr>
        <w:tc>
          <w:tcPr>
            <w:tcW w:w="2266" w:type="dxa"/>
            <w:tcBorders>
              <w:bottom w:val="nil"/>
            </w:tcBorders>
            <w:vAlign w:val="center"/>
          </w:tcPr>
          <w:p w14:paraId="17155365" w14:textId="77777777" w:rsidR="005F2094" w:rsidRPr="00A61503" w:rsidRDefault="005F2094" w:rsidP="00C82683">
            <w:pPr>
              <w:jc w:val="center"/>
              <w:rPr>
                <w:b/>
                <w:sz w:val="20"/>
                <w:szCs w:val="20"/>
                <w:lang w:val="en-US"/>
              </w:rPr>
            </w:pPr>
            <w:r w:rsidRPr="00A61503">
              <w:rPr>
                <w:b/>
                <w:sz w:val="20"/>
                <w:szCs w:val="20"/>
                <w:lang w:val="en-US"/>
              </w:rPr>
              <w:t>6-Nitrobenzo[</w:t>
            </w:r>
            <w:r w:rsidRPr="00A61503">
              <w:rPr>
                <w:b/>
                <w:i/>
                <w:iCs/>
                <w:sz w:val="20"/>
                <w:szCs w:val="20"/>
                <w:lang w:val="en-US"/>
              </w:rPr>
              <w:t>a</w:t>
            </w:r>
            <w:r w:rsidRPr="00A61503">
              <w:rPr>
                <w:b/>
                <w:sz w:val="20"/>
                <w:szCs w:val="20"/>
                <w:lang w:val="en-US"/>
              </w:rPr>
              <w:t>]pyrene</w:t>
            </w:r>
          </w:p>
        </w:tc>
        <w:tc>
          <w:tcPr>
            <w:tcW w:w="9657" w:type="dxa"/>
            <w:gridSpan w:val="28"/>
            <w:tcBorders>
              <w:bottom w:val="nil"/>
            </w:tcBorders>
            <w:vAlign w:val="center"/>
          </w:tcPr>
          <w:p w14:paraId="282D1359" w14:textId="6584EA01" w:rsidR="005F2094" w:rsidRPr="00A358DB" w:rsidRDefault="005F2094" w:rsidP="00C82683">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44C0603" w14:textId="77777777" w:rsidR="005F2094" w:rsidRPr="00A358DB" w:rsidRDefault="005F2094" w:rsidP="00C82683">
            <w:pPr>
              <w:jc w:val="center"/>
              <w:rPr>
                <w:sz w:val="20"/>
                <w:szCs w:val="20"/>
                <w:lang w:val="en-US"/>
              </w:rPr>
            </w:pPr>
            <w:r w:rsidRPr="00A358DB">
              <w:rPr>
                <w:sz w:val="20"/>
                <w:szCs w:val="20"/>
                <w:lang w:val="en-US"/>
              </w:rPr>
              <w:t>1.000</w:t>
            </w:r>
          </w:p>
        </w:tc>
      </w:tr>
      <w:tr w:rsidR="005F2094" w:rsidRPr="00A358DB" w14:paraId="413FDF50" w14:textId="77777777" w:rsidTr="00E664F4">
        <w:trPr>
          <w:trHeight w:val="261"/>
          <w:jc w:val="center"/>
        </w:trPr>
        <w:tc>
          <w:tcPr>
            <w:tcW w:w="2266" w:type="dxa"/>
            <w:tcBorders>
              <w:top w:val="nil"/>
              <w:bottom w:val="single" w:sz="4" w:space="0" w:color="auto"/>
            </w:tcBorders>
            <w:vAlign w:val="center"/>
          </w:tcPr>
          <w:p w14:paraId="43858175" w14:textId="77777777" w:rsidR="005F2094" w:rsidRPr="00A61503" w:rsidRDefault="005F2094" w:rsidP="00C82683">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3C45106" w14:textId="371222A6" w:rsidR="005F2094" w:rsidRPr="00A358DB" w:rsidRDefault="005F2094" w:rsidP="00C82683">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4D65461F" w14:textId="77777777" w:rsidR="005F2094" w:rsidRPr="00A358DB" w:rsidRDefault="005F2094" w:rsidP="00C82683">
            <w:pPr>
              <w:jc w:val="center"/>
              <w:rPr>
                <w:sz w:val="20"/>
                <w:szCs w:val="20"/>
                <w:lang w:val="en-US"/>
              </w:rPr>
            </w:pPr>
            <w:r>
              <w:rPr>
                <w:sz w:val="20"/>
                <w:szCs w:val="20"/>
                <w:vertAlign w:val="superscript"/>
              </w:rPr>
              <w:t>b</w:t>
            </w:r>
          </w:p>
        </w:tc>
      </w:tr>
      <w:tr w:rsidR="009C67C5" w:rsidRPr="00A358DB" w14:paraId="6B4E3383" w14:textId="77777777" w:rsidTr="00984C55">
        <w:trPr>
          <w:trHeight w:val="261"/>
          <w:jc w:val="center"/>
        </w:trPr>
        <w:tc>
          <w:tcPr>
            <w:tcW w:w="2266" w:type="dxa"/>
            <w:tcBorders>
              <w:bottom w:val="nil"/>
            </w:tcBorders>
            <w:vAlign w:val="center"/>
          </w:tcPr>
          <w:p w14:paraId="4A66E7EA" w14:textId="77777777" w:rsidR="009C67C5" w:rsidRPr="00A61503" w:rsidRDefault="009C67C5" w:rsidP="001D35D7">
            <w:pPr>
              <w:jc w:val="center"/>
              <w:rPr>
                <w:b/>
                <w:sz w:val="20"/>
                <w:szCs w:val="20"/>
                <w:lang w:val="en-US"/>
              </w:rPr>
            </w:pPr>
            <w:r w:rsidRPr="00A61503">
              <w:rPr>
                <w:b/>
                <w:sz w:val="20"/>
                <w:szCs w:val="20"/>
                <w:lang w:val="en-US"/>
              </w:rPr>
              <w:t>Dibenz</w:t>
            </w:r>
            <w:r>
              <w:rPr>
                <w:b/>
                <w:sz w:val="20"/>
                <w:szCs w:val="20"/>
                <w:lang w:val="en-US"/>
              </w:rPr>
              <w:t>o</w:t>
            </w:r>
            <w:r w:rsidRPr="00A61503">
              <w:rPr>
                <w:b/>
                <w:sz w:val="20"/>
                <w:szCs w:val="20"/>
                <w:lang w:val="en-US"/>
              </w:rPr>
              <w:t>[</w:t>
            </w:r>
            <w:proofErr w:type="spellStart"/>
            <w:proofErr w:type="gramStart"/>
            <w:r w:rsidRPr="00A61503">
              <w:rPr>
                <w:b/>
                <w:i/>
                <w:iCs/>
                <w:sz w:val="20"/>
                <w:szCs w:val="20"/>
                <w:lang w:val="en-US"/>
              </w:rPr>
              <w:t>a</w:t>
            </w:r>
            <w:r w:rsidRPr="00A61503">
              <w:rPr>
                <w:b/>
                <w:sz w:val="20"/>
                <w:szCs w:val="20"/>
                <w:lang w:val="en-US"/>
              </w:rPr>
              <w:t>,</w:t>
            </w:r>
            <w:r w:rsidRPr="00A61503">
              <w:rPr>
                <w:b/>
                <w:i/>
                <w:iCs/>
                <w:sz w:val="20"/>
                <w:szCs w:val="20"/>
                <w:lang w:val="en-US"/>
              </w:rPr>
              <w:t>h</w:t>
            </w:r>
            <w:proofErr w:type="spellEnd"/>
            <w:proofErr w:type="gramEnd"/>
            <w:r w:rsidRPr="00A61503">
              <w:rPr>
                <w:b/>
                <w:sz w:val="20"/>
                <w:szCs w:val="20"/>
                <w:lang w:val="en-US"/>
              </w:rPr>
              <w:t>]anthracene</w:t>
            </w:r>
          </w:p>
        </w:tc>
        <w:tc>
          <w:tcPr>
            <w:tcW w:w="1131" w:type="dxa"/>
            <w:tcBorders>
              <w:bottom w:val="nil"/>
            </w:tcBorders>
            <w:vAlign w:val="center"/>
          </w:tcPr>
          <w:p w14:paraId="68DBCC67"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33D87CC"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A8F8B07" w14:textId="77777777" w:rsidR="009C67C5" w:rsidRPr="00A358DB" w:rsidRDefault="009C67C5" w:rsidP="001D35D7">
            <w:pPr>
              <w:jc w:val="center"/>
              <w:rPr>
                <w:sz w:val="20"/>
                <w:szCs w:val="20"/>
                <w:lang w:val="en-US"/>
              </w:rPr>
            </w:pPr>
            <w:r>
              <w:rPr>
                <w:sz w:val="20"/>
                <w:szCs w:val="20"/>
                <w:lang w:val="en-US"/>
              </w:rPr>
              <w:t>0.067</w:t>
            </w:r>
          </w:p>
        </w:tc>
        <w:tc>
          <w:tcPr>
            <w:tcW w:w="985" w:type="dxa"/>
            <w:tcBorders>
              <w:bottom w:val="nil"/>
            </w:tcBorders>
            <w:vAlign w:val="center"/>
          </w:tcPr>
          <w:p w14:paraId="6FD5774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C90A799" w14:textId="77777777" w:rsidTr="00984C55">
        <w:trPr>
          <w:trHeight w:val="261"/>
          <w:jc w:val="center"/>
        </w:trPr>
        <w:tc>
          <w:tcPr>
            <w:tcW w:w="2266" w:type="dxa"/>
            <w:tcBorders>
              <w:top w:val="nil"/>
            </w:tcBorders>
            <w:vAlign w:val="center"/>
          </w:tcPr>
          <w:p w14:paraId="321B1C8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tcBorders>
            <w:vAlign w:val="center"/>
          </w:tcPr>
          <w:p w14:paraId="55215AB4"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tcBorders>
            <w:vAlign w:val="center"/>
          </w:tcPr>
          <w:p w14:paraId="7BA17D0F"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tcBorders>
            <w:vAlign w:val="center"/>
          </w:tcPr>
          <w:p w14:paraId="7D47A83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tcBorders>
            <w:vAlign w:val="center"/>
          </w:tcPr>
          <w:p w14:paraId="410CA131"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0BB17F2" w14:textId="77777777" w:rsidTr="00984C55">
        <w:trPr>
          <w:trHeight w:val="261"/>
          <w:jc w:val="center"/>
        </w:trPr>
        <w:tc>
          <w:tcPr>
            <w:tcW w:w="2266" w:type="dxa"/>
            <w:tcBorders>
              <w:bottom w:val="nil"/>
            </w:tcBorders>
            <w:vAlign w:val="center"/>
          </w:tcPr>
          <w:p w14:paraId="747A6767" w14:textId="77777777" w:rsidR="009C67C5" w:rsidRPr="00A61503" w:rsidRDefault="009C67C5" w:rsidP="001D35D7">
            <w:pPr>
              <w:jc w:val="center"/>
              <w:rPr>
                <w:b/>
                <w:sz w:val="20"/>
                <w:szCs w:val="20"/>
                <w:lang w:val="en-US"/>
              </w:rPr>
            </w:pPr>
            <w:r w:rsidRPr="00A61503">
              <w:rPr>
                <w:b/>
                <w:sz w:val="20"/>
                <w:szCs w:val="20"/>
                <w:lang w:val="en-US"/>
              </w:rPr>
              <w:t>Benzo[</w:t>
            </w:r>
            <w:proofErr w:type="spellStart"/>
            <w:r w:rsidRPr="00A61503">
              <w:rPr>
                <w:b/>
                <w:i/>
                <w:sz w:val="20"/>
                <w:szCs w:val="20"/>
                <w:lang w:val="en-US"/>
              </w:rPr>
              <w:t>ghi</w:t>
            </w:r>
            <w:proofErr w:type="spellEnd"/>
            <w:r w:rsidRPr="00A61503">
              <w:rPr>
                <w:b/>
                <w:sz w:val="20"/>
                <w:szCs w:val="20"/>
                <w:lang w:val="en-US"/>
              </w:rPr>
              <w:t>]perylene</w:t>
            </w:r>
          </w:p>
        </w:tc>
        <w:tc>
          <w:tcPr>
            <w:tcW w:w="1131" w:type="dxa"/>
            <w:tcBorders>
              <w:bottom w:val="nil"/>
            </w:tcBorders>
            <w:vAlign w:val="center"/>
          </w:tcPr>
          <w:p w14:paraId="16DDDDE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89751D1"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2AA9C6" w14:textId="77777777" w:rsidR="009C67C5" w:rsidRPr="00A358DB" w:rsidRDefault="009C67C5" w:rsidP="001D35D7">
            <w:pPr>
              <w:jc w:val="center"/>
              <w:rPr>
                <w:sz w:val="20"/>
                <w:szCs w:val="20"/>
                <w:lang w:val="en-US"/>
              </w:rPr>
            </w:pPr>
            <w:r>
              <w:rPr>
                <w:sz w:val="20"/>
                <w:szCs w:val="20"/>
                <w:lang w:val="en-US"/>
              </w:rPr>
              <w:t>0.043</w:t>
            </w:r>
          </w:p>
        </w:tc>
        <w:tc>
          <w:tcPr>
            <w:tcW w:w="985" w:type="dxa"/>
            <w:tcBorders>
              <w:bottom w:val="nil"/>
            </w:tcBorders>
            <w:vAlign w:val="center"/>
          </w:tcPr>
          <w:p w14:paraId="3FBFEB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C3DFBCC" w14:textId="77777777" w:rsidTr="00984C55">
        <w:trPr>
          <w:trHeight w:val="261"/>
          <w:jc w:val="center"/>
        </w:trPr>
        <w:tc>
          <w:tcPr>
            <w:tcW w:w="2266" w:type="dxa"/>
            <w:tcBorders>
              <w:top w:val="nil"/>
              <w:bottom w:val="single" w:sz="4" w:space="0" w:color="auto"/>
            </w:tcBorders>
            <w:vAlign w:val="center"/>
          </w:tcPr>
          <w:p w14:paraId="6492757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B0DB7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8E0A63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3D55967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779870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FFF1659" w14:textId="77777777" w:rsidTr="00984C55">
        <w:trPr>
          <w:trHeight w:val="261"/>
          <w:jc w:val="center"/>
        </w:trPr>
        <w:tc>
          <w:tcPr>
            <w:tcW w:w="2266" w:type="dxa"/>
            <w:tcBorders>
              <w:bottom w:val="nil"/>
            </w:tcBorders>
            <w:vAlign w:val="center"/>
          </w:tcPr>
          <w:p w14:paraId="60F19C4C" w14:textId="77777777" w:rsidR="009C67C5" w:rsidRPr="00A61503" w:rsidRDefault="009C67C5" w:rsidP="001D35D7">
            <w:pPr>
              <w:jc w:val="center"/>
              <w:rPr>
                <w:b/>
                <w:sz w:val="20"/>
                <w:szCs w:val="20"/>
                <w:lang w:val="en-US"/>
              </w:rPr>
            </w:pPr>
            <w:r w:rsidRPr="00A61503">
              <w:rPr>
                <w:b/>
                <w:sz w:val="20"/>
                <w:szCs w:val="20"/>
                <w:lang w:val="en-US"/>
              </w:rPr>
              <w:t>Pb</w:t>
            </w:r>
          </w:p>
        </w:tc>
        <w:tc>
          <w:tcPr>
            <w:tcW w:w="1131" w:type="dxa"/>
            <w:tcBorders>
              <w:bottom w:val="nil"/>
            </w:tcBorders>
            <w:vAlign w:val="center"/>
          </w:tcPr>
          <w:p w14:paraId="3005EB9F" w14:textId="77777777" w:rsidR="009C67C5" w:rsidRPr="00A358DB" w:rsidRDefault="009C67C5" w:rsidP="001D35D7">
            <w:pPr>
              <w:jc w:val="center"/>
              <w:rPr>
                <w:sz w:val="20"/>
                <w:szCs w:val="20"/>
                <w:lang w:val="en-US"/>
              </w:rPr>
            </w:pPr>
            <w:r>
              <w:rPr>
                <w:sz w:val="20"/>
                <w:szCs w:val="20"/>
                <w:lang w:val="en-US"/>
              </w:rPr>
              <w:t>0.470 ± 0.067</w:t>
            </w:r>
          </w:p>
        </w:tc>
        <w:tc>
          <w:tcPr>
            <w:tcW w:w="1122" w:type="dxa"/>
            <w:tcBorders>
              <w:bottom w:val="nil"/>
            </w:tcBorders>
            <w:vAlign w:val="center"/>
          </w:tcPr>
          <w:p w14:paraId="6E2D0EB2"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076" w:type="dxa"/>
            <w:gridSpan w:val="3"/>
            <w:tcBorders>
              <w:bottom w:val="nil"/>
              <w:right w:val="nil"/>
            </w:tcBorders>
            <w:vAlign w:val="center"/>
          </w:tcPr>
          <w:p w14:paraId="5199BDFF" w14:textId="77777777" w:rsidR="009C67C5" w:rsidRPr="00A358DB" w:rsidRDefault="009C67C5" w:rsidP="001D35D7">
            <w:pPr>
              <w:jc w:val="center"/>
              <w:rPr>
                <w:sz w:val="20"/>
                <w:szCs w:val="20"/>
                <w:lang w:val="en-US"/>
              </w:rPr>
            </w:pPr>
            <w:r>
              <w:rPr>
                <w:sz w:val="20"/>
                <w:szCs w:val="20"/>
                <w:lang w:val="en-US"/>
              </w:rPr>
              <w:t xml:space="preserve">0.560 ± 0.255 </w:t>
            </w:r>
            <w:r>
              <w:rPr>
                <w:sz w:val="20"/>
                <w:szCs w:val="20"/>
                <w:vertAlign w:val="superscript"/>
                <w:lang w:val="en-US"/>
              </w:rPr>
              <w:t>e</w:t>
            </w:r>
          </w:p>
        </w:tc>
        <w:tc>
          <w:tcPr>
            <w:tcW w:w="1032" w:type="dxa"/>
            <w:gridSpan w:val="2"/>
            <w:tcBorders>
              <w:left w:val="nil"/>
              <w:bottom w:val="nil"/>
            </w:tcBorders>
            <w:vAlign w:val="center"/>
          </w:tcPr>
          <w:p w14:paraId="121AB8E1" w14:textId="77777777" w:rsidR="009C67C5" w:rsidRPr="00A358DB" w:rsidRDefault="009C67C5" w:rsidP="001D35D7">
            <w:pPr>
              <w:jc w:val="center"/>
              <w:rPr>
                <w:sz w:val="20"/>
                <w:szCs w:val="20"/>
                <w:lang w:val="en-US"/>
              </w:rPr>
            </w:pPr>
            <w:r>
              <w:rPr>
                <w:sz w:val="20"/>
                <w:szCs w:val="20"/>
                <w:lang w:val="en-US"/>
              </w:rPr>
              <w:t xml:space="preserve">0.450 ± 0.087 </w:t>
            </w:r>
            <w:r>
              <w:rPr>
                <w:sz w:val="20"/>
                <w:szCs w:val="20"/>
                <w:vertAlign w:val="superscript"/>
                <w:lang w:val="en-US"/>
              </w:rPr>
              <w:t>e</w:t>
            </w:r>
          </w:p>
        </w:tc>
        <w:tc>
          <w:tcPr>
            <w:tcW w:w="5296" w:type="dxa"/>
            <w:gridSpan w:val="21"/>
            <w:tcBorders>
              <w:bottom w:val="nil"/>
            </w:tcBorders>
            <w:vAlign w:val="center"/>
          </w:tcPr>
          <w:p w14:paraId="26335007"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122" w:type="dxa"/>
            <w:tcBorders>
              <w:bottom w:val="nil"/>
            </w:tcBorders>
            <w:vAlign w:val="center"/>
          </w:tcPr>
          <w:p w14:paraId="1991F08A" w14:textId="77777777" w:rsidR="009C67C5" w:rsidRPr="00A358DB" w:rsidRDefault="009C67C5" w:rsidP="001D35D7">
            <w:pPr>
              <w:jc w:val="center"/>
              <w:rPr>
                <w:sz w:val="20"/>
                <w:szCs w:val="20"/>
                <w:lang w:val="en-US"/>
              </w:rPr>
            </w:pPr>
            <w:r>
              <w:rPr>
                <w:sz w:val="20"/>
                <w:szCs w:val="20"/>
                <w:lang w:val="en-US"/>
              </w:rPr>
              <w:t>0.145 ± 0.009</w:t>
            </w:r>
          </w:p>
        </w:tc>
        <w:tc>
          <w:tcPr>
            <w:tcW w:w="985" w:type="dxa"/>
            <w:tcBorders>
              <w:bottom w:val="nil"/>
            </w:tcBorders>
            <w:vAlign w:val="center"/>
          </w:tcPr>
          <w:p w14:paraId="0EC5A95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CEB578E" w14:textId="77777777" w:rsidTr="00984C55">
        <w:trPr>
          <w:trHeight w:val="261"/>
          <w:jc w:val="center"/>
        </w:trPr>
        <w:tc>
          <w:tcPr>
            <w:tcW w:w="2266" w:type="dxa"/>
            <w:tcBorders>
              <w:top w:val="nil"/>
              <w:bottom w:val="single" w:sz="4" w:space="0" w:color="auto"/>
            </w:tcBorders>
            <w:vAlign w:val="center"/>
          </w:tcPr>
          <w:p w14:paraId="08092BB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2DE43EC"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3E0A308"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2108" w:type="dxa"/>
            <w:gridSpan w:val="5"/>
            <w:tcBorders>
              <w:top w:val="nil"/>
              <w:bottom w:val="single" w:sz="4" w:space="0" w:color="auto"/>
            </w:tcBorders>
            <w:vAlign w:val="center"/>
          </w:tcPr>
          <w:p w14:paraId="5BDB2BC4"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022AF172"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47D63D4"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196B8573" w14:textId="77777777" w:rsidR="009C67C5" w:rsidRPr="00A358DB" w:rsidRDefault="009C67C5" w:rsidP="001D35D7">
            <w:pPr>
              <w:jc w:val="center"/>
              <w:rPr>
                <w:sz w:val="20"/>
                <w:szCs w:val="20"/>
                <w:lang w:val="en-US"/>
              </w:rPr>
            </w:pPr>
            <w:r>
              <w:rPr>
                <w:sz w:val="20"/>
                <w:szCs w:val="20"/>
                <w:vertAlign w:val="superscript"/>
              </w:rPr>
              <w:t>b</w:t>
            </w:r>
          </w:p>
        </w:tc>
      </w:tr>
      <w:tr w:rsidR="003077EB" w:rsidRPr="00A358DB" w14:paraId="77BF7515" w14:textId="77777777" w:rsidTr="00984C55">
        <w:trPr>
          <w:trHeight w:val="261"/>
          <w:jc w:val="center"/>
        </w:trPr>
        <w:tc>
          <w:tcPr>
            <w:tcW w:w="2266" w:type="dxa"/>
            <w:tcBorders>
              <w:bottom w:val="nil"/>
            </w:tcBorders>
            <w:vAlign w:val="center"/>
          </w:tcPr>
          <w:p w14:paraId="7B8AC710" w14:textId="77777777" w:rsidR="003077EB" w:rsidRPr="00A61503" w:rsidRDefault="003077EB" w:rsidP="005F2094">
            <w:pPr>
              <w:jc w:val="center"/>
              <w:rPr>
                <w:b/>
                <w:sz w:val="20"/>
                <w:szCs w:val="20"/>
                <w:lang w:val="en-US"/>
              </w:rPr>
            </w:pPr>
            <w:r w:rsidRPr="00A61503">
              <w:rPr>
                <w:b/>
                <w:sz w:val="20"/>
                <w:szCs w:val="20"/>
                <w:lang w:val="en-US"/>
              </w:rPr>
              <w:t>Fe</w:t>
            </w:r>
          </w:p>
        </w:tc>
        <w:tc>
          <w:tcPr>
            <w:tcW w:w="1131" w:type="dxa"/>
            <w:tcBorders>
              <w:bottom w:val="nil"/>
            </w:tcBorders>
            <w:vAlign w:val="center"/>
          </w:tcPr>
          <w:p w14:paraId="1603A0E8" w14:textId="77777777" w:rsidR="003077EB" w:rsidRPr="00A358DB" w:rsidRDefault="003077EB" w:rsidP="005F2094">
            <w:pPr>
              <w:jc w:val="center"/>
              <w:rPr>
                <w:sz w:val="20"/>
                <w:szCs w:val="20"/>
                <w:lang w:val="en-US"/>
              </w:rPr>
            </w:pPr>
            <w:r>
              <w:rPr>
                <w:sz w:val="20"/>
                <w:szCs w:val="20"/>
                <w:lang w:val="en-US"/>
              </w:rPr>
              <w:t>0.039 ± 0.011</w:t>
            </w:r>
          </w:p>
        </w:tc>
        <w:tc>
          <w:tcPr>
            <w:tcW w:w="1122" w:type="dxa"/>
            <w:tcBorders>
              <w:bottom w:val="nil"/>
            </w:tcBorders>
            <w:vAlign w:val="center"/>
          </w:tcPr>
          <w:p w14:paraId="62DF8603" w14:textId="3AB4F142" w:rsidR="003077EB" w:rsidRPr="00A358DB" w:rsidRDefault="00DE1948" w:rsidP="005F2094">
            <w:pPr>
              <w:jc w:val="center"/>
              <w:rPr>
                <w:sz w:val="20"/>
                <w:szCs w:val="20"/>
                <w:lang w:val="en-US"/>
              </w:rPr>
            </w:pPr>
            <w:r>
              <w:rPr>
                <w:sz w:val="20"/>
                <w:szCs w:val="20"/>
                <w:lang w:val="en-US"/>
              </w:rPr>
              <w:t>0.100</w:t>
            </w:r>
          </w:p>
        </w:tc>
        <w:tc>
          <w:tcPr>
            <w:tcW w:w="1076" w:type="dxa"/>
            <w:gridSpan w:val="3"/>
            <w:tcBorders>
              <w:bottom w:val="nil"/>
              <w:right w:val="nil"/>
            </w:tcBorders>
            <w:vAlign w:val="center"/>
          </w:tcPr>
          <w:p w14:paraId="46DEC49E" w14:textId="7587B14C" w:rsidR="003077EB" w:rsidRPr="00A358DB" w:rsidRDefault="003077EB" w:rsidP="005F2094">
            <w:pPr>
              <w:jc w:val="center"/>
              <w:rPr>
                <w:sz w:val="20"/>
                <w:szCs w:val="20"/>
                <w:lang w:val="en-US"/>
              </w:rPr>
            </w:pPr>
            <w:r>
              <w:rPr>
                <w:sz w:val="20"/>
                <w:szCs w:val="20"/>
                <w:lang w:val="en-US"/>
              </w:rPr>
              <w:t>0.070</w:t>
            </w:r>
          </w:p>
        </w:tc>
        <w:tc>
          <w:tcPr>
            <w:tcW w:w="1032" w:type="dxa"/>
            <w:gridSpan w:val="2"/>
            <w:tcBorders>
              <w:left w:val="nil"/>
              <w:bottom w:val="nil"/>
              <w:right w:val="nil"/>
            </w:tcBorders>
            <w:vAlign w:val="center"/>
          </w:tcPr>
          <w:p w14:paraId="6B29ADF9" w14:textId="71A9A50C" w:rsidR="003077EB" w:rsidRPr="00A358DB" w:rsidRDefault="003077EB" w:rsidP="005F2094">
            <w:pPr>
              <w:jc w:val="center"/>
              <w:rPr>
                <w:sz w:val="20"/>
                <w:szCs w:val="20"/>
                <w:lang w:val="en-US"/>
              </w:rPr>
            </w:pPr>
            <w:r>
              <w:rPr>
                <w:sz w:val="20"/>
                <w:szCs w:val="20"/>
                <w:lang w:val="en-US"/>
              </w:rPr>
              <w:t>0.070</w:t>
            </w:r>
          </w:p>
        </w:tc>
        <w:tc>
          <w:tcPr>
            <w:tcW w:w="881" w:type="dxa"/>
            <w:gridSpan w:val="2"/>
            <w:tcBorders>
              <w:left w:val="nil"/>
              <w:bottom w:val="nil"/>
            </w:tcBorders>
            <w:vAlign w:val="center"/>
          </w:tcPr>
          <w:p w14:paraId="3425111C" w14:textId="142DA1B1" w:rsidR="003077EB" w:rsidRPr="00A358DB" w:rsidRDefault="003077EB" w:rsidP="005F2094">
            <w:pPr>
              <w:jc w:val="center"/>
              <w:rPr>
                <w:sz w:val="20"/>
                <w:szCs w:val="20"/>
                <w:lang w:val="en-US"/>
              </w:rPr>
            </w:pPr>
            <w:r>
              <w:rPr>
                <w:sz w:val="20"/>
                <w:szCs w:val="20"/>
                <w:lang w:val="en-US"/>
              </w:rPr>
              <w:t>0.220</w:t>
            </w:r>
          </w:p>
        </w:tc>
        <w:tc>
          <w:tcPr>
            <w:tcW w:w="846" w:type="dxa"/>
            <w:gridSpan w:val="2"/>
            <w:tcBorders>
              <w:bottom w:val="nil"/>
            </w:tcBorders>
            <w:vAlign w:val="center"/>
          </w:tcPr>
          <w:p w14:paraId="50FBB845" w14:textId="59FF4438" w:rsidR="003077EB" w:rsidRPr="00A358DB" w:rsidRDefault="00BC53AC" w:rsidP="00BC53AC">
            <w:pPr>
              <w:jc w:val="center"/>
              <w:rPr>
                <w:sz w:val="20"/>
                <w:szCs w:val="20"/>
                <w:lang w:val="en-US"/>
              </w:rPr>
            </w:pPr>
            <w:r>
              <w:rPr>
                <w:rStyle w:val="tlid-translation"/>
                <w:sz w:val="20"/>
                <w:szCs w:val="20"/>
                <w:lang w:val="en-US"/>
              </w:rPr>
              <w:t xml:space="preserve">0.195 </w:t>
            </w:r>
            <w:r w:rsidRPr="002D2FAB">
              <w:rPr>
                <w:sz w:val="20"/>
                <w:szCs w:val="20"/>
                <w:lang w:val="en-US"/>
              </w:rPr>
              <w:t>± 0.</w:t>
            </w:r>
            <w:r>
              <w:rPr>
                <w:sz w:val="20"/>
                <w:szCs w:val="20"/>
                <w:lang w:val="en-US"/>
              </w:rPr>
              <w:t>173</w:t>
            </w:r>
          </w:p>
        </w:tc>
        <w:tc>
          <w:tcPr>
            <w:tcW w:w="897" w:type="dxa"/>
            <w:gridSpan w:val="5"/>
            <w:tcBorders>
              <w:bottom w:val="nil"/>
              <w:right w:val="nil"/>
            </w:tcBorders>
            <w:vAlign w:val="center"/>
          </w:tcPr>
          <w:p w14:paraId="03AC50AC" w14:textId="62DDA202" w:rsidR="003077EB" w:rsidRPr="00A358DB" w:rsidRDefault="003077EB" w:rsidP="005F2094">
            <w:pPr>
              <w:jc w:val="center"/>
              <w:rPr>
                <w:sz w:val="20"/>
                <w:szCs w:val="20"/>
                <w:lang w:val="en-US"/>
              </w:rPr>
            </w:pPr>
            <w:r>
              <w:rPr>
                <w:sz w:val="20"/>
                <w:szCs w:val="20"/>
                <w:lang w:val="en-US"/>
              </w:rPr>
              <w:t>0.350</w:t>
            </w:r>
          </w:p>
        </w:tc>
        <w:tc>
          <w:tcPr>
            <w:tcW w:w="903" w:type="dxa"/>
            <w:gridSpan w:val="6"/>
            <w:tcBorders>
              <w:left w:val="nil"/>
              <w:bottom w:val="nil"/>
              <w:right w:val="nil"/>
            </w:tcBorders>
            <w:vAlign w:val="center"/>
          </w:tcPr>
          <w:p w14:paraId="049F8FF5" w14:textId="459A644F" w:rsidR="003077EB" w:rsidRPr="00A358DB" w:rsidRDefault="003077EB" w:rsidP="005F2094">
            <w:pPr>
              <w:jc w:val="center"/>
              <w:rPr>
                <w:sz w:val="20"/>
                <w:szCs w:val="20"/>
                <w:lang w:val="en-US"/>
              </w:rPr>
            </w:pPr>
            <w:r>
              <w:rPr>
                <w:sz w:val="20"/>
                <w:szCs w:val="20"/>
                <w:lang w:val="en-US"/>
              </w:rPr>
              <w:t>0.350</w:t>
            </w:r>
          </w:p>
        </w:tc>
        <w:tc>
          <w:tcPr>
            <w:tcW w:w="898" w:type="dxa"/>
            <w:gridSpan w:val="4"/>
            <w:tcBorders>
              <w:left w:val="nil"/>
              <w:bottom w:val="nil"/>
              <w:right w:val="nil"/>
            </w:tcBorders>
            <w:vAlign w:val="center"/>
          </w:tcPr>
          <w:p w14:paraId="542E003F" w14:textId="4F07055D" w:rsidR="003077EB" w:rsidRPr="00A358DB" w:rsidRDefault="003077EB" w:rsidP="005F2094">
            <w:pPr>
              <w:jc w:val="center"/>
              <w:rPr>
                <w:sz w:val="20"/>
                <w:szCs w:val="20"/>
                <w:lang w:val="en-US"/>
              </w:rPr>
            </w:pPr>
            <w:r>
              <w:rPr>
                <w:sz w:val="20"/>
                <w:szCs w:val="20"/>
                <w:lang w:val="en-US"/>
              </w:rPr>
              <w:t>0.350</w:t>
            </w:r>
          </w:p>
        </w:tc>
        <w:tc>
          <w:tcPr>
            <w:tcW w:w="871" w:type="dxa"/>
            <w:gridSpan w:val="2"/>
            <w:tcBorders>
              <w:left w:val="nil"/>
              <w:bottom w:val="nil"/>
            </w:tcBorders>
            <w:vAlign w:val="center"/>
          </w:tcPr>
          <w:p w14:paraId="2440B3EF" w14:textId="60821830" w:rsidR="003077EB" w:rsidRPr="00A358DB" w:rsidRDefault="003077EB" w:rsidP="005F2094">
            <w:pPr>
              <w:jc w:val="center"/>
              <w:rPr>
                <w:sz w:val="20"/>
                <w:szCs w:val="20"/>
                <w:lang w:val="en-US"/>
              </w:rPr>
            </w:pPr>
            <w:r>
              <w:rPr>
                <w:sz w:val="20"/>
                <w:szCs w:val="20"/>
                <w:lang w:val="en-US"/>
              </w:rPr>
              <w:t>0.900</w:t>
            </w:r>
          </w:p>
        </w:tc>
        <w:tc>
          <w:tcPr>
            <w:tcW w:w="2107" w:type="dxa"/>
            <w:gridSpan w:val="2"/>
            <w:tcBorders>
              <w:bottom w:val="nil"/>
            </w:tcBorders>
            <w:vAlign w:val="center"/>
          </w:tcPr>
          <w:p w14:paraId="61438E85" w14:textId="77777777" w:rsidR="003077EB" w:rsidRPr="00A358DB" w:rsidRDefault="003077EB" w:rsidP="005F2094">
            <w:pPr>
              <w:jc w:val="center"/>
              <w:rPr>
                <w:sz w:val="20"/>
                <w:szCs w:val="20"/>
                <w:lang w:val="en-US"/>
              </w:rPr>
            </w:pPr>
            <w:r w:rsidRPr="00A358DB">
              <w:rPr>
                <w:sz w:val="20"/>
                <w:szCs w:val="20"/>
                <w:lang w:val="en-US"/>
              </w:rPr>
              <w:t>1.000</w:t>
            </w:r>
          </w:p>
        </w:tc>
      </w:tr>
      <w:tr w:rsidR="003077EB" w:rsidRPr="00A358DB" w14:paraId="741D3925" w14:textId="77777777" w:rsidTr="00984C55">
        <w:trPr>
          <w:trHeight w:val="261"/>
          <w:jc w:val="center"/>
        </w:trPr>
        <w:tc>
          <w:tcPr>
            <w:tcW w:w="2266" w:type="dxa"/>
            <w:tcBorders>
              <w:top w:val="nil"/>
              <w:bottom w:val="single" w:sz="4" w:space="0" w:color="auto"/>
            </w:tcBorders>
            <w:vAlign w:val="center"/>
          </w:tcPr>
          <w:p w14:paraId="06FB8EA2" w14:textId="77777777" w:rsidR="003077EB" w:rsidRPr="00A61503" w:rsidRDefault="003077EB" w:rsidP="005F2094">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B9B94D2" w14:textId="77777777" w:rsidR="003077EB" w:rsidRPr="00A358DB" w:rsidRDefault="003077EB" w:rsidP="005F2094">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4F51736" w14:textId="6CC3EAAC" w:rsidR="003077EB" w:rsidRPr="00A358DB" w:rsidRDefault="00DE1948" w:rsidP="005F2094">
            <w:pPr>
              <w:jc w:val="center"/>
              <w:rPr>
                <w:sz w:val="20"/>
                <w:szCs w:val="20"/>
                <w:lang w:val="en-US"/>
              </w:rPr>
            </w:pPr>
            <w:r w:rsidRPr="00AD6098">
              <w:rPr>
                <w:sz w:val="20"/>
                <w:szCs w:val="20"/>
                <w:lang w:val="en-US"/>
              </w:rPr>
              <w:t>Forth</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author":[{"dropping-particle":"","family":"Forth","given":"W.","non-dropping-particle":"","parse-names":false,"suffix":""},{"dropping-particle":"","family":"Rummel","given":"W.","non-dropping-particle":"","parse-names":false,"suffix":""}],"container-title":"Physiological Reviews","id":"ITEM-1","issue":"3","issued":{"date-parts":[["1973","1","1"]]},"page":"724-792","title":"Iron absorption","type":"article-journal","volume":"53"},"suppress-author":1,"uris":["http://www.mendeley.com/documents/?uuid=502f73e9-c9a8-448a-92ac-432d7c455964"]}],"mendeley":{"formattedCitation":"(1973)","plainTextFormattedCitation":"(1973)","previouslyFormattedCitation":"(1973)"},"properties":{"noteIndex":0},"schema":"https://github.com/citation-style-language/schema/raw/master/csl-citation.json"}</w:instrText>
            </w:r>
            <w:r>
              <w:rPr>
                <w:sz w:val="20"/>
                <w:szCs w:val="20"/>
                <w:lang w:val="en-US"/>
              </w:rPr>
              <w:fldChar w:fldCharType="separate"/>
            </w:r>
            <w:r w:rsidRPr="00AD6098">
              <w:rPr>
                <w:noProof/>
                <w:sz w:val="20"/>
                <w:szCs w:val="20"/>
                <w:lang w:val="en-US"/>
              </w:rPr>
              <w:t>(1973)</w:t>
            </w:r>
            <w:r>
              <w:rPr>
                <w:sz w:val="20"/>
                <w:szCs w:val="20"/>
                <w:lang w:val="en-US"/>
              </w:rPr>
              <w:fldChar w:fldCharType="end"/>
            </w:r>
          </w:p>
        </w:tc>
        <w:tc>
          <w:tcPr>
            <w:tcW w:w="2989" w:type="dxa"/>
            <w:gridSpan w:val="7"/>
            <w:tcBorders>
              <w:top w:val="nil"/>
              <w:bottom w:val="single" w:sz="4" w:space="0" w:color="auto"/>
            </w:tcBorders>
            <w:vAlign w:val="center"/>
          </w:tcPr>
          <w:p w14:paraId="6988263E" w14:textId="6735044A" w:rsidR="003077EB" w:rsidRPr="00A358DB" w:rsidRDefault="003077EB" w:rsidP="005F2094">
            <w:pPr>
              <w:jc w:val="center"/>
              <w:rPr>
                <w:sz w:val="20"/>
                <w:szCs w:val="20"/>
                <w:lang w:val="en-US"/>
              </w:rPr>
            </w:pPr>
            <w:r>
              <w:rPr>
                <w:sz w:val="20"/>
                <w:szCs w:val="20"/>
                <w:lang w:val="en-US"/>
              </w:rPr>
              <w:t xml:space="preserve">Ragan </w:t>
            </w:r>
            <w:r>
              <w:rPr>
                <w:sz w:val="20"/>
                <w:szCs w:val="20"/>
                <w:lang w:val="en-US"/>
              </w:rPr>
              <w:fldChar w:fldCharType="begin" w:fldLock="1"/>
            </w:r>
            <w:r>
              <w:rPr>
                <w:sz w:val="20"/>
                <w:szCs w:val="20"/>
                <w:lang w:val="en-US"/>
              </w:rPr>
              <w:instrText>ADDIN CSL_CITATION {"citationItems":[{"id":"ITEM-1","itemData":{"DOI":"10.1016/S0048-9697(83)80029-1","ISSN":"00489697","abstract":"The primary route of entry of essential metals and most pollutant metals into the body is by gastrointestinal absorption. Although intraluminal factors influence the bioavailability of metals, the major control level of absorption probably resides in the intestinal mucosal cell. Interrelationships between various metals may effect their bioavailability at both the luminal and mucosal levels. It has also been shown that the nutritional status may have a profound influence on the absorption of some metals; iron, calcium, and protein deficiency may enhance the absorption of several pollutant metals, although this is apparently not simply an increased gut permeability to all heavy metals. Valid speculations regarding the absorption of pollutant metals is difficult since, even after several decades of intensive study, the precise mechanisms of controlling the absorption of iron and other trace metals are unknown. © 1983 Elsevier Science Publishers B.V. All rights reserved.","author":[{"dropping-particle":"","family":"Ragan","given":"Harvey A.","non-dropping-particle":"","parse-names":false,"suffix":""}],"container-title":"Science of The Total Environment","id":"ITEM-1","issue":"1-3","issued":{"date-parts":[["1983","1"]]},"page":"317-326","title":"The bioavailability of iron, lead and cadmium via gastrointestinal absorption: A review","type":"article-journal","volume":"28"},"suppress-author":1,"uris":["http://www.mendeley.com/documents/?uuid=cc867663-4223-478f-a723-263da58e661e"]}],"mendeley":{"formattedCitation":"(1983)","plainTextFormattedCitation":"(1983)","previouslyFormattedCitation":"(1983)"},"properties":{"noteIndex":0},"schema":"https://github.com/citation-style-language/schema/raw/master/csl-citation.json"}</w:instrText>
            </w:r>
            <w:r>
              <w:rPr>
                <w:sz w:val="20"/>
                <w:szCs w:val="20"/>
                <w:lang w:val="en-US"/>
              </w:rPr>
              <w:fldChar w:fldCharType="separate"/>
            </w:r>
            <w:r w:rsidRPr="00E178F6">
              <w:rPr>
                <w:noProof/>
                <w:sz w:val="20"/>
                <w:szCs w:val="20"/>
                <w:lang w:val="en-US"/>
              </w:rPr>
              <w:t>(1983)</w:t>
            </w:r>
            <w:r>
              <w:rPr>
                <w:sz w:val="20"/>
                <w:szCs w:val="20"/>
                <w:lang w:val="en-US"/>
              </w:rPr>
              <w:fldChar w:fldCharType="end"/>
            </w:r>
          </w:p>
        </w:tc>
        <w:tc>
          <w:tcPr>
            <w:tcW w:w="846" w:type="dxa"/>
            <w:gridSpan w:val="2"/>
            <w:tcBorders>
              <w:top w:val="nil"/>
              <w:bottom w:val="single" w:sz="4" w:space="0" w:color="auto"/>
            </w:tcBorders>
            <w:vAlign w:val="center"/>
          </w:tcPr>
          <w:p w14:paraId="00DEDAB7" w14:textId="2B622CE8" w:rsidR="003077EB" w:rsidRPr="00A358DB" w:rsidRDefault="00BC53AC" w:rsidP="00BC53AC">
            <w:pPr>
              <w:jc w:val="center"/>
              <w:rPr>
                <w:sz w:val="20"/>
                <w:szCs w:val="20"/>
                <w:lang w:val="en-US"/>
              </w:rPr>
            </w:pPr>
            <w:r w:rsidRPr="00D93C89">
              <w:rPr>
                <w:sz w:val="18"/>
                <w:szCs w:val="18"/>
                <w:lang w:val="en-US"/>
              </w:rPr>
              <w:t xml:space="preserve">Hallberg et al. </w:t>
            </w:r>
            <w:r>
              <w:rPr>
                <w:sz w:val="20"/>
                <w:szCs w:val="20"/>
                <w:lang w:val="en-US"/>
              </w:rPr>
              <w:fldChar w:fldCharType="begin" w:fldLock="1"/>
            </w:r>
            <w:r w:rsidR="00F95B47">
              <w:rPr>
                <w:sz w:val="20"/>
                <w:szCs w:val="20"/>
                <w:lang w:val="en-US"/>
              </w:rPr>
              <w:instrText>ADDIN CSL_CITATION {"citationItems":[{"id":"ITEM-1","itemData":{"DOI":"10.1203/00006450-199205000-00024","ISSN":"0031-3998","abstract":"Iron absorption from human milk and cow’s milk was compared in the same subjects using two radio-iron tracers and extrinsic labeling of the iron. Previously observed higher iron absorption from human milk was confirmed as 19.5 ± 17.3% (mean ± SD) in cow’s milk versus 48.0 ± 25.5% in human milk; mean individual absorption ratio was 0.39 ± 0.18 (p &lt; 0.0001). Cow’s milk has a several times higher content of calcium, recently established to be a potent inhibitor of iron absorption. Adding calcium chloride to human milk in amounts to equate the calcium content of cow’s milk significantly reduced iron absorption [39.1 ± 17.8% (mean ± SD) versus 21.3 ± 10.6%]; mean individual absorption ratio with or without added calcium was 0.58 ± 0.12 (mean ± SD) (p &lt; 0.0001). Differences in calcium content could explain at least 70% of the difference in iron bioavailability between milks. It is suggested that the remaining 30% difference may mainly be an artifact related to inhomogeneous ra-dioiron-labeling of milk iron compounds, especially in human milk, and that the main difference in true iron absorption between human and cow’s milk is related to their different calcium contents. The rather high fractional iron absorption from human milk can be explained by its low iron content. There is nothing to indicate that human milk contains any enhancer of iron absorption. The marked inhibiting effect of calcium on iron absorption should be considered in the design of infant formulas to achieve an optimal balance in the contents of calcium and iron. © 1992 International Pediatric Research Foundation, Inc.","author":[{"dropping-particle":"","family":"Hallberg","given":"Leif","non-dropping-particle":"","parse-names":false,"suffix":""},{"dropping-particle":"","family":"Rossander-Hultén","given":"Lena","non-dropping-particle":"","parse-names":false,"suffix":""},{"dropping-particle":"","family":"Brune","given":"Mats","non-dropping-particle":"","parse-names":false,"suffix":""},{"dropping-particle":"","family":"Gleerup","given":"Ann","non-dropping-particle":"","parse-names":false,"suffix":""}],"container-title":"Pediatric Research","id":"ITEM-1","issue":"5","issued":{"date-parts":[["1992","5"]]},"page":"524-527","title":"Bioavailability in Man of Iron in Human Milk and Cow's Milk in Relation to Their Calcium Contents","type":"article-journal","volume":"31"},"suppress-author":1,"uris":["http://www.mendeley.com/documents/?uuid=853ac0bb-1376-46af-837b-b81ca5c3f906"]}],"mendeley":{"formattedCitation":"(1992)","plainTextFormattedCitation":"(1992)","previouslyFormattedCitation":"(1992)"},"properties":{"noteIndex":0},"schema":"https://github.com/citation-style-language/schema/raw/master/csl-citation.json"}</w:instrText>
            </w:r>
            <w:r>
              <w:rPr>
                <w:sz w:val="20"/>
                <w:szCs w:val="20"/>
                <w:lang w:val="en-US"/>
              </w:rPr>
              <w:fldChar w:fldCharType="separate"/>
            </w:r>
            <w:r w:rsidRPr="007619E5">
              <w:rPr>
                <w:noProof/>
                <w:sz w:val="20"/>
                <w:szCs w:val="20"/>
                <w:lang w:val="en-US"/>
              </w:rPr>
              <w:t>(1992)</w:t>
            </w:r>
            <w:r>
              <w:rPr>
                <w:sz w:val="20"/>
                <w:szCs w:val="20"/>
                <w:lang w:val="en-US"/>
              </w:rPr>
              <w:fldChar w:fldCharType="end"/>
            </w:r>
          </w:p>
        </w:tc>
        <w:tc>
          <w:tcPr>
            <w:tcW w:w="3569" w:type="dxa"/>
            <w:gridSpan w:val="17"/>
            <w:tcBorders>
              <w:top w:val="nil"/>
              <w:bottom w:val="single" w:sz="4" w:space="0" w:color="auto"/>
            </w:tcBorders>
            <w:vAlign w:val="center"/>
          </w:tcPr>
          <w:p w14:paraId="1AA9306E" w14:textId="312C039E" w:rsidR="003077EB" w:rsidRPr="00A358DB" w:rsidRDefault="003077EB" w:rsidP="003077EB">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2107" w:type="dxa"/>
            <w:gridSpan w:val="2"/>
            <w:tcBorders>
              <w:top w:val="nil"/>
              <w:bottom w:val="single" w:sz="4" w:space="0" w:color="auto"/>
            </w:tcBorders>
            <w:vAlign w:val="center"/>
          </w:tcPr>
          <w:p w14:paraId="67B3B46A" w14:textId="02DB414C" w:rsidR="003077EB" w:rsidRPr="00A358DB" w:rsidRDefault="00766687" w:rsidP="005F2094">
            <w:pPr>
              <w:jc w:val="center"/>
              <w:rPr>
                <w:sz w:val="20"/>
                <w:szCs w:val="20"/>
                <w:lang w:val="en-US"/>
              </w:rPr>
            </w:pPr>
            <w:r>
              <w:rPr>
                <w:sz w:val="20"/>
                <w:szCs w:val="20"/>
                <w:vertAlign w:val="superscript"/>
              </w:rPr>
              <w:t>b</w:t>
            </w:r>
          </w:p>
        </w:tc>
      </w:tr>
      <w:tr w:rsidR="00D93C89" w:rsidRPr="00A358DB" w14:paraId="2E8DB192" w14:textId="77777777" w:rsidTr="00984C55">
        <w:trPr>
          <w:trHeight w:val="261"/>
          <w:jc w:val="center"/>
        </w:trPr>
        <w:tc>
          <w:tcPr>
            <w:tcW w:w="2266" w:type="dxa"/>
            <w:tcBorders>
              <w:bottom w:val="nil"/>
            </w:tcBorders>
            <w:vAlign w:val="center"/>
          </w:tcPr>
          <w:p w14:paraId="20263D33" w14:textId="77777777" w:rsidR="00F52A22" w:rsidRPr="00A61503" w:rsidRDefault="00F52A22" w:rsidP="001D35D7">
            <w:pPr>
              <w:jc w:val="center"/>
              <w:rPr>
                <w:b/>
                <w:sz w:val="20"/>
                <w:szCs w:val="20"/>
                <w:lang w:val="en-US"/>
              </w:rPr>
            </w:pPr>
            <w:r w:rsidRPr="00A61503">
              <w:rPr>
                <w:b/>
                <w:sz w:val="20"/>
                <w:szCs w:val="20"/>
                <w:lang w:val="en-US"/>
              </w:rPr>
              <w:t>Zn</w:t>
            </w:r>
          </w:p>
        </w:tc>
        <w:tc>
          <w:tcPr>
            <w:tcW w:w="1131" w:type="dxa"/>
            <w:tcBorders>
              <w:bottom w:val="nil"/>
            </w:tcBorders>
            <w:vAlign w:val="center"/>
          </w:tcPr>
          <w:p w14:paraId="760691A2" w14:textId="77777777" w:rsidR="00F52A22" w:rsidRPr="00A358DB" w:rsidRDefault="00F52A22" w:rsidP="001D35D7">
            <w:pPr>
              <w:jc w:val="center"/>
              <w:rPr>
                <w:sz w:val="20"/>
                <w:szCs w:val="20"/>
                <w:lang w:val="en-US"/>
              </w:rPr>
            </w:pPr>
            <w:r>
              <w:rPr>
                <w:sz w:val="20"/>
                <w:szCs w:val="20"/>
                <w:lang w:val="en-US"/>
              </w:rPr>
              <w:t>0.601 ± 0.086</w:t>
            </w:r>
          </w:p>
        </w:tc>
        <w:tc>
          <w:tcPr>
            <w:tcW w:w="1122" w:type="dxa"/>
            <w:tcBorders>
              <w:bottom w:val="nil"/>
            </w:tcBorders>
            <w:vAlign w:val="center"/>
          </w:tcPr>
          <w:p w14:paraId="750DF852" w14:textId="1B7BC49D" w:rsidR="00F52A22" w:rsidRPr="00A358DB" w:rsidRDefault="00474714" w:rsidP="001D35D7">
            <w:pPr>
              <w:jc w:val="center"/>
              <w:rPr>
                <w:sz w:val="20"/>
                <w:szCs w:val="20"/>
                <w:lang w:val="en-US"/>
              </w:rPr>
            </w:pPr>
            <w:r>
              <w:rPr>
                <w:sz w:val="20"/>
                <w:szCs w:val="20"/>
                <w:lang w:val="en-US"/>
              </w:rPr>
              <w:t>0</w:t>
            </w:r>
            <w:r w:rsidR="00F52A22" w:rsidRPr="00A358DB">
              <w:rPr>
                <w:sz w:val="20"/>
                <w:szCs w:val="20"/>
                <w:lang w:val="en-US"/>
              </w:rPr>
              <w:t>.</w:t>
            </w:r>
            <w:r>
              <w:rPr>
                <w:sz w:val="20"/>
                <w:szCs w:val="20"/>
                <w:lang w:val="en-US"/>
              </w:rPr>
              <w:t>4</w:t>
            </w:r>
            <w:r w:rsidR="00F52A22" w:rsidRPr="00A358DB">
              <w:rPr>
                <w:sz w:val="20"/>
                <w:szCs w:val="20"/>
                <w:lang w:val="en-US"/>
              </w:rPr>
              <w:t>00</w:t>
            </w:r>
          </w:p>
        </w:tc>
        <w:tc>
          <w:tcPr>
            <w:tcW w:w="1076" w:type="dxa"/>
            <w:gridSpan w:val="3"/>
            <w:tcBorders>
              <w:bottom w:val="nil"/>
              <w:right w:val="nil"/>
            </w:tcBorders>
            <w:vAlign w:val="center"/>
          </w:tcPr>
          <w:p w14:paraId="33FC6763" w14:textId="77777777" w:rsidR="00F52A22" w:rsidRPr="00A358DB" w:rsidRDefault="00F52A22" w:rsidP="001D35D7">
            <w:pPr>
              <w:jc w:val="center"/>
              <w:rPr>
                <w:sz w:val="20"/>
                <w:szCs w:val="20"/>
                <w:lang w:val="en-US"/>
              </w:rPr>
            </w:pPr>
            <w:r>
              <w:rPr>
                <w:sz w:val="20"/>
                <w:szCs w:val="20"/>
                <w:lang w:val="en-US"/>
              </w:rPr>
              <w:t xml:space="preserve">0.680 ± 0.074 </w:t>
            </w:r>
            <w:r>
              <w:rPr>
                <w:sz w:val="20"/>
                <w:szCs w:val="20"/>
                <w:vertAlign w:val="superscript"/>
                <w:lang w:val="en-US"/>
              </w:rPr>
              <w:t>e</w:t>
            </w:r>
          </w:p>
        </w:tc>
        <w:tc>
          <w:tcPr>
            <w:tcW w:w="1032" w:type="dxa"/>
            <w:gridSpan w:val="2"/>
            <w:tcBorders>
              <w:left w:val="nil"/>
              <w:bottom w:val="nil"/>
            </w:tcBorders>
            <w:vAlign w:val="center"/>
          </w:tcPr>
          <w:p w14:paraId="751715B5" w14:textId="77777777" w:rsidR="00F52A22" w:rsidRPr="00A358DB" w:rsidRDefault="00F52A22" w:rsidP="001D35D7">
            <w:pPr>
              <w:jc w:val="center"/>
              <w:rPr>
                <w:sz w:val="20"/>
                <w:szCs w:val="20"/>
                <w:lang w:val="en-US"/>
              </w:rPr>
            </w:pPr>
            <w:r>
              <w:rPr>
                <w:sz w:val="20"/>
                <w:szCs w:val="20"/>
                <w:lang w:val="en-US"/>
              </w:rPr>
              <w:t xml:space="preserve">0.700 ± 0.108 </w:t>
            </w:r>
            <w:r>
              <w:rPr>
                <w:sz w:val="20"/>
                <w:szCs w:val="20"/>
                <w:vertAlign w:val="superscript"/>
                <w:lang w:val="en-US"/>
              </w:rPr>
              <w:t>e</w:t>
            </w:r>
          </w:p>
        </w:tc>
        <w:tc>
          <w:tcPr>
            <w:tcW w:w="881" w:type="dxa"/>
            <w:gridSpan w:val="2"/>
            <w:tcBorders>
              <w:bottom w:val="nil"/>
              <w:right w:val="nil"/>
            </w:tcBorders>
            <w:vAlign w:val="center"/>
          </w:tcPr>
          <w:p w14:paraId="58C1E7F5" w14:textId="6B324548" w:rsidR="00F52A22" w:rsidRPr="00A358DB" w:rsidRDefault="00C7543A" w:rsidP="001D35D7">
            <w:pPr>
              <w:jc w:val="center"/>
              <w:rPr>
                <w:sz w:val="20"/>
                <w:szCs w:val="20"/>
                <w:lang w:val="en-US"/>
              </w:rPr>
            </w:pPr>
            <w:r>
              <w:rPr>
                <w:sz w:val="20"/>
                <w:szCs w:val="20"/>
                <w:lang w:val="en-US"/>
              </w:rPr>
              <w:t>0.500</w:t>
            </w:r>
          </w:p>
        </w:tc>
        <w:tc>
          <w:tcPr>
            <w:tcW w:w="846" w:type="dxa"/>
            <w:gridSpan w:val="2"/>
            <w:tcBorders>
              <w:left w:val="nil"/>
              <w:bottom w:val="nil"/>
              <w:right w:val="nil"/>
            </w:tcBorders>
            <w:vAlign w:val="center"/>
          </w:tcPr>
          <w:p w14:paraId="21EC7F11" w14:textId="3203436B" w:rsidR="00F52A22" w:rsidRPr="002A464A" w:rsidRDefault="00F52A22" w:rsidP="001D35D7">
            <w:pPr>
              <w:jc w:val="center"/>
              <w:rPr>
                <w:sz w:val="20"/>
                <w:szCs w:val="20"/>
                <w:lang w:val="en-US"/>
              </w:rPr>
            </w:pPr>
            <w:r w:rsidRPr="002A464A">
              <w:rPr>
                <w:sz w:val="20"/>
                <w:szCs w:val="20"/>
                <w:lang w:val="en-US"/>
              </w:rPr>
              <w:t>0</w:t>
            </w:r>
            <w:r w:rsidRPr="002A464A">
              <w:rPr>
                <w:sz w:val="20"/>
                <w:szCs w:val="20"/>
              </w:rPr>
              <w:t>.300</w:t>
            </w:r>
          </w:p>
        </w:tc>
        <w:tc>
          <w:tcPr>
            <w:tcW w:w="890" w:type="dxa"/>
            <w:gridSpan w:val="4"/>
            <w:tcBorders>
              <w:left w:val="nil"/>
              <w:bottom w:val="nil"/>
              <w:right w:val="nil"/>
            </w:tcBorders>
            <w:vAlign w:val="center"/>
          </w:tcPr>
          <w:p w14:paraId="75A7BE27" w14:textId="39C8B0C3" w:rsidR="00F52A22" w:rsidRPr="00A358DB" w:rsidRDefault="00C7543A" w:rsidP="001D35D7">
            <w:pPr>
              <w:jc w:val="center"/>
              <w:rPr>
                <w:sz w:val="20"/>
                <w:szCs w:val="20"/>
                <w:lang w:val="en-US"/>
              </w:rPr>
            </w:pPr>
            <w:r>
              <w:rPr>
                <w:sz w:val="20"/>
                <w:szCs w:val="20"/>
                <w:lang w:val="en-US"/>
              </w:rPr>
              <w:t>0.500</w:t>
            </w:r>
          </w:p>
        </w:tc>
        <w:tc>
          <w:tcPr>
            <w:tcW w:w="891" w:type="dxa"/>
            <w:gridSpan w:val="6"/>
            <w:tcBorders>
              <w:left w:val="nil"/>
              <w:bottom w:val="nil"/>
              <w:right w:val="nil"/>
            </w:tcBorders>
            <w:vAlign w:val="center"/>
          </w:tcPr>
          <w:p w14:paraId="3F36C233" w14:textId="4E603002" w:rsidR="00F52A22" w:rsidRPr="00A358DB" w:rsidRDefault="00C7543A" w:rsidP="001D35D7">
            <w:pPr>
              <w:jc w:val="center"/>
              <w:rPr>
                <w:sz w:val="20"/>
                <w:szCs w:val="20"/>
                <w:lang w:val="en-US"/>
              </w:rPr>
            </w:pPr>
            <w:r>
              <w:rPr>
                <w:sz w:val="20"/>
                <w:szCs w:val="20"/>
                <w:lang w:val="en-US"/>
              </w:rPr>
              <w:t>0.500</w:t>
            </w:r>
          </w:p>
        </w:tc>
        <w:tc>
          <w:tcPr>
            <w:tcW w:w="891" w:type="dxa"/>
            <w:gridSpan w:val="4"/>
            <w:tcBorders>
              <w:left w:val="nil"/>
              <w:bottom w:val="nil"/>
              <w:right w:val="nil"/>
            </w:tcBorders>
            <w:vAlign w:val="center"/>
          </w:tcPr>
          <w:p w14:paraId="32C4E4E3" w14:textId="5B1EADF1" w:rsidR="00F52A22" w:rsidRPr="00A358DB" w:rsidRDefault="00C7543A" w:rsidP="001D35D7">
            <w:pPr>
              <w:jc w:val="center"/>
              <w:rPr>
                <w:sz w:val="20"/>
                <w:szCs w:val="20"/>
                <w:lang w:val="en-US"/>
              </w:rPr>
            </w:pPr>
            <w:r>
              <w:rPr>
                <w:sz w:val="20"/>
                <w:szCs w:val="20"/>
                <w:lang w:val="en-US"/>
              </w:rPr>
              <w:t>0.500</w:t>
            </w:r>
          </w:p>
        </w:tc>
        <w:tc>
          <w:tcPr>
            <w:tcW w:w="897" w:type="dxa"/>
            <w:gridSpan w:val="3"/>
            <w:tcBorders>
              <w:left w:val="nil"/>
              <w:bottom w:val="nil"/>
            </w:tcBorders>
            <w:vAlign w:val="center"/>
          </w:tcPr>
          <w:p w14:paraId="11A8AB4E" w14:textId="136F6021" w:rsidR="00F52A22" w:rsidRPr="00A358DB" w:rsidRDefault="00C7543A" w:rsidP="001D35D7">
            <w:pPr>
              <w:jc w:val="center"/>
              <w:rPr>
                <w:sz w:val="20"/>
                <w:szCs w:val="20"/>
                <w:lang w:val="en-US"/>
              </w:rPr>
            </w:pPr>
            <w:r>
              <w:rPr>
                <w:sz w:val="20"/>
                <w:szCs w:val="20"/>
                <w:lang w:val="en-US"/>
              </w:rPr>
              <w:t>0.150</w:t>
            </w:r>
          </w:p>
        </w:tc>
        <w:tc>
          <w:tcPr>
            <w:tcW w:w="1122" w:type="dxa"/>
            <w:tcBorders>
              <w:bottom w:val="nil"/>
            </w:tcBorders>
            <w:vAlign w:val="center"/>
          </w:tcPr>
          <w:p w14:paraId="0EC08E34" w14:textId="77777777" w:rsidR="00F52A22" w:rsidRPr="00321515" w:rsidRDefault="00F52A22" w:rsidP="001D35D7">
            <w:pPr>
              <w:jc w:val="center"/>
              <w:rPr>
                <w:sz w:val="20"/>
                <w:szCs w:val="20"/>
                <w:vertAlign w:val="superscript"/>
                <w:lang w:val="en-US"/>
              </w:rPr>
            </w:pPr>
            <w:r>
              <w:rPr>
                <w:sz w:val="20"/>
                <w:szCs w:val="20"/>
                <w:lang w:val="en-US"/>
              </w:rPr>
              <w:t>0.755 ± 0.035</w:t>
            </w:r>
          </w:p>
        </w:tc>
        <w:tc>
          <w:tcPr>
            <w:tcW w:w="985" w:type="dxa"/>
            <w:tcBorders>
              <w:bottom w:val="nil"/>
            </w:tcBorders>
            <w:vAlign w:val="center"/>
          </w:tcPr>
          <w:p w14:paraId="0C1C2395" w14:textId="77777777" w:rsidR="00F52A22" w:rsidRPr="00A358DB" w:rsidRDefault="00F52A22" w:rsidP="001D35D7">
            <w:pPr>
              <w:jc w:val="center"/>
              <w:rPr>
                <w:sz w:val="20"/>
                <w:szCs w:val="20"/>
                <w:lang w:val="en-US"/>
              </w:rPr>
            </w:pPr>
            <w:r w:rsidRPr="00A358DB">
              <w:rPr>
                <w:sz w:val="20"/>
                <w:szCs w:val="20"/>
                <w:lang w:val="en-US"/>
              </w:rPr>
              <w:t>1.000</w:t>
            </w:r>
          </w:p>
        </w:tc>
      </w:tr>
      <w:tr w:rsidR="00F52A22" w:rsidRPr="00A358DB" w14:paraId="47C13B15" w14:textId="77777777" w:rsidTr="00984C55">
        <w:trPr>
          <w:trHeight w:val="261"/>
          <w:jc w:val="center"/>
        </w:trPr>
        <w:tc>
          <w:tcPr>
            <w:tcW w:w="2266" w:type="dxa"/>
            <w:tcBorders>
              <w:top w:val="nil"/>
              <w:bottom w:val="single" w:sz="4" w:space="0" w:color="auto"/>
            </w:tcBorders>
            <w:vAlign w:val="center"/>
          </w:tcPr>
          <w:p w14:paraId="0CE1E87D" w14:textId="77777777" w:rsidR="00F52A22" w:rsidRPr="00A61503" w:rsidRDefault="00F52A22"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1A0AA9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BBD8959" w14:textId="549B1C23" w:rsidR="00F52A22" w:rsidRPr="00A358DB" w:rsidRDefault="009B2651" w:rsidP="001D35D7">
            <w:pPr>
              <w:jc w:val="center"/>
              <w:rPr>
                <w:sz w:val="20"/>
                <w:szCs w:val="20"/>
                <w:lang w:val="en-US"/>
              </w:rPr>
            </w:pPr>
            <w:r>
              <w:rPr>
                <w:sz w:val="20"/>
                <w:szCs w:val="20"/>
                <w:lang w:val="en-US"/>
              </w:rPr>
              <w:t xml:space="preserve">EBRC </w:t>
            </w:r>
            <w:r>
              <w:rPr>
                <w:sz w:val="20"/>
                <w:szCs w:val="20"/>
                <w:lang w:val="en-US"/>
              </w:rPr>
              <w:fldChar w:fldCharType="begin" w:fldLock="1"/>
            </w:r>
            <w:r w:rsidR="00F95B47">
              <w:rPr>
                <w:sz w:val="20"/>
                <w:szCs w:val="20"/>
                <w:lang w:val="en-US"/>
              </w:rPr>
              <w:instrText>ADDIN CSL_CITATION {"citationItems":[{"id":"ITEM-1","itemData":{"author":[{"dropping-particle":"","family":"EBRC","given":"","non-dropping-particle":"","parse-names":false,"suffix":""}],"id":"ITEM-1","issued":{"date-parts":[["2007"]]},"title":"Health Risk Assessment Guidance for Metals: Gastrointestinal uptake and absorption &amp; catalogue of toxicokinetic models","type":"report"},"suppress-author":1,"uris":["http://www.mendeley.com/documents/?uuid=496250f5-61d2-4220-96f7-efebbf8408fc"]}],"mendeley":{"formattedCitation":"(2007)","plainTextFormattedCitation":"(2007)","previouslyFormattedCitation":"(2007)"},"properties":{"noteIndex":0},"schema":"https://github.com/citation-style-language/schema/raw/master/csl-citation.json"}</w:instrText>
            </w:r>
            <w:r>
              <w:rPr>
                <w:sz w:val="20"/>
                <w:szCs w:val="20"/>
                <w:lang w:val="en-US"/>
              </w:rPr>
              <w:fldChar w:fldCharType="separate"/>
            </w:r>
            <w:r w:rsidRPr="00B335FE">
              <w:rPr>
                <w:noProof/>
                <w:sz w:val="20"/>
                <w:szCs w:val="20"/>
                <w:lang w:val="en-US"/>
              </w:rPr>
              <w:t>(2007)</w:t>
            </w:r>
            <w:r>
              <w:rPr>
                <w:sz w:val="20"/>
                <w:szCs w:val="20"/>
                <w:lang w:val="en-US"/>
              </w:rPr>
              <w:fldChar w:fldCharType="end"/>
            </w:r>
          </w:p>
        </w:tc>
        <w:tc>
          <w:tcPr>
            <w:tcW w:w="2108" w:type="dxa"/>
            <w:gridSpan w:val="5"/>
            <w:tcBorders>
              <w:top w:val="nil"/>
              <w:bottom w:val="single" w:sz="4" w:space="0" w:color="auto"/>
            </w:tcBorders>
            <w:vAlign w:val="center"/>
          </w:tcPr>
          <w:p w14:paraId="514AE60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4167C4C8" w14:textId="4640A57B" w:rsidR="00F52A22" w:rsidRPr="00A358DB" w:rsidRDefault="00F52A22" w:rsidP="001D35D7">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44F4FA82" w14:textId="77777777" w:rsidR="00F52A22" w:rsidRPr="00A358DB" w:rsidRDefault="00F52A22"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053B1C81" w14:textId="77777777" w:rsidR="00F52A22" w:rsidRPr="00A358DB" w:rsidRDefault="00F52A22" w:rsidP="001D35D7">
            <w:pPr>
              <w:jc w:val="center"/>
              <w:rPr>
                <w:sz w:val="20"/>
                <w:szCs w:val="20"/>
                <w:lang w:val="en-US"/>
              </w:rPr>
            </w:pPr>
            <w:r>
              <w:rPr>
                <w:sz w:val="20"/>
                <w:szCs w:val="20"/>
                <w:vertAlign w:val="superscript"/>
              </w:rPr>
              <w:t>b</w:t>
            </w:r>
          </w:p>
        </w:tc>
      </w:tr>
      <w:tr w:rsidR="00633F70" w:rsidRPr="00A358DB" w14:paraId="72B662A4" w14:textId="77777777" w:rsidTr="00984C55">
        <w:trPr>
          <w:trHeight w:val="261"/>
          <w:jc w:val="center"/>
        </w:trPr>
        <w:tc>
          <w:tcPr>
            <w:tcW w:w="2266" w:type="dxa"/>
            <w:tcBorders>
              <w:bottom w:val="nil"/>
            </w:tcBorders>
            <w:vAlign w:val="center"/>
          </w:tcPr>
          <w:p w14:paraId="5B0473A3" w14:textId="77777777" w:rsidR="00633F70" w:rsidRPr="00A61503" w:rsidRDefault="00633F70" w:rsidP="001D35D7">
            <w:pPr>
              <w:jc w:val="center"/>
              <w:rPr>
                <w:b/>
                <w:sz w:val="20"/>
                <w:szCs w:val="20"/>
                <w:lang w:val="en-US"/>
              </w:rPr>
            </w:pPr>
            <w:r w:rsidRPr="00A61503">
              <w:rPr>
                <w:b/>
                <w:sz w:val="20"/>
                <w:szCs w:val="20"/>
                <w:lang w:val="en-US"/>
              </w:rPr>
              <w:t>Al</w:t>
            </w:r>
          </w:p>
        </w:tc>
        <w:tc>
          <w:tcPr>
            <w:tcW w:w="1131" w:type="dxa"/>
            <w:tcBorders>
              <w:bottom w:val="nil"/>
            </w:tcBorders>
            <w:vAlign w:val="center"/>
          </w:tcPr>
          <w:p w14:paraId="54D51A57" w14:textId="279C9CF3" w:rsidR="00633F70" w:rsidRPr="00A358DB" w:rsidRDefault="00633F70" w:rsidP="001D35D7">
            <w:pPr>
              <w:jc w:val="center"/>
              <w:rPr>
                <w:sz w:val="20"/>
                <w:szCs w:val="20"/>
                <w:lang w:val="en-US"/>
              </w:rPr>
            </w:pPr>
            <w:r>
              <w:rPr>
                <w:sz w:val="20"/>
                <w:szCs w:val="20"/>
                <w:lang w:val="en-US"/>
              </w:rPr>
              <w:t>0.001</w:t>
            </w:r>
          </w:p>
        </w:tc>
        <w:tc>
          <w:tcPr>
            <w:tcW w:w="1122" w:type="dxa"/>
            <w:tcBorders>
              <w:bottom w:val="nil"/>
            </w:tcBorders>
            <w:vAlign w:val="center"/>
          </w:tcPr>
          <w:p w14:paraId="0E606B8D" w14:textId="77777777" w:rsidR="00633F70" w:rsidRPr="00A358DB" w:rsidRDefault="00633F70" w:rsidP="001D35D7">
            <w:pPr>
              <w:jc w:val="center"/>
              <w:rPr>
                <w:sz w:val="20"/>
                <w:szCs w:val="20"/>
                <w:lang w:val="en-US"/>
              </w:rPr>
            </w:pPr>
            <w:r>
              <w:rPr>
                <w:sz w:val="20"/>
                <w:szCs w:val="20"/>
                <w:lang w:val="en-US"/>
              </w:rPr>
              <w:t>0.0028</w:t>
            </w:r>
          </w:p>
        </w:tc>
        <w:tc>
          <w:tcPr>
            <w:tcW w:w="1005" w:type="dxa"/>
            <w:gridSpan w:val="2"/>
            <w:tcBorders>
              <w:bottom w:val="nil"/>
              <w:right w:val="nil"/>
            </w:tcBorders>
            <w:vAlign w:val="center"/>
          </w:tcPr>
          <w:p w14:paraId="5FBDBD4B" w14:textId="45E78233" w:rsidR="00633F70" w:rsidRPr="00A358DB" w:rsidRDefault="00633F70" w:rsidP="001D35D7">
            <w:pPr>
              <w:jc w:val="center"/>
              <w:rPr>
                <w:sz w:val="20"/>
                <w:szCs w:val="20"/>
                <w:lang w:val="en-US"/>
              </w:rPr>
            </w:pPr>
            <w:r>
              <w:rPr>
                <w:sz w:val="20"/>
                <w:szCs w:val="20"/>
                <w:lang w:val="en-US"/>
              </w:rPr>
              <w:t>0.003</w:t>
            </w:r>
          </w:p>
        </w:tc>
        <w:tc>
          <w:tcPr>
            <w:tcW w:w="1103" w:type="dxa"/>
            <w:gridSpan w:val="3"/>
            <w:tcBorders>
              <w:left w:val="nil"/>
              <w:bottom w:val="nil"/>
              <w:right w:val="nil"/>
            </w:tcBorders>
            <w:vAlign w:val="center"/>
          </w:tcPr>
          <w:p w14:paraId="0D13C2B6" w14:textId="4AAEC0E9" w:rsidR="00633F70" w:rsidRPr="00A358DB" w:rsidRDefault="00633F70" w:rsidP="001D35D7">
            <w:pPr>
              <w:jc w:val="center"/>
              <w:rPr>
                <w:sz w:val="20"/>
                <w:szCs w:val="20"/>
                <w:lang w:val="en-US"/>
              </w:rPr>
            </w:pPr>
            <w:r>
              <w:rPr>
                <w:sz w:val="20"/>
                <w:szCs w:val="20"/>
                <w:lang w:val="en-US"/>
              </w:rPr>
              <w:t>0.003</w:t>
            </w:r>
          </w:p>
        </w:tc>
        <w:tc>
          <w:tcPr>
            <w:tcW w:w="881" w:type="dxa"/>
            <w:gridSpan w:val="2"/>
            <w:tcBorders>
              <w:left w:val="nil"/>
              <w:bottom w:val="nil"/>
              <w:right w:val="nil"/>
            </w:tcBorders>
            <w:vAlign w:val="center"/>
          </w:tcPr>
          <w:p w14:paraId="4A217923" w14:textId="602F7A13" w:rsidR="00633F70" w:rsidRPr="00A358DB" w:rsidRDefault="00633F70" w:rsidP="001D35D7">
            <w:pPr>
              <w:jc w:val="center"/>
              <w:rPr>
                <w:sz w:val="20"/>
                <w:szCs w:val="20"/>
                <w:lang w:val="en-US"/>
              </w:rPr>
            </w:pPr>
            <w:r>
              <w:rPr>
                <w:sz w:val="20"/>
                <w:szCs w:val="20"/>
                <w:lang w:val="en-US"/>
              </w:rPr>
              <w:t>0.001</w:t>
            </w:r>
          </w:p>
        </w:tc>
        <w:tc>
          <w:tcPr>
            <w:tcW w:w="933" w:type="dxa"/>
            <w:gridSpan w:val="3"/>
            <w:tcBorders>
              <w:left w:val="nil"/>
              <w:bottom w:val="nil"/>
              <w:right w:val="nil"/>
            </w:tcBorders>
            <w:vAlign w:val="center"/>
          </w:tcPr>
          <w:p w14:paraId="01311653" w14:textId="40C0BE13" w:rsidR="00633F70" w:rsidRPr="00A358DB" w:rsidRDefault="00633F70" w:rsidP="001D35D7">
            <w:pPr>
              <w:jc w:val="center"/>
              <w:rPr>
                <w:sz w:val="20"/>
                <w:szCs w:val="20"/>
                <w:lang w:val="en-US"/>
              </w:rPr>
            </w:pPr>
            <w:r>
              <w:rPr>
                <w:sz w:val="20"/>
                <w:szCs w:val="20"/>
                <w:lang w:val="en-US"/>
              </w:rPr>
              <w:t>0.001</w:t>
            </w:r>
          </w:p>
        </w:tc>
        <w:tc>
          <w:tcPr>
            <w:tcW w:w="910" w:type="dxa"/>
            <w:gridSpan w:val="7"/>
            <w:tcBorders>
              <w:left w:val="nil"/>
              <w:bottom w:val="nil"/>
              <w:right w:val="nil"/>
            </w:tcBorders>
            <w:vAlign w:val="center"/>
          </w:tcPr>
          <w:p w14:paraId="53322320" w14:textId="66337C2B" w:rsidR="00633F70" w:rsidRPr="00A358DB" w:rsidRDefault="00633F70" w:rsidP="001D35D7">
            <w:pPr>
              <w:jc w:val="center"/>
              <w:rPr>
                <w:sz w:val="20"/>
                <w:szCs w:val="20"/>
                <w:lang w:val="en-US"/>
              </w:rPr>
            </w:pPr>
            <w:r>
              <w:rPr>
                <w:sz w:val="20"/>
                <w:szCs w:val="20"/>
                <w:lang w:val="en-US"/>
              </w:rPr>
              <w:t>0.001</w:t>
            </w:r>
          </w:p>
        </w:tc>
        <w:tc>
          <w:tcPr>
            <w:tcW w:w="814" w:type="dxa"/>
            <w:gridSpan w:val="4"/>
            <w:tcBorders>
              <w:left w:val="nil"/>
              <w:bottom w:val="nil"/>
              <w:right w:val="nil"/>
            </w:tcBorders>
            <w:vAlign w:val="center"/>
          </w:tcPr>
          <w:p w14:paraId="457A6C93" w14:textId="0486C1AD" w:rsidR="00633F70" w:rsidRPr="00A358DB" w:rsidRDefault="00633F70" w:rsidP="001D35D7">
            <w:pPr>
              <w:jc w:val="center"/>
              <w:rPr>
                <w:sz w:val="20"/>
                <w:szCs w:val="20"/>
                <w:lang w:val="en-US"/>
              </w:rPr>
            </w:pPr>
            <w:r>
              <w:rPr>
                <w:sz w:val="20"/>
                <w:szCs w:val="20"/>
                <w:lang w:val="en-US"/>
              </w:rPr>
              <w:t>0.001</w:t>
            </w:r>
          </w:p>
        </w:tc>
        <w:tc>
          <w:tcPr>
            <w:tcW w:w="971" w:type="dxa"/>
            <w:gridSpan w:val="4"/>
            <w:tcBorders>
              <w:left w:val="nil"/>
              <w:bottom w:val="nil"/>
              <w:right w:val="nil"/>
            </w:tcBorders>
            <w:vAlign w:val="center"/>
          </w:tcPr>
          <w:p w14:paraId="04A42291" w14:textId="2D2B908C" w:rsidR="00633F70" w:rsidRPr="00A358DB" w:rsidRDefault="00633F70" w:rsidP="001D35D7">
            <w:pPr>
              <w:jc w:val="center"/>
              <w:rPr>
                <w:sz w:val="20"/>
                <w:szCs w:val="20"/>
                <w:lang w:val="en-US"/>
              </w:rPr>
            </w:pPr>
            <w:r>
              <w:rPr>
                <w:sz w:val="20"/>
                <w:szCs w:val="20"/>
                <w:lang w:val="en-US"/>
              </w:rPr>
              <w:t>0.003</w:t>
            </w:r>
          </w:p>
        </w:tc>
        <w:tc>
          <w:tcPr>
            <w:tcW w:w="787" w:type="dxa"/>
            <w:tcBorders>
              <w:left w:val="nil"/>
              <w:bottom w:val="nil"/>
            </w:tcBorders>
            <w:vAlign w:val="center"/>
          </w:tcPr>
          <w:p w14:paraId="240AC1F0" w14:textId="11159386" w:rsidR="00633F70" w:rsidRPr="00A358DB" w:rsidRDefault="00633F70" w:rsidP="001D35D7">
            <w:pPr>
              <w:jc w:val="center"/>
              <w:rPr>
                <w:sz w:val="20"/>
                <w:szCs w:val="20"/>
                <w:lang w:val="en-US"/>
              </w:rPr>
            </w:pPr>
            <w:r>
              <w:rPr>
                <w:sz w:val="20"/>
                <w:szCs w:val="20"/>
                <w:lang w:val="en-US"/>
              </w:rPr>
              <w:t>0.001</w:t>
            </w:r>
          </w:p>
        </w:tc>
        <w:tc>
          <w:tcPr>
            <w:tcW w:w="2107" w:type="dxa"/>
            <w:gridSpan w:val="2"/>
            <w:tcBorders>
              <w:bottom w:val="nil"/>
            </w:tcBorders>
            <w:vAlign w:val="center"/>
          </w:tcPr>
          <w:p w14:paraId="4BBED320" w14:textId="77777777" w:rsidR="00633F70" w:rsidRPr="00A358DB" w:rsidRDefault="00633F70" w:rsidP="001D35D7">
            <w:pPr>
              <w:jc w:val="center"/>
              <w:rPr>
                <w:sz w:val="20"/>
                <w:szCs w:val="20"/>
                <w:lang w:val="en-US"/>
              </w:rPr>
            </w:pPr>
            <w:r w:rsidRPr="00A358DB">
              <w:rPr>
                <w:sz w:val="20"/>
                <w:szCs w:val="20"/>
                <w:lang w:val="en-US"/>
              </w:rPr>
              <w:t>1.000</w:t>
            </w:r>
          </w:p>
        </w:tc>
      </w:tr>
      <w:tr w:rsidR="009C67C5" w:rsidRPr="006614AF" w14:paraId="68D40C52" w14:textId="77777777" w:rsidTr="00984C55">
        <w:trPr>
          <w:trHeight w:val="261"/>
          <w:jc w:val="center"/>
        </w:trPr>
        <w:tc>
          <w:tcPr>
            <w:tcW w:w="2266" w:type="dxa"/>
            <w:tcBorders>
              <w:top w:val="nil"/>
              <w:bottom w:val="single" w:sz="4" w:space="0" w:color="auto"/>
            </w:tcBorders>
            <w:vAlign w:val="center"/>
          </w:tcPr>
          <w:p w14:paraId="59F31C9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E9DE118" w14:textId="445BFA26" w:rsidR="009C67C5" w:rsidRPr="00A358DB" w:rsidRDefault="00633F70" w:rsidP="001D35D7">
            <w:pPr>
              <w:jc w:val="center"/>
              <w:rPr>
                <w:sz w:val="20"/>
                <w:szCs w:val="20"/>
                <w:lang w:val="en-US"/>
              </w:rPr>
            </w:pPr>
            <w:proofErr w:type="spellStart"/>
            <w:r w:rsidRPr="00633F70">
              <w:rPr>
                <w:sz w:val="20"/>
                <w:szCs w:val="20"/>
              </w:rPr>
              <w:t>Hardisson</w:t>
            </w:r>
            <w:proofErr w:type="spellEnd"/>
            <w:r w:rsidRPr="00633F70">
              <w:rPr>
                <w:sz w:val="20"/>
                <w:szCs w:val="20"/>
              </w:rPr>
              <w:t xml:space="preserve">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1122" w:type="dxa"/>
            <w:tcBorders>
              <w:top w:val="nil"/>
              <w:bottom w:val="single" w:sz="4" w:space="0" w:color="auto"/>
            </w:tcBorders>
            <w:vAlign w:val="center"/>
          </w:tcPr>
          <w:p w14:paraId="69D12DAF" w14:textId="77777777" w:rsidR="009C67C5" w:rsidRPr="00A358DB" w:rsidRDefault="009C67C5" w:rsidP="001D35D7">
            <w:pPr>
              <w:jc w:val="center"/>
              <w:rPr>
                <w:sz w:val="20"/>
                <w:szCs w:val="20"/>
                <w:lang w:val="en-US"/>
              </w:rPr>
            </w:pPr>
            <w:r w:rsidRPr="006614AF">
              <w:rPr>
                <w:sz w:val="18"/>
                <w:szCs w:val="20"/>
                <w:lang w:val="en-US"/>
              </w:rPr>
              <w:t xml:space="preserve">Yokel et al. </w:t>
            </w:r>
            <w:r>
              <w:rPr>
                <w:sz w:val="18"/>
                <w:szCs w:val="20"/>
                <w:lang w:val="en-US"/>
              </w:rPr>
              <w:fldChar w:fldCharType="begin" w:fldLock="1"/>
            </w:r>
            <w:r>
              <w:rPr>
                <w:sz w:val="18"/>
                <w:szCs w:val="20"/>
                <w:lang w:val="en-US"/>
              </w:rPr>
              <w:instrText>ADDIN CSL_CITATION {"citationItems":[{"id":"ITEM-1","itemData":{"DOI":"10.1016/S0300-483X(01)00335-3","ISSN":"0300483X","abstract":"The objectives were to estimate aluminum (Al) oral bioavailability under conditions that model its consumption in drinking water, and to test the hypotheses that stomach contents and co-administration of the major components of hard water affect Al absorption. Rats received intragastric 26Al in the absence and presence of food in the stomach and with or without concomitant calcium (Ca) and magnesium (Mg) at concentrations found in hard drinking water. The use of 26Al enables the study of Al pharmacokinetics at physiological Al concentrations without interference from 27Al in the environment or the subject. 27Al was intravenously administered throughout the study. Repeated blood withdrawal enabled determination of oral 26Al bioavailability from the area under its serum concentration × time curve compared to serum 27Al concentration in relation to its infusion rate. Oral Al bioavailability averaged 0.28%. The presence of food in the stomach and Ca and Mg in the water that contained the orally dosed 26Al appeared to delay but not significantly alter the extent of 26Al absorption. The present and published results suggest oral bioavailability of Al from drinking water is very low, about 0.3%. The present results suggest it is independent of stomach contents and water hardness. © 2001 Elsevier Science Ireland Ltd.","author":[{"dropping-particle":"","family":"Yokel","given":"Robert A.","non-dropping-particle":"","parse-names":false,"suffix":""},{"dropping-particle":"","family":"Rhineheimer","given":"Susan S.","non-dropping-particle":"","parse-names":false,"suffix":""},{"dropping-particle":"","family":"Brauer","given":"Russell D.","non-dropping-particle":"","parse-names":false,"suffix":""},{"dropping-particle":"","family":"Sharma","given":"Pankaj","non-dropping-particle":"","parse-names":false,"suffix":""},{"dropping-particle":"","family":"Elmore","given":"David","non-dropping-particle":"","parse-names":false,"suffix":""},{"dropping-particle":"","family":"McNamara","given":"Patrick J.","non-dropping-particle":"","parse-names":false,"suffix":""}],"container-title":"Toxicology","id":"ITEM-1","issue":"1-2","issued":{"date-parts":[["2001","3"]]},"page":"93-101","title":"Aluminum bioavailability from drinking water is very low and is not appreciably influenced by stomach contents or water hardness","type":"article-journal","volume":"161"},"suppress-author":1,"uris":["http://www.mendeley.com/documents/?uuid=ef71b319-e937-4c86-ac0a-8f2ddf4d1343"]}],"mendeley":{"formattedCitation":"(2001)","plainTextFormattedCitation":"(2001)","previouslyFormattedCitation":"(2001)"},"properties":{"noteIndex":0},"schema":"https://github.com/citation-style-language/schema/raw/master/csl-citation.json"}</w:instrText>
            </w:r>
            <w:r>
              <w:rPr>
                <w:sz w:val="18"/>
                <w:szCs w:val="20"/>
                <w:lang w:val="en-US"/>
              </w:rPr>
              <w:fldChar w:fldCharType="separate"/>
            </w:r>
            <w:r w:rsidRPr="006614AF">
              <w:rPr>
                <w:noProof/>
                <w:sz w:val="18"/>
                <w:szCs w:val="20"/>
                <w:lang w:val="en-US"/>
              </w:rPr>
              <w:t>(2001)</w:t>
            </w:r>
            <w:r>
              <w:rPr>
                <w:sz w:val="18"/>
                <w:szCs w:val="20"/>
                <w:lang w:val="en-US"/>
              </w:rPr>
              <w:fldChar w:fldCharType="end"/>
            </w:r>
          </w:p>
        </w:tc>
        <w:tc>
          <w:tcPr>
            <w:tcW w:w="7404" w:type="dxa"/>
            <w:gridSpan w:val="26"/>
            <w:tcBorders>
              <w:top w:val="nil"/>
              <w:bottom w:val="single" w:sz="4" w:space="0" w:color="auto"/>
            </w:tcBorders>
            <w:vAlign w:val="center"/>
          </w:tcPr>
          <w:p w14:paraId="18D275DB" w14:textId="06905084" w:rsidR="009C67C5" w:rsidRPr="00633F70" w:rsidRDefault="00633F70" w:rsidP="001D35D7">
            <w:pPr>
              <w:jc w:val="center"/>
              <w:rPr>
                <w:sz w:val="20"/>
                <w:szCs w:val="20"/>
                <w:lang w:val="en-US"/>
              </w:rPr>
            </w:pPr>
            <w:proofErr w:type="spellStart"/>
            <w:r w:rsidRPr="00633F70">
              <w:rPr>
                <w:sz w:val="20"/>
                <w:szCs w:val="20"/>
              </w:rPr>
              <w:t>Hardisson</w:t>
            </w:r>
            <w:proofErr w:type="spellEnd"/>
            <w:r w:rsidRPr="00633F70">
              <w:rPr>
                <w:sz w:val="20"/>
                <w:szCs w:val="20"/>
              </w:rPr>
              <w:t xml:space="preserve">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2107" w:type="dxa"/>
            <w:gridSpan w:val="2"/>
            <w:tcBorders>
              <w:top w:val="nil"/>
              <w:bottom w:val="single" w:sz="4" w:space="0" w:color="auto"/>
            </w:tcBorders>
            <w:vAlign w:val="center"/>
          </w:tcPr>
          <w:p w14:paraId="5D001FE2" w14:textId="77777777" w:rsidR="009C67C5" w:rsidRPr="00A358DB" w:rsidRDefault="009C67C5" w:rsidP="001D35D7">
            <w:pPr>
              <w:jc w:val="center"/>
              <w:rPr>
                <w:sz w:val="20"/>
                <w:szCs w:val="20"/>
                <w:lang w:val="en-US"/>
              </w:rPr>
            </w:pPr>
            <w:r w:rsidRPr="006614AF">
              <w:rPr>
                <w:sz w:val="20"/>
                <w:szCs w:val="20"/>
                <w:vertAlign w:val="superscript"/>
                <w:lang w:val="en-US"/>
              </w:rPr>
              <w:t>b</w:t>
            </w:r>
          </w:p>
        </w:tc>
      </w:tr>
      <w:tr w:rsidR="009C67C5" w:rsidRPr="006614AF" w14:paraId="33ECB4B7" w14:textId="77777777" w:rsidTr="00984C55">
        <w:trPr>
          <w:trHeight w:val="261"/>
          <w:jc w:val="center"/>
        </w:trPr>
        <w:tc>
          <w:tcPr>
            <w:tcW w:w="2266" w:type="dxa"/>
            <w:tcBorders>
              <w:bottom w:val="nil"/>
            </w:tcBorders>
            <w:vAlign w:val="center"/>
          </w:tcPr>
          <w:p w14:paraId="29E9A338" w14:textId="77777777" w:rsidR="009C67C5" w:rsidRPr="00A61503" w:rsidRDefault="009C67C5" w:rsidP="001D35D7">
            <w:pPr>
              <w:jc w:val="center"/>
              <w:rPr>
                <w:b/>
                <w:sz w:val="20"/>
                <w:szCs w:val="20"/>
                <w:lang w:val="en-US"/>
              </w:rPr>
            </w:pPr>
            <w:r w:rsidRPr="00A61503">
              <w:rPr>
                <w:b/>
                <w:sz w:val="20"/>
                <w:szCs w:val="20"/>
                <w:lang w:val="en-US"/>
              </w:rPr>
              <w:t>Ba</w:t>
            </w:r>
          </w:p>
        </w:tc>
        <w:tc>
          <w:tcPr>
            <w:tcW w:w="1131" w:type="dxa"/>
            <w:tcBorders>
              <w:bottom w:val="nil"/>
            </w:tcBorders>
            <w:vAlign w:val="center"/>
          </w:tcPr>
          <w:p w14:paraId="032777BC"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1C29195A" w14:textId="77777777" w:rsidR="009C67C5" w:rsidRPr="00A358DB"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FBE520F" w14:textId="3FBD2B3F" w:rsidR="009C67C5" w:rsidRPr="00DF7567" w:rsidRDefault="009F213F" w:rsidP="001D35D7">
            <w:pPr>
              <w:jc w:val="center"/>
              <w:rPr>
                <w:sz w:val="20"/>
                <w:szCs w:val="20"/>
                <w:vertAlign w:val="superscript"/>
                <w:lang w:val="en-US"/>
              </w:rPr>
            </w:pPr>
            <w:r>
              <w:rPr>
                <w:sz w:val="20"/>
                <w:szCs w:val="20"/>
                <w:lang w:val="en-US"/>
              </w:rPr>
              <w:t>0.180</w:t>
            </w:r>
            <w:r w:rsidR="00DF7567">
              <w:rPr>
                <w:sz w:val="20"/>
                <w:szCs w:val="20"/>
                <w:vertAlign w:val="superscript"/>
                <w:lang w:val="en-US"/>
              </w:rPr>
              <w:t xml:space="preserve"> f</w:t>
            </w:r>
          </w:p>
        </w:tc>
        <w:tc>
          <w:tcPr>
            <w:tcW w:w="1122" w:type="dxa"/>
            <w:tcBorders>
              <w:bottom w:val="nil"/>
            </w:tcBorders>
            <w:vAlign w:val="center"/>
          </w:tcPr>
          <w:p w14:paraId="735EFB6A" w14:textId="77777777" w:rsidR="009C67C5" w:rsidRPr="00321515" w:rsidRDefault="009C67C5" w:rsidP="001D35D7">
            <w:pPr>
              <w:jc w:val="center"/>
              <w:rPr>
                <w:sz w:val="20"/>
                <w:szCs w:val="20"/>
                <w:vertAlign w:val="superscript"/>
                <w:lang w:val="en-US"/>
              </w:rPr>
            </w:pPr>
            <w:r>
              <w:rPr>
                <w:sz w:val="20"/>
                <w:szCs w:val="20"/>
                <w:lang w:val="en-US"/>
              </w:rPr>
              <w:t>0.193 ± 0.024</w:t>
            </w:r>
          </w:p>
        </w:tc>
        <w:tc>
          <w:tcPr>
            <w:tcW w:w="985" w:type="dxa"/>
            <w:tcBorders>
              <w:bottom w:val="nil"/>
            </w:tcBorders>
            <w:vAlign w:val="center"/>
          </w:tcPr>
          <w:p w14:paraId="1DDFF5F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DF9039D" w14:textId="77777777" w:rsidTr="00984C55">
        <w:trPr>
          <w:trHeight w:val="261"/>
          <w:jc w:val="center"/>
        </w:trPr>
        <w:tc>
          <w:tcPr>
            <w:tcW w:w="2266" w:type="dxa"/>
            <w:tcBorders>
              <w:top w:val="nil"/>
              <w:bottom w:val="single" w:sz="4" w:space="0" w:color="auto"/>
            </w:tcBorders>
            <w:vAlign w:val="center"/>
          </w:tcPr>
          <w:p w14:paraId="1ADDA71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44604306" w14:textId="77777777" w:rsidR="009C67C5" w:rsidRPr="00A358DB" w:rsidRDefault="009C67C5" w:rsidP="001D35D7">
            <w:pPr>
              <w:jc w:val="center"/>
              <w:rPr>
                <w:sz w:val="20"/>
                <w:szCs w:val="20"/>
                <w:lang w:val="en-US"/>
              </w:rPr>
            </w:pPr>
            <w:r w:rsidRPr="006614AF">
              <w:rPr>
                <w:sz w:val="20"/>
                <w:szCs w:val="20"/>
                <w:vertAlign w:val="superscript"/>
                <w:lang w:val="en-US"/>
              </w:rPr>
              <w:t>b</w:t>
            </w:r>
          </w:p>
        </w:tc>
        <w:tc>
          <w:tcPr>
            <w:tcW w:w="1122" w:type="dxa"/>
            <w:tcBorders>
              <w:top w:val="nil"/>
              <w:bottom w:val="single" w:sz="4" w:space="0" w:color="auto"/>
            </w:tcBorders>
            <w:vAlign w:val="center"/>
          </w:tcPr>
          <w:p w14:paraId="3BF807F5" w14:textId="77777777" w:rsidR="009C67C5" w:rsidRPr="00A358DB"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556267C" w14:textId="445CF1F3" w:rsidR="009C67C5" w:rsidRPr="00A358DB" w:rsidRDefault="004E7027" w:rsidP="001D35D7">
            <w:pPr>
              <w:jc w:val="center"/>
              <w:rPr>
                <w:sz w:val="20"/>
                <w:szCs w:val="20"/>
                <w:lang w:val="en-US"/>
              </w:rPr>
            </w:pPr>
            <w:r>
              <w:rPr>
                <w:sz w:val="20"/>
                <w:szCs w:val="20"/>
                <w:lang w:val="en-US"/>
              </w:rPr>
              <w:t xml:space="preserve">WHO </w:t>
            </w:r>
            <w:r>
              <w:rPr>
                <w:sz w:val="20"/>
                <w:szCs w:val="20"/>
                <w:lang w:val="en-US"/>
              </w:rPr>
              <w:fldChar w:fldCharType="begin" w:fldLock="1"/>
            </w:r>
            <w:r w:rsidR="00207DD7">
              <w:rPr>
                <w:sz w:val="20"/>
                <w:szCs w:val="20"/>
                <w:lang w:val="en-US"/>
              </w:rPr>
              <w:instrText>ADDIN CSL_CITATION {"citationItems":[{"id":"ITEM-1","itemData":{"author":[{"dropping-particle":"","family":"WHO","given":"","non-dropping-particle":"","parse-names":false,"suffix":""}],"container-title":"World Health Organization","id":"ITEM-1","issued":{"date-parts":[["2001"]]},"title":"Barium and barium compounds","type":"report"},"suppress-author":1,"uris":["http://www.mendeley.com/documents/?uuid=12a91d4f-f742-4d6a-bc49-0b4bac2e2e4b"]}],"mendeley":{"formattedCitation":"(2001)","plainTextFormattedCitation":"(2001)","previouslyFormattedCitation":"(2001)"},"properties":{"noteIndex":0},"schema":"https://github.com/citation-style-language/schema/raw/master/csl-citation.json"}</w:instrText>
            </w:r>
            <w:r>
              <w:rPr>
                <w:sz w:val="20"/>
                <w:szCs w:val="20"/>
                <w:lang w:val="en-US"/>
              </w:rPr>
              <w:fldChar w:fldCharType="separate"/>
            </w:r>
            <w:r w:rsidRPr="004E7027">
              <w:rPr>
                <w:noProof/>
                <w:sz w:val="20"/>
                <w:szCs w:val="20"/>
                <w:lang w:val="en-US"/>
              </w:rPr>
              <w:t>(2001)</w:t>
            </w:r>
            <w:r>
              <w:rPr>
                <w:sz w:val="20"/>
                <w:szCs w:val="20"/>
                <w:lang w:val="en-US"/>
              </w:rPr>
              <w:fldChar w:fldCharType="end"/>
            </w:r>
          </w:p>
        </w:tc>
        <w:tc>
          <w:tcPr>
            <w:tcW w:w="1122" w:type="dxa"/>
            <w:tcBorders>
              <w:top w:val="nil"/>
              <w:bottom w:val="single" w:sz="4" w:space="0" w:color="auto"/>
            </w:tcBorders>
            <w:vAlign w:val="center"/>
          </w:tcPr>
          <w:p w14:paraId="450F2CC7"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2359DF0" w14:textId="77777777" w:rsidR="009C67C5" w:rsidRPr="00A358DB" w:rsidRDefault="009C67C5" w:rsidP="001D35D7">
            <w:pPr>
              <w:jc w:val="center"/>
              <w:rPr>
                <w:sz w:val="20"/>
                <w:szCs w:val="20"/>
                <w:lang w:val="en-US"/>
              </w:rPr>
            </w:pPr>
            <w:r>
              <w:rPr>
                <w:sz w:val="20"/>
                <w:szCs w:val="20"/>
                <w:vertAlign w:val="superscript"/>
              </w:rPr>
              <w:t>b</w:t>
            </w:r>
          </w:p>
        </w:tc>
      </w:tr>
      <w:tr w:rsidR="00182E6B" w:rsidRPr="00A358DB" w14:paraId="3C37155C" w14:textId="77777777" w:rsidTr="00984C55">
        <w:trPr>
          <w:trHeight w:val="261"/>
          <w:jc w:val="center"/>
        </w:trPr>
        <w:tc>
          <w:tcPr>
            <w:tcW w:w="2266" w:type="dxa"/>
            <w:tcBorders>
              <w:top w:val="single" w:sz="4" w:space="0" w:color="auto"/>
              <w:bottom w:val="nil"/>
            </w:tcBorders>
            <w:vAlign w:val="center"/>
          </w:tcPr>
          <w:p w14:paraId="4AB73390" w14:textId="49219DE0" w:rsidR="00182E6B" w:rsidRPr="00A61503" w:rsidRDefault="00182E6B" w:rsidP="00182E6B">
            <w:pPr>
              <w:jc w:val="center"/>
              <w:rPr>
                <w:i/>
                <w:iCs/>
                <w:sz w:val="20"/>
                <w:szCs w:val="52"/>
                <w:lang w:val="en-US"/>
              </w:rPr>
            </w:pPr>
            <w:r w:rsidRPr="00A61503">
              <w:rPr>
                <w:b/>
                <w:sz w:val="20"/>
                <w:szCs w:val="20"/>
                <w:lang w:val="en-US"/>
              </w:rPr>
              <w:t>Cu</w:t>
            </w:r>
          </w:p>
        </w:tc>
        <w:tc>
          <w:tcPr>
            <w:tcW w:w="1131" w:type="dxa"/>
            <w:tcBorders>
              <w:top w:val="single" w:sz="4" w:space="0" w:color="auto"/>
              <w:bottom w:val="nil"/>
            </w:tcBorders>
            <w:vAlign w:val="center"/>
          </w:tcPr>
          <w:p w14:paraId="7141FB85" w14:textId="29B28779" w:rsidR="00182E6B" w:rsidRPr="006614AF" w:rsidRDefault="00182E6B" w:rsidP="00182E6B">
            <w:pPr>
              <w:jc w:val="center"/>
              <w:rPr>
                <w:sz w:val="20"/>
                <w:szCs w:val="20"/>
                <w:vertAlign w:val="superscript"/>
                <w:lang w:val="en-US"/>
              </w:rPr>
            </w:pPr>
            <w:r w:rsidRPr="006C7EA6">
              <w:rPr>
                <w:sz w:val="20"/>
                <w:szCs w:val="20"/>
              </w:rPr>
              <w:t>0.</w:t>
            </w:r>
            <w:r>
              <w:rPr>
                <w:sz w:val="20"/>
                <w:szCs w:val="20"/>
              </w:rPr>
              <w:t>298 ± 0.064</w:t>
            </w:r>
          </w:p>
        </w:tc>
        <w:tc>
          <w:tcPr>
            <w:tcW w:w="1122" w:type="dxa"/>
            <w:tcBorders>
              <w:top w:val="single" w:sz="4" w:space="0" w:color="auto"/>
              <w:bottom w:val="nil"/>
            </w:tcBorders>
            <w:vAlign w:val="center"/>
          </w:tcPr>
          <w:p w14:paraId="0B5AFFDA" w14:textId="4103F26A" w:rsidR="00182E6B" w:rsidRPr="006614AF" w:rsidRDefault="00182E6B" w:rsidP="00182E6B">
            <w:pPr>
              <w:jc w:val="center"/>
              <w:rPr>
                <w:sz w:val="18"/>
                <w:szCs w:val="20"/>
                <w:lang w:val="en-US"/>
              </w:rPr>
            </w:pPr>
            <w:r w:rsidRPr="00733D75">
              <w:rPr>
                <w:sz w:val="20"/>
                <w:szCs w:val="20"/>
                <w:lang w:val="en-US"/>
              </w:rPr>
              <w:t>0</w:t>
            </w:r>
            <w:r w:rsidRPr="00733D75">
              <w:rPr>
                <w:sz w:val="20"/>
                <w:szCs w:val="20"/>
              </w:rPr>
              <w:t>.600</w:t>
            </w:r>
          </w:p>
        </w:tc>
        <w:tc>
          <w:tcPr>
            <w:tcW w:w="925" w:type="dxa"/>
            <w:tcBorders>
              <w:top w:val="single" w:sz="4" w:space="0" w:color="auto"/>
              <w:bottom w:val="nil"/>
              <w:right w:val="nil"/>
            </w:tcBorders>
            <w:vAlign w:val="center"/>
          </w:tcPr>
          <w:p w14:paraId="066307F7" w14:textId="4F77B4F5" w:rsidR="00182E6B" w:rsidRDefault="00182E6B" w:rsidP="00182E6B">
            <w:pPr>
              <w:jc w:val="center"/>
              <w:rPr>
                <w:sz w:val="20"/>
                <w:szCs w:val="20"/>
                <w:vertAlign w:val="superscript"/>
              </w:rPr>
            </w:pPr>
            <w:r w:rsidRPr="006C7EA6">
              <w:rPr>
                <w:sz w:val="20"/>
                <w:szCs w:val="20"/>
              </w:rPr>
              <w:t xml:space="preserve">0.340 ± 0.084 </w:t>
            </w:r>
            <w:r w:rsidRPr="006C7EA6">
              <w:rPr>
                <w:sz w:val="20"/>
                <w:szCs w:val="20"/>
                <w:vertAlign w:val="superscript"/>
              </w:rPr>
              <w:t>e</w:t>
            </w:r>
          </w:p>
        </w:tc>
        <w:tc>
          <w:tcPr>
            <w:tcW w:w="926" w:type="dxa"/>
            <w:gridSpan w:val="3"/>
            <w:tcBorders>
              <w:top w:val="single" w:sz="4" w:space="0" w:color="auto"/>
              <w:left w:val="nil"/>
              <w:bottom w:val="nil"/>
            </w:tcBorders>
            <w:vAlign w:val="center"/>
          </w:tcPr>
          <w:p w14:paraId="203555D7" w14:textId="3E65FCC9" w:rsidR="00182E6B" w:rsidRDefault="00182E6B" w:rsidP="00182E6B">
            <w:pPr>
              <w:jc w:val="center"/>
              <w:rPr>
                <w:sz w:val="20"/>
                <w:szCs w:val="20"/>
                <w:vertAlign w:val="superscript"/>
              </w:rPr>
            </w:pPr>
            <w:r w:rsidRPr="006C7EA6">
              <w:rPr>
                <w:sz w:val="20"/>
                <w:szCs w:val="20"/>
              </w:rPr>
              <w:t xml:space="preserve">0.370 ± 0.027 </w:t>
            </w:r>
            <w:r w:rsidRPr="006C7EA6">
              <w:rPr>
                <w:sz w:val="20"/>
                <w:szCs w:val="20"/>
                <w:vertAlign w:val="superscript"/>
              </w:rPr>
              <w:t>e</w:t>
            </w:r>
          </w:p>
        </w:tc>
        <w:tc>
          <w:tcPr>
            <w:tcW w:w="925" w:type="dxa"/>
            <w:gridSpan w:val="2"/>
            <w:tcBorders>
              <w:top w:val="single" w:sz="4" w:space="0" w:color="auto"/>
              <w:bottom w:val="nil"/>
              <w:right w:val="nil"/>
            </w:tcBorders>
            <w:vAlign w:val="center"/>
          </w:tcPr>
          <w:p w14:paraId="392ADB0B" w14:textId="699F866E"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2"/>
            <w:tcBorders>
              <w:top w:val="single" w:sz="4" w:space="0" w:color="auto"/>
              <w:left w:val="nil"/>
              <w:bottom w:val="nil"/>
              <w:right w:val="nil"/>
            </w:tcBorders>
            <w:vAlign w:val="center"/>
          </w:tcPr>
          <w:p w14:paraId="3C2208D7" w14:textId="27F51AE1"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3"/>
            <w:tcBorders>
              <w:top w:val="single" w:sz="4" w:space="0" w:color="auto"/>
              <w:left w:val="nil"/>
              <w:bottom w:val="nil"/>
              <w:right w:val="nil"/>
            </w:tcBorders>
            <w:vAlign w:val="center"/>
          </w:tcPr>
          <w:p w14:paraId="00BA03C4" w14:textId="0114F951"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7"/>
            <w:tcBorders>
              <w:top w:val="single" w:sz="4" w:space="0" w:color="auto"/>
              <w:left w:val="nil"/>
              <w:bottom w:val="nil"/>
              <w:right w:val="nil"/>
            </w:tcBorders>
            <w:vAlign w:val="center"/>
          </w:tcPr>
          <w:p w14:paraId="7B2F19A4" w14:textId="1CAD4828"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4"/>
            <w:tcBorders>
              <w:top w:val="single" w:sz="4" w:space="0" w:color="auto"/>
              <w:left w:val="nil"/>
              <w:bottom w:val="nil"/>
              <w:right w:val="nil"/>
            </w:tcBorders>
            <w:vAlign w:val="center"/>
          </w:tcPr>
          <w:p w14:paraId="58F7A58F" w14:textId="3EB5F50F"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4"/>
            <w:tcBorders>
              <w:top w:val="single" w:sz="4" w:space="0" w:color="auto"/>
              <w:left w:val="nil"/>
              <w:bottom w:val="nil"/>
            </w:tcBorders>
            <w:vAlign w:val="center"/>
          </w:tcPr>
          <w:p w14:paraId="3D15FC47" w14:textId="65870D36" w:rsidR="00182E6B" w:rsidRDefault="00182E6B" w:rsidP="00182E6B">
            <w:pPr>
              <w:jc w:val="center"/>
              <w:rPr>
                <w:sz w:val="20"/>
                <w:szCs w:val="20"/>
                <w:vertAlign w:val="superscript"/>
              </w:rPr>
            </w:pPr>
            <w:r>
              <w:rPr>
                <w:rStyle w:val="tlid-translation"/>
                <w:sz w:val="20"/>
                <w:szCs w:val="20"/>
                <w:lang w:val="en-US"/>
              </w:rPr>
              <w:t>0.340</w:t>
            </w:r>
          </w:p>
        </w:tc>
        <w:tc>
          <w:tcPr>
            <w:tcW w:w="1122" w:type="dxa"/>
            <w:tcBorders>
              <w:top w:val="single" w:sz="4" w:space="0" w:color="auto"/>
              <w:bottom w:val="nil"/>
            </w:tcBorders>
            <w:vAlign w:val="center"/>
          </w:tcPr>
          <w:p w14:paraId="0F7BFE79" w14:textId="0912C12A" w:rsidR="00182E6B" w:rsidRPr="00081381" w:rsidRDefault="00182E6B" w:rsidP="00182E6B">
            <w:pPr>
              <w:jc w:val="center"/>
              <w:rPr>
                <w:sz w:val="18"/>
                <w:lang w:val="en-US"/>
              </w:rPr>
            </w:pPr>
            <w:r>
              <w:rPr>
                <w:sz w:val="20"/>
                <w:szCs w:val="20"/>
                <w:lang w:val="en-US"/>
              </w:rPr>
              <w:t>0.413 ± 0.041</w:t>
            </w:r>
          </w:p>
        </w:tc>
        <w:tc>
          <w:tcPr>
            <w:tcW w:w="985" w:type="dxa"/>
            <w:tcBorders>
              <w:top w:val="single" w:sz="4" w:space="0" w:color="auto"/>
              <w:bottom w:val="nil"/>
            </w:tcBorders>
            <w:vAlign w:val="center"/>
          </w:tcPr>
          <w:p w14:paraId="22DE10CC" w14:textId="2F8914FE" w:rsidR="00182E6B" w:rsidRDefault="00182E6B" w:rsidP="00182E6B">
            <w:pPr>
              <w:jc w:val="center"/>
              <w:rPr>
                <w:sz w:val="20"/>
                <w:szCs w:val="20"/>
                <w:vertAlign w:val="superscript"/>
              </w:rPr>
            </w:pPr>
            <w:r w:rsidRPr="00A358DB">
              <w:rPr>
                <w:sz w:val="20"/>
                <w:szCs w:val="20"/>
                <w:lang w:val="en-US"/>
              </w:rPr>
              <w:t>1.000</w:t>
            </w:r>
          </w:p>
        </w:tc>
      </w:tr>
      <w:tr w:rsidR="00182E6B" w:rsidRPr="00A358DB" w14:paraId="3920D80F" w14:textId="77777777" w:rsidTr="00984C55">
        <w:trPr>
          <w:trHeight w:val="261"/>
          <w:jc w:val="center"/>
        </w:trPr>
        <w:tc>
          <w:tcPr>
            <w:tcW w:w="2266" w:type="dxa"/>
            <w:tcBorders>
              <w:top w:val="nil"/>
              <w:bottom w:val="single" w:sz="4" w:space="0" w:color="auto"/>
            </w:tcBorders>
            <w:vAlign w:val="center"/>
          </w:tcPr>
          <w:p w14:paraId="39F215E3" w14:textId="38F7189C" w:rsidR="00182E6B" w:rsidRPr="00A61503" w:rsidRDefault="00182E6B" w:rsidP="00182E6B">
            <w:pPr>
              <w:jc w:val="center"/>
              <w:rPr>
                <w:i/>
                <w:iCs/>
                <w:sz w:val="20"/>
                <w:szCs w:val="52"/>
                <w:lang w:val="en-US"/>
              </w:rPr>
            </w:pPr>
            <w:r w:rsidRPr="00A428C5">
              <w:rPr>
                <w:i/>
                <w:iCs/>
                <w:sz w:val="20"/>
                <w:szCs w:val="52"/>
                <w:lang w:val="en-US"/>
              </w:rPr>
              <w:t>Reference</w:t>
            </w:r>
          </w:p>
        </w:tc>
        <w:tc>
          <w:tcPr>
            <w:tcW w:w="1131" w:type="dxa"/>
            <w:tcBorders>
              <w:top w:val="nil"/>
              <w:bottom w:val="single" w:sz="4" w:space="0" w:color="auto"/>
            </w:tcBorders>
            <w:vAlign w:val="center"/>
          </w:tcPr>
          <w:p w14:paraId="173E8022" w14:textId="7A77E552" w:rsidR="00182E6B" w:rsidRPr="006614AF" w:rsidRDefault="00182E6B" w:rsidP="00182E6B">
            <w:pPr>
              <w:jc w:val="center"/>
              <w:rPr>
                <w:sz w:val="20"/>
                <w:szCs w:val="20"/>
                <w:vertAlign w:val="superscript"/>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3C64396" w14:textId="64A57405" w:rsidR="00182E6B" w:rsidRPr="006614AF" w:rsidRDefault="00182E6B" w:rsidP="00182E6B">
            <w:pPr>
              <w:jc w:val="center"/>
              <w:rPr>
                <w:sz w:val="18"/>
                <w:szCs w:val="20"/>
                <w:lang w:val="en-US"/>
              </w:rPr>
            </w:pPr>
            <w:r>
              <w:rPr>
                <w:sz w:val="20"/>
                <w:szCs w:val="20"/>
                <w:lang w:val="en-US"/>
              </w:rPr>
              <w:t xml:space="preserve">Weber et al. </w:t>
            </w:r>
            <w:r>
              <w:rPr>
                <w:sz w:val="20"/>
                <w:szCs w:val="20"/>
                <w:lang w:val="en-US"/>
              </w:rPr>
              <w:fldChar w:fldCharType="begin" w:fldLock="1"/>
            </w:r>
            <w:r>
              <w:rPr>
                <w:sz w:val="20"/>
                <w:szCs w:val="20"/>
                <w:lang w:val="en-US"/>
              </w:rPr>
              <w:instrText>ADDIN CSL_CITATION {"citationItems":[{"id":"ITEM-1","itemData":{"author":[{"dropping-particle":"","family":"Weber","given":"P. M.","non-dropping-particle":"","parse-names":false,"suffix":""},{"dropping-particle":"","family":"O'reilly","given":"S.","non-dropping-particle":"","parse-names":false,"suffix":""},{"dropping-particle":"","family":"Pollycove","given":"M.","non-dropping-particle":"","parse-names":false,"suffix":""},{"dropping-particle":"","family":"Shipley","given":"L.","non-dropping-particle":"","parse-names":false,"suffix":""}],"container-title":"Journal of Nuclear Medicine","id":"ITEM-1","issue":"9","issued":{"date-parts":[["1969"]]},"page":"591-596","title":"Gastrointestinal absorption of copper: studies with 64Cu, 95Zr, a whole-body counter and the scintillation camera","type":"article-journal","volume":"10"},"suppress-author":1,"uris":["http://www.mendeley.com/documents/?uuid=d765f394-7b2b-4c80-ada0-6aba7cc7ebf6"]}],"mendeley":{"formattedCitation":"(1969)","plainTextFormattedCitation":"(1969)","previouslyFormattedCitation":"(1969)"},"properties":{"noteIndex":0},"schema":"https://github.com/citation-style-language/schema/raw/master/csl-citation.json"}</w:instrText>
            </w:r>
            <w:r>
              <w:rPr>
                <w:sz w:val="20"/>
                <w:szCs w:val="20"/>
                <w:lang w:val="en-US"/>
              </w:rPr>
              <w:fldChar w:fldCharType="separate"/>
            </w:r>
            <w:r w:rsidRPr="00870BC2">
              <w:rPr>
                <w:noProof/>
                <w:sz w:val="20"/>
                <w:szCs w:val="20"/>
                <w:lang w:val="en-US"/>
              </w:rPr>
              <w:t>(1969)</w:t>
            </w:r>
            <w:r>
              <w:rPr>
                <w:sz w:val="20"/>
                <w:szCs w:val="20"/>
                <w:lang w:val="en-US"/>
              </w:rPr>
              <w:fldChar w:fldCharType="end"/>
            </w:r>
          </w:p>
        </w:tc>
        <w:tc>
          <w:tcPr>
            <w:tcW w:w="1851" w:type="dxa"/>
            <w:gridSpan w:val="4"/>
            <w:tcBorders>
              <w:top w:val="nil"/>
              <w:bottom w:val="single" w:sz="4" w:space="0" w:color="auto"/>
            </w:tcBorders>
            <w:vAlign w:val="center"/>
          </w:tcPr>
          <w:p w14:paraId="6E3060FB" w14:textId="3A60E020" w:rsidR="00182E6B" w:rsidRDefault="00182E6B" w:rsidP="00182E6B">
            <w:pPr>
              <w:jc w:val="center"/>
              <w:rPr>
                <w:sz w:val="20"/>
                <w:szCs w:val="20"/>
                <w:vertAlign w:val="superscript"/>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553" w:type="dxa"/>
            <w:gridSpan w:val="22"/>
            <w:tcBorders>
              <w:top w:val="nil"/>
              <w:bottom w:val="single" w:sz="4" w:space="0" w:color="auto"/>
            </w:tcBorders>
            <w:vAlign w:val="center"/>
          </w:tcPr>
          <w:p w14:paraId="781BA3E9" w14:textId="3182EC37" w:rsidR="00182E6B" w:rsidRDefault="00182E6B" w:rsidP="00182E6B">
            <w:pPr>
              <w:jc w:val="center"/>
              <w:rPr>
                <w:sz w:val="20"/>
                <w:szCs w:val="20"/>
                <w:vertAlign w:val="superscript"/>
              </w:rPr>
            </w:pPr>
            <w:proofErr w:type="spellStart"/>
            <w:r w:rsidRPr="001968F1">
              <w:rPr>
                <w:sz w:val="20"/>
                <w:szCs w:val="20"/>
                <w:lang w:val="en-US"/>
              </w:rPr>
              <w:t>Lönnerdal</w:t>
            </w:r>
            <w:proofErr w:type="spellEnd"/>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{"citationItems":[{"id":"ITEM-1","itemData":{"DOI":"10.1093/ajcn/63.5.821","ISSN":"0002-9165","author":[{"dropping-particle":"","family":"Lönnerdal","given":"B","non-dropping-particle":"","parse-names":false,"suffix":""}],"container-title":"The American Journal of Clinical Nutrition","id":"ITEM-1","issue":"5","issued":{"date-parts":[["1996","5","1"]]},"page":"821S-829S","title":"Bioavailability of copper","type":"article-journal","volume":"63"},"suppress-author":1,"uris":["http://www.mendeley.com/documents/?uuid=afc6804b-1a53-4420-9ca9-be1515470405"]}],"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1968F1">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576C1A5A" w14:textId="06ACC37D" w:rsidR="00182E6B" w:rsidRPr="00081381" w:rsidRDefault="00182E6B" w:rsidP="00182E6B">
            <w:pPr>
              <w:jc w:val="center"/>
              <w:rPr>
                <w:sz w:val="18"/>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693BE082" w14:textId="2CD44D28" w:rsidR="00182E6B" w:rsidRDefault="00182E6B" w:rsidP="00182E6B">
            <w:pPr>
              <w:jc w:val="center"/>
              <w:rPr>
                <w:sz w:val="20"/>
                <w:szCs w:val="20"/>
                <w:vertAlign w:val="superscript"/>
              </w:rPr>
            </w:pPr>
            <w:r>
              <w:rPr>
                <w:sz w:val="20"/>
                <w:szCs w:val="20"/>
                <w:vertAlign w:val="superscript"/>
              </w:rPr>
              <w:t>b</w:t>
            </w:r>
          </w:p>
        </w:tc>
      </w:tr>
      <w:tr w:rsidR="003900BB" w:rsidRPr="00A358DB" w14:paraId="14DC885B" w14:textId="77777777" w:rsidTr="00984C55">
        <w:trPr>
          <w:trHeight w:val="261"/>
          <w:jc w:val="center"/>
        </w:trPr>
        <w:tc>
          <w:tcPr>
            <w:tcW w:w="2266" w:type="dxa"/>
            <w:tcBorders>
              <w:top w:val="single" w:sz="4" w:space="0" w:color="auto"/>
              <w:left w:val="nil"/>
              <w:bottom w:val="nil"/>
              <w:right w:val="nil"/>
            </w:tcBorders>
            <w:vAlign w:val="center"/>
          </w:tcPr>
          <w:p w14:paraId="18DFB69A" w14:textId="77777777" w:rsidR="003900BB" w:rsidRPr="00A428C5" w:rsidRDefault="003900BB" w:rsidP="00182E6B">
            <w:pPr>
              <w:jc w:val="center"/>
              <w:rPr>
                <w:i/>
                <w:iCs/>
                <w:sz w:val="20"/>
                <w:szCs w:val="52"/>
                <w:lang w:val="en-US"/>
              </w:rPr>
            </w:pPr>
          </w:p>
        </w:tc>
        <w:tc>
          <w:tcPr>
            <w:tcW w:w="1131" w:type="dxa"/>
            <w:tcBorders>
              <w:top w:val="single" w:sz="4" w:space="0" w:color="auto"/>
              <w:left w:val="nil"/>
              <w:bottom w:val="nil"/>
              <w:right w:val="nil"/>
            </w:tcBorders>
            <w:vAlign w:val="center"/>
          </w:tcPr>
          <w:p w14:paraId="596CF155" w14:textId="77777777" w:rsidR="003900BB"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43733D58" w14:textId="77777777" w:rsidR="003900BB" w:rsidRDefault="003900BB" w:rsidP="00182E6B">
            <w:pPr>
              <w:jc w:val="center"/>
              <w:rPr>
                <w:sz w:val="20"/>
                <w:szCs w:val="20"/>
                <w:lang w:val="en-US"/>
              </w:rPr>
            </w:pPr>
          </w:p>
        </w:tc>
        <w:tc>
          <w:tcPr>
            <w:tcW w:w="1851" w:type="dxa"/>
            <w:gridSpan w:val="4"/>
            <w:tcBorders>
              <w:top w:val="single" w:sz="4" w:space="0" w:color="auto"/>
              <w:left w:val="nil"/>
              <w:bottom w:val="nil"/>
              <w:right w:val="nil"/>
            </w:tcBorders>
            <w:vAlign w:val="center"/>
          </w:tcPr>
          <w:p w14:paraId="37052F49" w14:textId="77777777" w:rsidR="003900BB" w:rsidRDefault="003900BB" w:rsidP="00182E6B">
            <w:pPr>
              <w:jc w:val="center"/>
              <w:rPr>
                <w:sz w:val="20"/>
                <w:szCs w:val="20"/>
                <w:lang w:val="en-US"/>
              </w:rPr>
            </w:pPr>
          </w:p>
        </w:tc>
        <w:tc>
          <w:tcPr>
            <w:tcW w:w="5553" w:type="dxa"/>
            <w:gridSpan w:val="22"/>
            <w:tcBorders>
              <w:top w:val="single" w:sz="4" w:space="0" w:color="auto"/>
              <w:left w:val="nil"/>
              <w:bottom w:val="nil"/>
              <w:right w:val="nil"/>
            </w:tcBorders>
            <w:vAlign w:val="center"/>
          </w:tcPr>
          <w:p w14:paraId="5CF3E6F3" w14:textId="77777777" w:rsidR="003900BB" w:rsidRPr="001968F1"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13EFD38B" w14:textId="77777777" w:rsidR="003900BB" w:rsidRPr="00081381" w:rsidRDefault="003900BB" w:rsidP="00182E6B">
            <w:pPr>
              <w:jc w:val="center"/>
              <w:rPr>
                <w:sz w:val="18"/>
                <w:lang w:val="en-US"/>
              </w:rPr>
            </w:pPr>
          </w:p>
        </w:tc>
        <w:tc>
          <w:tcPr>
            <w:tcW w:w="985" w:type="dxa"/>
            <w:tcBorders>
              <w:top w:val="single" w:sz="4" w:space="0" w:color="auto"/>
              <w:left w:val="nil"/>
              <w:bottom w:val="nil"/>
              <w:right w:val="nil"/>
            </w:tcBorders>
            <w:vAlign w:val="center"/>
          </w:tcPr>
          <w:p w14:paraId="7293381C" w14:textId="77777777" w:rsidR="003900BB" w:rsidRDefault="003900BB" w:rsidP="00182E6B">
            <w:pPr>
              <w:jc w:val="center"/>
              <w:rPr>
                <w:sz w:val="20"/>
                <w:szCs w:val="20"/>
                <w:vertAlign w:val="superscript"/>
              </w:rPr>
            </w:pPr>
          </w:p>
        </w:tc>
      </w:tr>
      <w:tr w:rsidR="003900BB" w:rsidRPr="00A358DB" w14:paraId="52B7C5EF" w14:textId="77777777" w:rsidTr="00984C55">
        <w:trPr>
          <w:trHeight w:val="261"/>
          <w:jc w:val="center"/>
        </w:trPr>
        <w:tc>
          <w:tcPr>
            <w:tcW w:w="2266" w:type="dxa"/>
            <w:tcBorders>
              <w:top w:val="nil"/>
              <w:left w:val="nil"/>
              <w:bottom w:val="nil"/>
              <w:right w:val="nil"/>
            </w:tcBorders>
            <w:vAlign w:val="center"/>
          </w:tcPr>
          <w:p w14:paraId="12CC8CB1"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4C3E2BBB"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08207F1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61B7C315"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61C3EBE5"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343DA648"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3C20D5D3" w14:textId="77777777" w:rsidR="003900BB" w:rsidRDefault="003900BB" w:rsidP="00182E6B">
            <w:pPr>
              <w:jc w:val="center"/>
              <w:rPr>
                <w:sz w:val="20"/>
                <w:szCs w:val="20"/>
                <w:vertAlign w:val="superscript"/>
              </w:rPr>
            </w:pPr>
          </w:p>
        </w:tc>
      </w:tr>
      <w:tr w:rsidR="003900BB" w:rsidRPr="00A358DB" w14:paraId="4DDD7563" w14:textId="77777777" w:rsidTr="00984C55">
        <w:trPr>
          <w:trHeight w:val="261"/>
          <w:jc w:val="center"/>
        </w:trPr>
        <w:tc>
          <w:tcPr>
            <w:tcW w:w="2266" w:type="dxa"/>
            <w:tcBorders>
              <w:top w:val="nil"/>
              <w:left w:val="nil"/>
              <w:bottom w:val="nil"/>
              <w:right w:val="nil"/>
            </w:tcBorders>
            <w:vAlign w:val="center"/>
          </w:tcPr>
          <w:p w14:paraId="5BDF1412"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1811D507"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7F2622E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75156B41"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51C08224"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614D7DB6"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74DC98C3" w14:textId="77777777" w:rsidR="003900BB" w:rsidRDefault="003900BB" w:rsidP="00182E6B">
            <w:pPr>
              <w:jc w:val="center"/>
              <w:rPr>
                <w:sz w:val="20"/>
                <w:szCs w:val="20"/>
                <w:vertAlign w:val="superscript"/>
              </w:rPr>
            </w:pPr>
          </w:p>
        </w:tc>
      </w:tr>
      <w:tr w:rsidR="003900BB" w:rsidRPr="00A428C5" w14:paraId="491E3C10" w14:textId="77777777" w:rsidTr="003900BB">
        <w:trPr>
          <w:trHeight w:val="261"/>
          <w:jc w:val="center"/>
        </w:trPr>
        <w:tc>
          <w:tcPr>
            <w:tcW w:w="2266" w:type="dxa"/>
            <w:tcBorders>
              <w:top w:val="nil"/>
              <w:left w:val="nil"/>
              <w:bottom w:val="single" w:sz="4" w:space="0" w:color="auto"/>
              <w:right w:val="nil"/>
            </w:tcBorders>
            <w:vAlign w:val="center"/>
          </w:tcPr>
          <w:p w14:paraId="5B5094C1" w14:textId="77777777" w:rsidR="003900BB" w:rsidRPr="00A358DB" w:rsidRDefault="003900BB" w:rsidP="001D35D7">
            <w:pPr>
              <w:jc w:val="center"/>
              <w:rPr>
                <w:b/>
                <w:sz w:val="20"/>
                <w:szCs w:val="20"/>
                <w:lang w:val="en-US"/>
              </w:rPr>
            </w:pPr>
          </w:p>
        </w:tc>
        <w:tc>
          <w:tcPr>
            <w:tcW w:w="11764" w:type="dxa"/>
            <w:gridSpan w:val="30"/>
            <w:tcBorders>
              <w:top w:val="nil"/>
              <w:left w:val="nil"/>
              <w:bottom w:val="single" w:sz="4" w:space="0" w:color="auto"/>
            </w:tcBorders>
            <w:vAlign w:val="center"/>
          </w:tcPr>
          <w:p w14:paraId="3D679079" w14:textId="77777777" w:rsidR="003900BB" w:rsidRPr="00A358DB" w:rsidRDefault="003900BB" w:rsidP="001D35D7">
            <w:pPr>
              <w:jc w:val="center"/>
              <w:rPr>
                <w:b/>
                <w:i/>
                <w:sz w:val="20"/>
                <w:szCs w:val="20"/>
                <w:lang w:val="en-US"/>
              </w:rPr>
            </w:pPr>
          </w:p>
        </w:tc>
      </w:tr>
      <w:tr w:rsidR="009C67C5" w:rsidRPr="00A428C5" w14:paraId="213668E6" w14:textId="77777777" w:rsidTr="003900BB">
        <w:trPr>
          <w:trHeight w:val="261"/>
          <w:jc w:val="center"/>
        </w:trPr>
        <w:tc>
          <w:tcPr>
            <w:tcW w:w="2266" w:type="dxa"/>
            <w:vMerge w:val="restart"/>
            <w:tcBorders>
              <w:top w:val="single" w:sz="4" w:space="0" w:color="auto"/>
            </w:tcBorders>
            <w:vAlign w:val="center"/>
          </w:tcPr>
          <w:p w14:paraId="6B089737"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tcBorders>
              <w:top w:val="single" w:sz="4" w:space="0" w:color="auto"/>
              <w:bottom w:val="nil"/>
            </w:tcBorders>
            <w:vAlign w:val="center"/>
          </w:tcPr>
          <w:p w14:paraId="439E0BC5"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428C5" w14:paraId="7EA90143" w14:textId="77777777" w:rsidTr="00E664F4">
        <w:trPr>
          <w:trHeight w:val="261"/>
          <w:jc w:val="center"/>
        </w:trPr>
        <w:tc>
          <w:tcPr>
            <w:tcW w:w="2266" w:type="dxa"/>
            <w:vMerge/>
            <w:vAlign w:val="center"/>
          </w:tcPr>
          <w:p w14:paraId="3F62FB59"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53515D3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73723004" w14:textId="77777777" w:rsidR="009C67C5" w:rsidRPr="00A358DB" w:rsidRDefault="009C67C5" w:rsidP="00BF301D">
            <w:pPr>
              <w:jc w:val="center"/>
              <w:rPr>
                <w:b/>
                <w:sz w:val="20"/>
                <w:szCs w:val="20"/>
                <w:lang w:val="en-US"/>
              </w:rPr>
            </w:pPr>
            <w:r w:rsidRPr="00A358DB">
              <w:rPr>
                <w:b/>
                <w:sz w:val="20"/>
                <w:szCs w:val="20"/>
                <w:lang w:val="en-US"/>
              </w:rPr>
              <w:t>Inhalation</w:t>
            </w:r>
          </w:p>
        </w:tc>
      </w:tr>
      <w:tr w:rsidR="00D34A60" w:rsidRPr="00A428C5" w14:paraId="56B70FFC" w14:textId="77777777" w:rsidTr="00984C55">
        <w:trPr>
          <w:trHeight w:val="261"/>
          <w:jc w:val="center"/>
        </w:trPr>
        <w:tc>
          <w:tcPr>
            <w:tcW w:w="2266" w:type="dxa"/>
            <w:vMerge/>
            <w:tcBorders>
              <w:bottom w:val="nil"/>
            </w:tcBorders>
            <w:vAlign w:val="center"/>
          </w:tcPr>
          <w:p w14:paraId="34A25243" w14:textId="77777777" w:rsidR="009C67C5" w:rsidRPr="00A61503" w:rsidRDefault="009C67C5" w:rsidP="001D35D7">
            <w:pPr>
              <w:jc w:val="center"/>
              <w:rPr>
                <w:b/>
                <w:sz w:val="20"/>
                <w:szCs w:val="20"/>
                <w:lang w:val="en-US"/>
              </w:rPr>
            </w:pPr>
          </w:p>
        </w:tc>
        <w:tc>
          <w:tcPr>
            <w:tcW w:w="1131" w:type="dxa"/>
            <w:tcBorders>
              <w:bottom w:val="nil"/>
            </w:tcBorders>
            <w:vAlign w:val="center"/>
          </w:tcPr>
          <w:p w14:paraId="523AB5F8"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163DEEF"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right w:val="single" w:sz="4" w:space="0" w:color="auto"/>
            </w:tcBorders>
            <w:vAlign w:val="center"/>
          </w:tcPr>
          <w:p w14:paraId="5F6C499E"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left w:val="single" w:sz="4" w:space="0" w:color="auto"/>
              <w:bottom w:val="single" w:sz="4" w:space="0" w:color="auto"/>
            </w:tcBorders>
            <w:vAlign w:val="center"/>
          </w:tcPr>
          <w:p w14:paraId="58512796"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6882A1"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10682BDD" w14:textId="77777777" w:rsidR="009C67C5" w:rsidRPr="00A358DB" w:rsidRDefault="009C67C5" w:rsidP="001D35D7">
            <w:pPr>
              <w:jc w:val="center"/>
              <w:rPr>
                <w:b/>
                <w:sz w:val="20"/>
                <w:szCs w:val="20"/>
                <w:lang w:val="en-US"/>
              </w:rPr>
            </w:pPr>
            <w:r w:rsidRPr="00A358DB">
              <w:rPr>
                <w:b/>
                <w:sz w:val="20"/>
                <w:szCs w:val="20"/>
                <w:lang w:val="en-US"/>
              </w:rPr>
              <w:t>Milk</w:t>
            </w:r>
          </w:p>
        </w:tc>
        <w:tc>
          <w:tcPr>
            <w:tcW w:w="832" w:type="dxa"/>
            <w:gridSpan w:val="5"/>
            <w:tcBorders>
              <w:bottom w:val="single" w:sz="4" w:space="0" w:color="auto"/>
            </w:tcBorders>
            <w:vAlign w:val="center"/>
          </w:tcPr>
          <w:p w14:paraId="07677ACE" w14:textId="77777777" w:rsidR="009C67C5" w:rsidRPr="00A358DB" w:rsidRDefault="009C67C5" w:rsidP="001D35D7">
            <w:pPr>
              <w:jc w:val="center"/>
              <w:rPr>
                <w:b/>
                <w:sz w:val="20"/>
                <w:szCs w:val="20"/>
                <w:lang w:val="en-US"/>
              </w:rPr>
            </w:pPr>
            <w:r w:rsidRPr="00A358DB">
              <w:rPr>
                <w:b/>
                <w:sz w:val="20"/>
                <w:szCs w:val="20"/>
                <w:lang w:val="en-US"/>
              </w:rPr>
              <w:t>Bird</w:t>
            </w:r>
          </w:p>
        </w:tc>
        <w:tc>
          <w:tcPr>
            <w:tcW w:w="892" w:type="dxa"/>
            <w:gridSpan w:val="6"/>
            <w:tcBorders>
              <w:bottom w:val="single" w:sz="4" w:space="0" w:color="auto"/>
            </w:tcBorders>
            <w:vAlign w:val="center"/>
          </w:tcPr>
          <w:p w14:paraId="27DEE92F"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2DA47A54"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9F5C295"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04368E59"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3BFF92F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428C5" w14:paraId="009E7C90" w14:textId="77777777" w:rsidTr="00984C55">
        <w:trPr>
          <w:trHeight w:val="276"/>
          <w:jc w:val="center"/>
        </w:trPr>
        <w:tc>
          <w:tcPr>
            <w:tcW w:w="2266" w:type="dxa"/>
            <w:tcBorders>
              <w:bottom w:val="nil"/>
            </w:tcBorders>
            <w:vAlign w:val="center"/>
          </w:tcPr>
          <w:p w14:paraId="3DB71948" w14:textId="77777777" w:rsidR="009C67C5" w:rsidRPr="00081381" w:rsidRDefault="009C67C5" w:rsidP="001D35D7">
            <w:pPr>
              <w:jc w:val="center"/>
              <w:rPr>
                <w:b/>
                <w:sz w:val="20"/>
                <w:szCs w:val="20"/>
                <w:lang w:val="en-US"/>
              </w:rPr>
            </w:pPr>
            <w:proofErr w:type="gramStart"/>
            <w:r w:rsidRPr="00081381">
              <w:rPr>
                <w:b/>
                <w:sz w:val="20"/>
                <w:szCs w:val="20"/>
                <w:lang w:val="en-US"/>
              </w:rPr>
              <w:t>Cr(</w:t>
            </w:r>
            <w:proofErr w:type="gramEnd"/>
            <w:r w:rsidRPr="00081381">
              <w:rPr>
                <w:b/>
                <w:sz w:val="20"/>
                <w:szCs w:val="20"/>
                <w:lang w:val="en-US"/>
              </w:rPr>
              <w:t>III)</w:t>
            </w:r>
          </w:p>
        </w:tc>
        <w:tc>
          <w:tcPr>
            <w:tcW w:w="1131" w:type="dxa"/>
            <w:tcBorders>
              <w:bottom w:val="nil"/>
            </w:tcBorders>
            <w:vAlign w:val="center"/>
          </w:tcPr>
          <w:p w14:paraId="3451BF97" w14:textId="77777777" w:rsidR="009C67C5" w:rsidRPr="00081381" w:rsidRDefault="009C67C5" w:rsidP="001D35D7">
            <w:pPr>
              <w:jc w:val="center"/>
              <w:rPr>
                <w:sz w:val="20"/>
                <w:szCs w:val="20"/>
                <w:lang w:val="en-US"/>
              </w:rPr>
            </w:pPr>
            <w:r w:rsidRPr="00081381">
              <w:rPr>
                <w:sz w:val="20"/>
                <w:szCs w:val="20"/>
                <w:lang w:val="en-US"/>
              </w:rPr>
              <w:t>0.058 ± 0.034</w:t>
            </w:r>
          </w:p>
        </w:tc>
        <w:tc>
          <w:tcPr>
            <w:tcW w:w="1122" w:type="dxa"/>
            <w:tcBorders>
              <w:bottom w:val="nil"/>
            </w:tcBorders>
            <w:vAlign w:val="center"/>
          </w:tcPr>
          <w:p w14:paraId="3F2FD4EE" w14:textId="77777777" w:rsidR="009C67C5" w:rsidRPr="00081381" w:rsidRDefault="009C67C5" w:rsidP="001D35D7">
            <w:pPr>
              <w:jc w:val="center"/>
              <w:rPr>
                <w:sz w:val="20"/>
                <w:szCs w:val="20"/>
                <w:lang w:val="en-US"/>
              </w:rPr>
            </w:pPr>
            <w:r w:rsidRPr="00081381">
              <w:rPr>
                <w:sz w:val="20"/>
                <w:szCs w:val="20"/>
                <w:lang w:val="en-US"/>
              </w:rPr>
              <w:t>0.013</w:t>
            </w:r>
          </w:p>
        </w:tc>
        <w:tc>
          <w:tcPr>
            <w:tcW w:w="1076" w:type="dxa"/>
            <w:gridSpan w:val="3"/>
            <w:tcBorders>
              <w:bottom w:val="nil"/>
              <w:right w:val="nil"/>
            </w:tcBorders>
            <w:vAlign w:val="center"/>
          </w:tcPr>
          <w:p w14:paraId="29087678" w14:textId="77777777" w:rsidR="009C67C5" w:rsidRPr="00081381" w:rsidRDefault="009C67C5" w:rsidP="001D35D7">
            <w:pPr>
              <w:jc w:val="center"/>
              <w:rPr>
                <w:sz w:val="20"/>
                <w:szCs w:val="20"/>
                <w:lang w:val="en-US"/>
              </w:rPr>
            </w:pPr>
            <w:r w:rsidRPr="00081381">
              <w:rPr>
                <w:sz w:val="20"/>
                <w:szCs w:val="20"/>
                <w:lang w:val="en-US"/>
              </w:rPr>
              <w:t xml:space="preserve">0.334 ± 0.144 </w:t>
            </w:r>
            <w:r w:rsidRPr="00081381">
              <w:rPr>
                <w:sz w:val="20"/>
                <w:szCs w:val="20"/>
                <w:vertAlign w:val="superscript"/>
                <w:lang w:val="en-US"/>
              </w:rPr>
              <w:t>e</w:t>
            </w:r>
          </w:p>
        </w:tc>
        <w:tc>
          <w:tcPr>
            <w:tcW w:w="1032" w:type="dxa"/>
            <w:gridSpan w:val="2"/>
            <w:tcBorders>
              <w:left w:val="nil"/>
              <w:bottom w:val="nil"/>
            </w:tcBorders>
            <w:vAlign w:val="center"/>
          </w:tcPr>
          <w:p w14:paraId="44B5A26D" w14:textId="77777777" w:rsidR="009C67C5" w:rsidRPr="00081381" w:rsidRDefault="009C67C5" w:rsidP="001D35D7">
            <w:pPr>
              <w:jc w:val="center"/>
              <w:rPr>
                <w:sz w:val="20"/>
                <w:szCs w:val="20"/>
                <w:lang w:val="en-US"/>
              </w:rPr>
            </w:pPr>
            <w:r w:rsidRPr="00081381">
              <w:rPr>
                <w:sz w:val="20"/>
                <w:szCs w:val="20"/>
                <w:lang w:val="en-US"/>
              </w:rPr>
              <w:t xml:space="preserve">0.600 ± 0.149 </w:t>
            </w:r>
            <w:r w:rsidRPr="00081381">
              <w:rPr>
                <w:sz w:val="20"/>
                <w:szCs w:val="20"/>
                <w:vertAlign w:val="superscript"/>
                <w:lang w:val="en-US"/>
              </w:rPr>
              <w:t>e</w:t>
            </w:r>
          </w:p>
        </w:tc>
        <w:tc>
          <w:tcPr>
            <w:tcW w:w="5296" w:type="dxa"/>
            <w:gridSpan w:val="21"/>
            <w:tcBorders>
              <w:bottom w:val="nil"/>
            </w:tcBorders>
            <w:vAlign w:val="center"/>
          </w:tcPr>
          <w:p w14:paraId="0724F85B" w14:textId="77777777" w:rsidR="009C67C5" w:rsidRPr="00081381" w:rsidRDefault="009C67C5" w:rsidP="001D35D7">
            <w:pPr>
              <w:jc w:val="center"/>
              <w:rPr>
                <w:sz w:val="20"/>
                <w:szCs w:val="20"/>
                <w:lang w:val="en-US"/>
              </w:rPr>
            </w:pPr>
            <w:r w:rsidRPr="00081381">
              <w:rPr>
                <w:sz w:val="20"/>
                <w:szCs w:val="20"/>
                <w:lang w:val="en-US"/>
              </w:rPr>
              <w:t xml:space="preserve">0.013 </w:t>
            </w:r>
            <w:r w:rsidRPr="00081381">
              <w:rPr>
                <w:sz w:val="20"/>
                <w:szCs w:val="20"/>
                <w:vertAlign w:val="superscript"/>
                <w:lang w:val="en-US"/>
              </w:rPr>
              <w:t>d</w:t>
            </w:r>
          </w:p>
        </w:tc>
        <w:tc>
          <w:tcPr>
            <w:tcW w:w="1122" w:type="dxa"/>
            <w:tcBorders>
              <w:bottom w:val="nil"/>
            </w:tcBorders>
            <w:vAlign w:val="center"/>
          </w:tcPr>
          <w:p w14:paraId="30587CD9" w14:textId="77777777" w:rsidR="009C67C5" w:rsidRPr="00081381" w:rsidRDefault="009C67C5" w:rsidP="001D35D7">
            <w:pPr>
              <w:jc w:val="center"/>
              <w:rPr>
                <w:sz w:val="20"/>
                <w:szCs w:val="20"/>
                <w:lang w:val="en-US"/>
              </w:rPr>
            </w:pPr>
            <w:r w:rsidRPr="00081381">
              <w:rPr>
                <w:sz w:val="20"/>
                <w:szCs w:val="20"/>
                <w:lang w:val="en-US"/>
              </w:rPr>
              <w:t>0.110 ± 0.040</w:t>
            </w:r>
          </w:p>
        </w:tc>
        <w:tc>
          <w:tcPr>
            <w:tcW w:w="985" w:type="dxa"/>
            <w:tcBorders>
              <w:bottom w:val="nil"/>
            </w:tcBorders>
            <w:vAlign w:val="center"/>
          </w:tcPr>
          <w:p w14:paraId="4DBA56B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428C5" w14:paraId="39E66117" w14:textId="77777777" w:rsidTr="00984C55">
        <w:trPr>
          <w:trHeight w:val="276"/>
          <w:jc w:val="center"/>
        </w:trPr>
        <w:tc>
          <w:tcPr>
            <w:tcW w:w="2266" w:type="dxa"/>
            <w:tcBorders>
              <w:top w:val="nil"/>
              <w:bottom w:val="single" w:sz="4" w:space="0" w:color="auto"/>
            </w:tcBorders>
            <w:vAlign w:val="center"/>
          </w:tcPr>
          <w:p w14:paraId="5B1D4301"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0CA05B0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7ED0DC6D"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2DA54D5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3994D34E"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1D7B22DE" w14:textId="77777777" w:rsidR="009C67C5" w:rsidRPr="001D35D7"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7F555B9" w14:textId="77777777" w:rsidR="009C67C5" w:rsidRPr="001D35D7" w:rsidRDefault="009C67C5" w:rsidP="001D35D7">
            <w:pPr>
              <w:jc w:val="center"/>
              <w:rPr>
                <w:sz w:val="20"/>
                <w:szCs w:val="20"/>
              </w:rPr>
            </w:pPr>
            <w:r w:rsidRPr="001D35D7">
              <w:rPr>
                <w:sz w:val="20"/>
                <w:szCs w:val="20"/>
                <w:vertAlign w:val="superscript"/>
              </w:rPr>
              <w:t>b</w:t>
            </w:r>
          </w:p>
        </w:tc>
      </w:tr>
      <w:tr w:rsidR="009C67C5" w:rsidRPr="00A358DB" w14:paraId="1718B8FF" w14:textId="77777777" w:rsidTr="00984C55">
        <w:trPr>
          <w:trHeight w:val="261"/>
          <w:jc w:val="center"/>
        </w:trPr>
        <w:tc>
          <w:tcPr>
            <w:tcW w:w="2266" w:type="dxa"/>
            <w:tcBorders>
              <w:bottom w:val="nil"/>
            </w:tcBorders>
            <w:vAlign w:val="center"/>
          </w:tcPr>
          <w:p w14:paraId="562782C0" w14:textId="77777777" w:rsidR="009C67C5" w:rsidRPr="001D35D7" w:rsidRDefault="009C67C5" w:rsidP="001D35D7">
            <w:pPr>
              <w:jc w:val="center"/>
              <w:rPr>
                <w:b/>
                <w:sz w:val="20"/>
                <w:szCs w:val="20"/>
              </w:rPr>
            </w:pPr>
            <w:proofErr w:type="gramStart"/>
            <w:r w:rsidRPr="001D35D7">
              <w:rPr>
                <w:b/>
                <w:sz w:val="20"/>
                <w:szCs w:val="20"/>
              </w:rPr>
              <w:t>Cr(</w:t>
            </w:r>
            <w:proofErr w:type="gramEnd"/>
            <w:r w:rsidRPr="001D35D7">
              <w:rPr>
                <w:b/>
                <w:sz w:val="20"/>
                <w:szCs w:val="20"/>
              </w:rPr>
              <w:t>VI)</w:t>
            </w:r>
          </w:p>
        </w:tc>
        <w:tc>
          <w:tcPr>
            <w:tcW w:w="1131" w:type="dxa"/>
            <w:tcBorders>
              <w:bottom w:val="nil"/>
            </w:tcBorders>
            <w:vAlign w:val="center"/>
          </w:tcPr>
          <w:p w14:paraId="44CFDFF5" w14:textId="77777777" w:rsidR="009C67C5" w:rsidRPr="001D35D7" w:rsidRDefault="009C67C5" w:rsidP="001D35D7">
            <w:pPr>
              <w:jc w:val="center"/>
              <w:rPr>
                <w:sz w:val="20"/>
                <w:szCs w:val="20"/>
              </w:rPr>
            </w:pPr>
            <w:r w:rsidRPr="001D35D7">
              <w:rPr>
                <w:sz w:val="20"/>
                <w:szCs w:val="20"/>
              </w:rPr>
              <w:t>0.058 ± 0.034</w:t>
            </w:r>
          </w:p>
        </w:tc>
        <w:tc>
          <w:tcPr>
            <w:tcW w:w="1122" w:type="dxa"/>
            <w:tcBorders>
              <w:bottom w:val="nil"/>
            </w:tcBorders>
            <w:vAlign w:val="center"/>
          </w:tcPr>
          <w:p w14:paraId="75CF9C88" w14:textId="77777777" w:rsidR="009C67C5" w:rsidRPr="001D35D7" w:rsidRDefault="009C67C5" w:rsidP="001D35D7">
            <w:pPr>
              <w:jc w:val="center"/>
              <w:rPr>
                <w:sz w:val="20"/>
                <w:szCs w:val="20"/>
              </w:rPr>
            </w:pPr>
            <w:r w:rsidRPr="001D35D7">
              <w:rPr>
                <w:sz w:val="20"/>
                <w:szCs w:val="20"/>
              </w:rPr>
              <w:t>0.025</w:t>
            </w:r>
          </w:p>
        </w:tc>
        <w:tc>
          <w:tcPr>
            <w:tcW w:w="1076" w:type="dxa"/>
            <w:gridSpan w:val="3"/>
            <w:tcBorders>
              <w:bottom w:val="nil"/>
              <w:right w:val="nil"/>
            </w:tcBorders>
            <w:vAlign w:val="center"/>
          </w:tcPr>
          <w:p w14:paraId="38B50824" w14:textId="77777777" w:rsidR="009C67C5" w:rsidRPr="001D35D7" w:rsidRDefault="009C67C5" w:rsidP="001D35D7">
            <w:pPr>
              <w:jc w:val="center"/>
              <w:rPr>
                <w:sz w:val="20"/>
                <w:szCs w:val="20"/>
              </w:rPr>
            </w:pPr>
            <w:r w:rsidRPr="001D35D7">
              <w:rPr>
                <w:sz w:val="20"/>
                <w:szCs w:val="20"/>
              </w:rPr>
              <w:t xml:space="preserve">0.334 ± 0.144 </w:t>
            </w:r>
            <w:r w:rsidRPr="001D35D7">
              <w:rPr>
                <w:sz w:val="20"/>
                <w:szCs w:val="20"/>
                <w:vertAlign w:val="superscript"/>
              </w:rPr>
              <w:t>e</w:t>
            </w:r>
          </w:p>
        </w:tc>
        <w:tc>
          <w:tcPr>
            <w:tcW w:w="1032" w:type="dxa"/>
            <w:gridSpan w:val="2"/>
            <w:tcBorders>
              <w:left w:val="nil"/>
              <w:bottom w:val="nil"/>
            </w:tcBorders>
            <w:vAlign w:val="center"/>
          </w:tcPr>
          <w:p w14:paraId="140614F0" w14:textId="77777777" w:rsidR="009C67C5" w:rsidRPr="001D35D7" w:rsidRDefault="009C67C5" w:rsidP="001D35D7">
            <w:pPr>
              <w:jc w:val="center"/>
              <w:rPr>
                <w:sz w:val="20"/>
                <w:szCs w:val="20"/>
              </w:rPr>
            </w:pPr>
            <w:r w:rsidRPr="001D35D7">
              <w:rPr>
                <w:sz w:val="20"/>
                <w:szCs w:val="20"/>
              </w:rPr>
              <w:t xml:space="preserve">0.600 ± 0.149 </w:t>
            </w:r>
            <w:r w:rsidRPr="001D35D7">
              <w:rPr>
                <w:sz w:val="20"/>
                <w:szCs w:val="20"/>
                <w:vertAlign w:val="superscript"/>
              </w:rPr>
              <w:t>e</w:t>
            </w:r>
          </w:p>
        </w:tc>
        <w:tc>
          <w:tcPr>
            <w:tcW w:w="5296" w:type="dxa"/>
            <w:gridSpan w:val="21"/>
            <w:tcBorders>
              <w:bottom w:val="nil"/>
            </w:tcBorders>
            <w:vAlign w:val="center"/>
          </w:tcPr>
          <w:p w14:paraId="485DF615" w14:textId="77777777" w:rsidR="009C67C5" w:rsidRPr="001D35D7" w:rsidRDefault="009C67C5" w:rsidP="001D35D7">
            <w:pPr>
              <w:jc w:val="center"/>
              <w:rPr>
                <w:sz w:val="20"/>
                <w:szCs w:val="20"/>
                <w:vertAlign w:val="superscript"/>
              </w:rPr>
            </w:pPr>
            <w:r w:rsidRPr="001D35D7">
              <w:rPr>
                <w:sz w:val="20"/>
                <w:szCs w:val="20"/>
              </w:rPr>
              <w:t xml:space="preserve">0.100 </w:t>
            </w:r>
            <w:r w:rsidRPr="001D35D7">
              <w:rPr>
                <w:sz w:val="20"/>
                <w:szCs w:val="20"/>
                <w:vertAlign w:val="superscript"/>
              </w:rPr>
              <w:t>c</w:t>
            </w:r>
          </w:p>
        </w:tc>
        <w:tc>
          <w:tcPr>
            <w:tcW w:w="1122" w:type="dxa"/>
            <w:tcBorders>
              <w:bottom w:val="nil"/>
            </w:tcBorders>
            <w:vAlign w:val="center"/>
          </w:tcPr>
          <w:p w14:paraId="57B654A0" w14:textId="77777777" w:rsidR="009C67C5" w:rsidRPr="001D35D7" w:rsidRDefault="009C67C5" w:rsidP="001D35D7">
            <w:pPr>
              <w:jc w:val="center"/>
              <w:rPr>
                <w:sz w:val="20"/>
                <w:szCs w:val="20"/>
              </w:rPr>
            </w:pPr>
            <w:r w:rsidRPr="001D35D7">
              <w:rPr>
                <w:sz w:val="20"/>
                <w:szCs w:val="20"/>
              </w:rPr>
              <w:t>0.110 ± 0.040</w:t>
            </w:r>
          </w:p>
        </w:tc>
        <w:tc>
          <w:tcPr>
            <w:tcW w:w="985" w:type="dxa"/>
            <w:tcBorders>
              <w:bottom w:val="nil"/>
            </w:tcBorders>
            <w:vAlign w:val="center"/>
          </w:tcPr>
          <w:p w14:paraId="08D96588" w14:textId="77777777" w:rsidR="009C67C5" w:rsidRPr="001D35D7" w:rsidRDefault="009C67C5" w:rsidP="001D35D7">
            <w:pPr>
              <w:jc w:val="center"/>
              <w:rPr>
                <w:sz w:val="20"/>
                <w:szCs w:val="20"/>
              </w:rPr>
            </w:pPr>
            <w:r w:rsidRPr="001D35D7">
              <w:rPr>
                <w:sz w:val="20"/>
                <w:szCs w:val="20"/>
              </w:rPr>
              <w:t>1.000</w:t>
            </w:r>
          </w:p>
        </w:tc>
      </w:tr>
      <w:tr w:rsidR="009C67C5" w:rsidRPr="00A358DB" w14:paraId="26BD8255" w14:textId="77777777" w:rsidTr="00984C55">
        <w:trPr>
          <w:trHeight w:val="261"/>
          <w:jc w:val="center"/>
        </w:trPr>
        <w:tc>
          <w:tcPr>
            <w:tcW w:w="2266" w:type="dxa"/>
            <w:tcBorders>
              <w:top w:val="nil"/>
              <w:bottom w:val="single" w:sz="4" w:space="0" w:color="auto"/>
            </w:tcBorders>
            <w:vAlign w:val="center"/>
          </w:tcPr>
          <w:p w14:paraId="2A7DD705" w14:textId="77777777" w:rsidR="009C67C5" w:rsidRPr="001D35D7" w:rsidRDefault="009C67C5" w:rsidP="001D35D7">
            <w:pPr>
              <w:jc w:val="center"/>
              <w:rPr>
                <w:b/>
                <w:sz w:val="20"/>
                <w:szCs w:val="20"/>
              </w:rPr>
            </w:pPr>
            <w:proofErr w:type="spellStart"/>
            <w:r w:rsidRPr="001D35D7">
              <w:rPr>
                <w:i/>
                <w:iCs/>
                <w:sz w:val="20"/>
                <w:szCs w:val="52"/>
              </w:rPr>
              <w:t>Reference</w:t>
            </w:r>
            <w:proofErr w:type="spellEnd"/>
          </w:p>
        </w:tc>
        <w:tc>
          <w:tcPr>
            <w:tcW w:w="1131" w:type="dxa"/>
            <w:tcBorders>
              <w:top w:val="nil"/>
              <w:bottom w:val="single" w:sz="4" w:space="0" w:color="auto"/>
            </w:tcBorders>
            <w:vAlign w:val="center"/>
          </w:tcPr>
          <w:p w14:paraId="38AEA020" w14:textId="77777777" w:rsidR="009C67C5" w:rsidRPr="00081381" w:rsidRDefault="009C67C5" w:rsidP="001D35D7">
            <w:pPr>
              <w:jc w:val="center"/>
              <w:rPr>
                <w:sz w:val="20"/>
                <w:szCs w:val="20"/>
                <w:lang w:val="en-US"/>
              </w:rPr>
            </w:pPr>
            <w:r w:rsidRPr="001D35D7">
              <w:rPr>
                <w:sz w:val="20"/>
                <w:szCs w:val="20"/>
              </w:rPr>
              <w:t xml:space="preserve">Hu et </w:t>
            </w:r>
            <w:r w:rsidRPr="00C47575">
              <w:rPr>
                <w:sz w:val="20"/>
                <w:szCs w:val="20"/>
              </w:rPr>
              <w:t xml:space="preserve">al. </w:t>
            </w:r>
            <w:r>
              <w:rPr>
                <w:sz w:val="20"/>
                <w:szCs w:val="20"/>
                <w:lang w:val="en-US"/>
              </w:rPr>
              <w:fldChar w:fldCharType="begin" w:fldLock="1"/>
            </w:r>
            <w:r w:rsidRPr="00C47575">
              <w:rPr>
                <w:sz w:val="20"/>
                <w:szCs w:val="20"/>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w:instrText>
            </w:r>
            <w:r>
              <w:rPr>
                <w:sz w:val="20"/>
                <w:szCs w:val="20"/>
                <w:lang w:val="en-US"/>
              </w:rPr>
              <w:instrText>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E41C624"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5C5B16BD"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D842B53" w14:textId="77777777" w:rsidR="009C67C5" w:rsidRPr="00081381"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27EE0C0" w14:textId="77777777" w:rsidR="009C67C5" w:rsidRPr="00081381" w:rsidRDefault="009C67C5" w:rsidP="001D35D7">
            <w:pPr>
              <w:jc w:val="center"/>
              <w:rPr>
                <w:sz w:val="20"/>
                <w:szCs w:val="20"/>
                <w:lang w:val="en-US"/>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880F82D"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835EB3" w14:textId="77777777" w:rsidTr="00D34A60">
        <w:trPr>
          <w:trHeight w:val="261"/>
          <w:jc w:val="center"/>
        </w:trPr>
        <w:tc>
          <w:tcPr>
            <w:tcW w:w="2266" w:type="dxa"/>
            <w:tcBorders>
              <w:bottom w:val="nil"/>
            </w:tcBorders>
            <w:vAlign w:val="center"/>
          </w:tcPr>
          <w:p w14:paraId="4F3DC242" w14:textId="77777777" w:rsidR="009C67C5" w:rsidRPr="00081381" w:rsidRDefault="009C67C5" w:rsidP="001D35D7">
            <w:pPr>
              <w:jc w:val="center"/>
              <w:rPr>
                <w:b/>
                <w:sz w:val="20"/>
                <w:szCs w:val="20"/>
                <w:lang w:val="en-US"/>
              </w:rPr>
            </w:pPr>
            <w:r>
              <w:rPr>
                <w:b/>
                <w:sz w:val="20"/>
                <w:szCs w:val="20"/>
                <w:lang w:val="en-US"/>
              </w:rPr>
              <w:t>Se</w:t>
            </w:r>
          </w:p>
        </w:tc>
        <w:tc>
          <w:tcPr>
            <w:tcW w:w="2253" w:type="dxa"/>
            <w:gridSpan w:val="2"/>
            <w:tcBorders>
              <w:bottom w:val="nil"/>
            </w:tcBorders>
            <w:vAlign w:val="center"/>
          </w:tcPr>
          <w:p w14:paraId="0F522D7B" w14:textId="77777777" w:rsidR="009C67C5" w:rsidRPr="00A358DB" w:rsidRDefault="009C67C5" w:rsidP="001D35D7">
            <w:pPr>
              <w:jc w:val="center"/>
              <w:rPr>
                <w:sz w:val="20"/>
                <w:szCs w:val="20"/>
                <w:lang w:val="en-US"/>
              </w:rPr>
            </w:pPr>
            <w:r w:rsidRPr="00A358DB">
              <w:rPr>
                <w:sz w:val="20"/>
                <w:szCs w:val="20"/>
                <w:lang w:val="en-US"/>
              </w:rPr>
              <w:t>1.000</w:t>
            </w:r>
          </w:p>
        </w:tc>
        <w:tc>
          <w:tcPr>
            <w:tcW w:w="7404" w:type="dxa"/>
            <w:gridSpan w:val="26"/>
            <w:tcBorders>
              <w:bottom w:val="nil"/>
            </w:tcBorders>
            <w:vAlign w:val="center"/>
          </w:tcPr>
          <w:p w14:paraId="5EA77071" w14:textId="77777777" w:rsidR="009C67C5" w:rsidRPr="00712177" w:rsidRDefault="009C67C5" w:rsidP="001D35D7">
            <w:pPr>
              <w:jc w:val="center"/>
              <w:rPr>
                <w:sz w:val="20"/>
                <w:szCs w:val="20"/>
                <w:vertAlign w:val="superscript"/>
                <w:lang w:val="en-US"/>
              </w:rPr>
            </w:pPr>
            <w:r>
              <w:rPr>
                <w:sz w:val="20"/>
                <w:szCs w:val="20"/>
                <w:lang w:val="en-US"/>
              </w:rPr>
              <w:t xml:space="preserve">0.550 </w:t>
            </w:r>
            <w:r w:rsidRPr="006C7EA6">
              <w:rPr>
                <w:sz w:val="20"/>
                <w:szCs w:val="20"/>
              </w:rPr>
              <w:t>±</w:t>
            </w:r>
            <w:r>
              <w:rPr>
                <w:sz w:val="20"/>
                <w:szCs w:val="20"/>
              </w:rPr>
              <w:t xml:space="preserve"> 0.250 </w:t>
            </w:r>
            <w:r>
              <w:rPr>
                <w:sz w:val="20"/>
                <w:szCs w:val="20"/>
                <w:vertAlign w:val="superscript"/>
              </w:rPr>
              <w:t>d, f</w:t>
            </w:r>
          </w:p>
        </w:tc>
        <w:tc>
          <w:tcPr>
            <w:tcW w:w="2107" w:type="dxa"/>
            <w:gridSpan w:val="2"/>
            <w:tcBorders>
              <w:bottom w:val="nil"/>
            </w:tcBorders>
            <w:vAlign w:val="center"/>
          </w:tcPr>
          <w:p w14:paraId="5891980F"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46D56C5" w14:textId="77777777" w:rsidTr="00D34A60">
        <w:trPr>
          <w:trHeight w:val="261"/>
          <w:jc w:val="center"/>
        </w:trPr>
        <w:tc>
          <w:tcPr>
            <w:tcW w:w="2266" w:type="dxa"/>
            <w:tcBorders>
              <w:top w:val="nil"/>
              <w:bottom w:val="single" w:sz="4" w:space="0" w:color="auto"/>
            </w:tcBorders>
            <w:vAlign w:val="center"/>
          </w:tcPr>
          <w:p w14:paraId="1ED4DE68"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2253" w:type="dxa"/>
            <w:gridSpan w:val="2"/>
            <w:tcBorders>
              <w:top w:val="nil"/>
              <w:bottom w:val="single" w:sz="4" w:space="0" w:color="auto"/>
            </w:tcBorders>
            <w:vAlign w:val="center"/>
          </w:tcPr>
          <w:p w14:paraId="67650C67" w14:textId="77777777" w:rsidR="009C67C5" w:rsidRPr="00A358DB" w:rsidRDefault="009C67C5" w:rsidP="001D35D7">
            <w:pPr>
              <w:jc w:val="center"/>
              <w:rPr>
                <w:sz w:val="20"/>
                <w:szCs w:val="20"/>
                <w:lang w:val="en-US"/>
              </w:rPr>
            </w:pPr>
            <w:r>
              <w:rPr>
                <w:sz w:val="20"/>
                <w:szCs w:val="20"/>
                <w:vertAlign w:val="superscript"/>
              </w:rPr>
              <w:t>b</w:t>
            </w:r>
          </w:p>
        </w:tc>
        <w:tc>
          <w:tcPr>
            <w:tcW w:w="7404" w:type="dxa"/>
            <w:gridSpan w:val="26"/>
            <w:tcBorders>
              <w:top w:val="nil"/>
              <w:bottom w:val="single" w:sz="4" w:space="0" w:color="auto"/>
            </w:tcBorders>
            <w:vAlign w:val="center"/>
          </w:tcPr>
          <w:p w14:paraId="2A99B658"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7" w:type="dxa"/>
            <w:gridSpan w:val="2"/>
            <w:tcBorders>
              <w:top w:val="nil"/>
              <w:bottom w:val="single" w:sz="4" w:space="0" w:color="auto"/>
            </w:tcBorders>
            <w:vAlign w:val="center"/>
          </w:tcPr>
          <w:p w14:paraId="65F5092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04165D0B" w14:textId="77777777" w:rsidTr="00984C55">
        <w:trPr>
          <w:trHeight w:val="261"/>
          <w:jc w:val="center"/>
        </w:trPr>
        <w:tc>
          <w:tcPr>
            <w:tcW w:w="2266" w:type="dxa"/>
            <w:tcBorders>
              <w:bottom w:val="nil"/>
            </w:tcBorders>
            <w:vAlign w:val="center"/>
          </w:tcPr>
          <w:p w14:paraId="71A6741E" w14:textId="77777777" w:rsidR="009C67C5" w:rsidRPr="00081381" w:rsidRDefault="009C67C5" w:rsidP="001D35D7">
            <w:pPr>
              <w:jc w:val="center"/>
              <w:rPr>
                <w:b/>
                <w:sz w:val="20"/>
                <w:szCs w:val="20"/>
                <w:lang w:val="en-US"/>
              </w:rPr>
            </w:pPr>
            <w:r>
              <w:rPr>
                <w:b/>
                <w:sz w:val="20"/>
                <w:szCs w:val="20"/>
                <w:lang w:val="en-US"/>
              </w:rPr>
              <w:t>Ag</w:t>
            </w:r>
          </w:p>
        </w:tc>
        <w:tc>
          <w:tcPr>
            <w:tcW w:w="1131" w:type="dxa"/>
            <w:tcBorders>
              <w:bottom w:val="nil"/>
            </w:tcBorders>
            <w:vAlign w:val="center"/>
          </w:tcPr>
          <w:p w14:paraId="19C197B7"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32E601DA"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bottom w:val="nil"/>
            </w:tcBorders>
            <w:vAlign w:val="center"/>
          </w:tcPr>
          <w:p w14:paraId="3CE1CEC7"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DC6862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5AFD20C" w14:textId="77777777" w:rsidTr="00984C55">
        <w:trPr>
          <w:trHeight w:val="261"/>
          <w:jc w:val="center"/>
        </w:trPr>
        <w:tc>
          <w:tcPr>
            <w:tcW w:w="2266" w:type="dxa"/>
            <w:tcBorders>
              <w:top w:val="nil"/>
              <w:bottom w:val="single" w:sz="4" w:space="0" w:color="auto"/>
            </w:tcBorders>
            <w:vAlign w:val="center"/>
          </w:tcPr>
          <w:p w14:paraId="68FC29AA"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2CD74137" w14:textId="77777777" w:rsidR="009C67C5" w:rsidRPr="00A358DB" w:rsidRDefault="009C67C5" w:rsidP="001D35D7">
            <w:pPr>
              <w:jc w:val="center"/>
              <w:rPr>
                <w:sz w:val="20"/>
                <w:szCs w:val="20"/>
                <w:lang w:val="en-US"/>
              </w:rPr>
            </w:pPr>
            <w:r>
              <w:rPr>
                <w:sz w:val="20"/>
                <w:szCs w:val="20"/>
                <w:vertAlign w:val="superscript"/>
              </w:rPr>
              <w:t>b</w:t>
            </w:r>
          </w:p>
        </w:tc>
        <w:tc>
          <w:tcPr>
            <w:tcW w:w="1122" w:type="dxa"/>
            <w:tcBorders>
              <w:top w:val="nil"/>
              <w:bottom w:val="single" w:sz="4" w:space="0" w:color="auto"/>
            </w:tcBorders>
            <w:vAlign w:val="center"/>
          </w:tcPr>
          <w:p w14:paraId="58EDA861"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061836E"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27FBE5E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B6E7E1" w14:textId="77777777" w:rsidTr="00984C55">
        <w:trPr>
          <w:trHeight w:val="261"/>
          <w:jc w:val="center"/>
        </w:trPr>
        <w:tc>
          <w:tcPr>
            <w:tcW w:w="2266" w:type="dxa"/>
            <w:tcBorders>
              <w:top w:val="single" w:sz="4" w:space="0" w:color="auto"/>
              <w:bottom w:val="nil"/>
            </w:tcBorders>
            <w:vAlign w:val="center"/>
          </w:tcPr>
          <w:p w14:paraId="4519C4E4" w14:textId="77777777" w:rsidR="009C67C5" w:rsidRPr="00081381" w:rsidRDefault="009C67C5" w:rsidP="001D35D7">
            <w:pPr>
              <w:jc w:val="center"/>
              <w:rPr>
                <w:b/>
                <w:sz w:val="20"/>
                <w:szCs w:val="20"/>
                <w:lang w:val="en-US"/>
              </w:rPr>
            </w:pPr>
            <w:r>
              <w:rPr>
                <w:b/>
                <w:sz w:val="20"/>
                <w:szCs w:val="20"/>
                <w:lang w:val="en-US"/>
              </w:rPr>
              <w:t>Sb</w:t>
            </w:r>
          </w:p>
        </w:tc>
        <w:tc>
          <w:tcPr>
            <w:tcW w:w="1131" w:type="dxa"/>
            <w:tcBorders>
              <w:top w:val="single" w:sz="4" w:space="0" w:color="auto"/>
              <w:bottom w:val="nil"/>
            </w:tcBorders>
            <w:vAlign w:val="center"/>
          </w:tcPr>
          <w:p w14:paraId="08A330F4"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7799B71C" w14:textId="77777777" w:rsidR="009C67C5" w:rsidRPr="00081381" w:rsidRDefault="009C67C5" w:rsidP="001D35D7">
            <w:pPr>
              <w:jc w:val="center"/>
              <w:rPr>
                <w:sz w:val="20"/>
                <w:szCs w:val="20"/>
                <w:lang w:val="en-US"/>
              </w:rPr>
            </w:pPr>
            <w:r>
              <w:rPr>
                <w:sz w:val="20"/>
                <w:szCs w:val="20"/>
                <w:lang w:val="en-US"/>
              </w:rPr>
              <w:t>0.150</w:t>
            </w:r>
          </w:p>
        </w:tc>
        <w:tc>
          <w:tcPr>
            <w:tcW w:w="7404" w:type="dxa"/>
            <w:gridSpan w:val="26"/>
            <w:tcBorders>
              <w:top w:val="single" w:sz="4" w:space="0" w:color="auto"/>
              <w:bottom w:val="nil"/>
            </w:tcBorders>
            <w:vAlign w:val="center"/>
          </w:tcPr>
          <w:p w14:paraId="5F12AF65"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6ADFAA34"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124</w:t>
            </w:r>
            <w:r w:rsidRPr="00081381">
              <w:rPr>
                <w:sz w:val="20"/>
                <w:szCs w:val="20"/>
                <w:lang w:val="en-US"/>
              </w:rPr>
              <w:t xml:space="preserve"> ± 0.0</w:t>
            </w:r>
            <w:r>
              <w:rPr>
                <w:sz w:val="20"/>
                <w:szCs w:val="20"/>
                <w:lang w:val="en-US"/>
              </w:rPr>
              <w:t>19</w:t>
            </w:r>
          </w:p>
        </w:tc>
        <w:tc>
          <w:tcPr>
            <w:tcW w:w="985" w:type="dxa"/>
            <w:tcBorders>
              <w:top w:val="single" w:sz="4" w:space="0" w:color="auto"/>
              <w:bottom w:val="nil"/>
            </w:tcBorders>
            <w:vAlign w:val="center"/>
          </w:tcPr>
          <w:p w14:paraId="2191780A"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271FDD2D" w14:textId="77777777" w:rsidTr="00984C55">
        <w:trPr>
          <w:trHeight w:val="261"/>
          <w:jc w:val="center"/>
        </w:trPr>
        <w:tc>
          <w:tcPr>
            <w:tcW w:w="2266" w:type="dxa"/>
            <w:tcBorders>
              <w:top w:val="nil"/>
              <w:bottom w:val="single" w:sz="4" w:space="0" w:color="auto"/>
            </w:tcBorders>
            <w:vAlign w:val="center"/>
          </w:tcPr>
          <w:p w14:paraId="57EA912E"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5CD087DF"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46F96102"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680B7240"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1A2AEA01"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B5FD94A"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72FCC" w:rsidRPr="00A358DB" w14:paraId="60197C4D" w14:textId="77777777" w:rsidTr="00FD6FD5">
        <w:trPr>
          <w:trHeight w:val="261"/>
          <w:jc w:val="center"/>
        </w:trPr>
        <w:tc>
          <w:tcPr>
            <w:tcW w:w="2266" w:type="dxa"/>
            <w:tcBorders>
              <w:bottom w:val="nil"/>
            </w:tcBorders>
            <w:vAlign w:val="center"/>
          </w:tcPr>
          <w:p w14:paraId="0C74D367" w14:textId="77777777" w:rsidR="00972FCC" w:rsidRPr="00081381" w:rsidRDefault="00972FCC" w:rsidP="00972FCC">
            <w:pPr>
              <w:jc w:val="center"/>
              <w:rPr>
                <w:b/>
                <w:sz w:val="20"/>
                <w:szCs w:val="20"/>
                <w:lang w:val="en-US"/>
              </w:rPr>
            </w:pPr>
            <w:r>
              <w:rPr>
                <w:b/>
                <w:sz w:val="20"/>
                <w:szCs w:val="20"/>
                <w:lang w:val="en-US"/>
              </w:rPr>
              <w:t>U</w:t>
            </w:r>
          </w:p>
        </w:tc>
        <w:tc>
          <w:tcPr>
            <w:tcW w:w="9657" w:type="dxa"/>
            <w:gridSpan w:val="28"/>
            <w:tcBorders>
              <w:bottom w:val="nil"/>
            </w:tcBorders>
          </w:tcPr>
          <w:p w14:paraId="78DED7E7" w14:textId="1F3942D9" w:rsidR="00972FCC" w:rsidRPr="00081381" w:rsidRDefault="00972FCC" w:rsidP="00972FCC">
            <w:pPr>
              <w:jc w:val="center"/>
              <w:rPr>
                <w:sz w:val="20"/>
                <w:szCs w:val="20"/>
                <w:lang w:val="en-US"/>
              </w:rPr>
            </w:pPr>
            <w:r>
              <w:rPr>
                <w:sz w:val="20"/>
                <w:szCs w:val="20"/>
                <w:lang w:val="en-US"/>
              </w:rPr>
              <w:t>0.060</w:t>
            </w:r>
          </w:p>
        </w:tc>
        <w:tc>
          <w:tcPr>
            <w:tcW w:w="2107" w:type="dxa"/>
            <w:gridSpan w:val="2"/>
            <w:tcBorders>
              <w:bottom w:val="nil"/>
            </w:tcBorders>
            <w:vAlign w:val="center"/>
          </w:tcPr>
          <w:p w14:paraId="180DAFAF" w14:textId="77777777" w:rsidR="00972FCC" w:rsidRPr="00081381" w:rsidRDefault="00972FCC" w:rsidP="00972FCC">
            <w:pPr>
              <w:jc w:val="center"/>
              <w:rPr>
                <w:sz w:val="20"/>
                <w:szCs w:val="20"/>
                <w:lang w:val="en-US"/>
              </w:rPr>
            </w:pPr>
            <w:r w:rsidRPr="00081381">
              <w:rPr>
                <w:sz w:val="20"/>
                <w:szCs w:val="20"/>
                <w:lang w:val="en-US"/>
              </w:rPr>
              <w:t>1.000</w:t>
            </w:r>
          </w:p>
        </w:tc>
      </w:tr>
      <w:tr w:rsidR="00972FCC" w:rsidRPr="00A358DB" w14:paraId="4C6103DC" w14:textId="77777777" w:rsidTr="00FD6FD5">
        <w:trPr>
          <w:trHeight w:val="261"/>
          <w:jc w:val="center"/>
        </w:trPr>
        <w:tc>
          <w:tcPr>
            <w:tcW w:w="2266" w:type="dxa"/>
            <w:tcBorders>
              <w:top w:val="nil"/>
              <w:bottom w:val="single" w:sz="4" w:space="0" w:color="auto"/>
            </w:tcBorders>
            <w:vAlign w:val="center"/>
          </w:tcPr>
          <w:p w14:paraId="4CC28ADC" w14:textId="77777777" w:rsidR="00972FCC" w:rsidRPr="00081381" w:rsidRDefault="00972FCC" w:rsidP="00972FCC">
            <w:pPr>
              <w:jc w:val="center"/>
              <w:rPr>
                <w:b/>
                <w:sz w:val="20"/>
                <w:szCs w:val="20"/>
                <w:lang w:val="en-US"/>
              </w:rPr>
            </w:pPr>
            <w:r w:rsidRPr="00081381">
              <w:rPr>
                <w:i/>
                <w:iCs/>
                <w:sz w:val="20"/>
                <w:szCs w:val="52"/>
                <w:lang w:val="en-US"/>
              </w:rPr>
              <w:t>Reference</w:t>
            </w:r>
          </w:p>
        </w:tc>
        <w:tc>
          <w:tcPr>
            <w:tcW w:w="9657" w:type="dxa"/>
            <w:gridSpan w:val="28"/>
            <w:tcBorders>
              <w:top w:val="nil"/>
              <w:bottom w:val="single" w:sz="4" w:space="0" w:color="auto"/>
            </w:tcBorders>
          </w:tcPr>
          <w:p w14:paraId="5E56018C" w14:textId="004CB50B" w:rsidR="00972FCC" w:rsidRPr="00081381" w:rsidRDefault="00972FCC" w:rsidP="00972FCC">
            <w:pPr>
              <w:jc w:val="center"/>
              <w:rPr>
                <w:sz w:val="20"/>
                <w:szCs w:val="20"/>
                <w:lang w:val="en-US"/>
              </w:rPr>
            </w:pPr>
            <w:proofErr w:type="spellStart"/>
            <w:r w:rsidRPr="008D1975">
              <w:rPr>
                <w:sz w:val="20"/>
                <w:szCs w:val="20"/>
                <w:lang w:val="en-US"/>
              </w:rPr>
              <w:t>Anke</w:t>
            </w:r>
            <w:proofErr w:type="spellEnd"/>
            <w:r w:rsidRPr="008D1975">
              <w:rPr>
                <w:sz w:val="20"/>
                <w:szCs w:val="20"/>
                <w:lang w:val="en-US"/>
              </w:rPr>
              <w:t xml:space="preserve"> et al. </w:t>
            </w:r>
            <w:r w:rsidRPr="008D1975">
              <w:rPr>
                <w:sz w:val="20"/>
                <w:szCs w:val="20"/>
                <w:lang w:val="en-US"/>
              </w:rPr>
              <w:fldChar w:fldCharType="begin" w:fldLock="1"/>
            </w:r>
            <w:r w:rsidR="00633F70">
              <w:rPr>
                <w:sz w:val="20"/>
                <w:szCs w:val="20"/>
                <w:lang w:val="en-US"/>
              </w:rPr>
              <w:instrText xml:space="preserve">ADDIN CSL_CITATION {"citationItems":[{"id":"ITEM-1","itemData":{"DOI":"10.1016/j.chemer.2007.12.001","ISSN":"00092819","abstract":"In the 16-km-thick Earth's crust, 2.4-3.2 mg uranium/kg is assumed to occur. Thus, uranium is more abundant than iodine, cadmium or selenium. In Central Europe, the vegetation richest in uranium is found on granite weathering soils. Compared to these, the uranium content of the flora is about 25% less on Muschelkalk soils, </w:instrText>
            </w:r>
            <w:r w:rsidR="00633F70">
              <w:rPr>
                <w:rFonts w:ascii="Cambria Math" w:hAnsi="Cambria Math" w:cs="Cambria Math"/>
                <w:sz w:val="20"/>
                <w:szCs w:val="20"/>
                <w:lang w:val="en-US"/>
              </w:rPr>
              <w:instrText>∼</w:instrText>
            </w:r>
            <w:r w:rsidR="00633F70">
              <w:rPr>
                <w:sz w:val="20"/>
                <w:szCs w:val="20"/>
                <w:lang w:val="en-US"/>
              </w:rPr>
              <w:instrText>50% less on Buntsandstein, Keuper weathering soils and gneiss weathering soils, and more than 50% less on Pleistocene sands. Drinking water from Pleistocene sands often contains only 1-10% of the uranium content found in that from granite. Mineral and medicinal waters in Germany contain between &lt;0.015 and 25 μg U/L. In all, 39% of the mineral waters analysed store &lt;0.10, 29% 0.10-0.99, 15% 1.0-4.9 and 17% 5-25 μg U/L, with 2% of them containing &lt;10 μg U/L. The majority of the extremely uranium-rich mineral waters are coming from Thuringia, the adjoining states Hesse, Saxony-Anhalt, and especially from the Black Forest in Baden-Württemberg. The high uranium contents there are delivered to the mineral waters and the food chain by the granite in the subsoil of these areas. Compared to control plants, wild and cultivated plants from the immediate vicinity of uranium waste dumps were found to store normal to eightfold uranium contents. Leafy plants species accumulated much uranium, whereas tubes, thick parts of stalks, fruits and grains stored less uranium. With increasing age of the vegetation, its uranium content decreases significantly. The uranium content of 116 foodstuffs and beverages varies extremely. Vegetable foods accumulate between 0.8 μg U/kg dry matter (DM) in margarine, bee honey and pearl barley, 50 μg U/kg DM in asparagus, and &gt;100 μg U/kg DM in mixed mushrooms. As a rule, sugar-, starch- and fat-rich foodstuffs proved to be uranium-poor (fruits, seeds, flour), whereas leafy vegetables, tea and herbs can be uranium-rich. Animal foodstuffs accumulate lower uranium contents, with 0.7 μg U/kg DM in butter and 1.1-1.9 μg U/kg DM in condensed and normal cow's milk, 1.5-3.1 μg U/kg DM in pork, beef, chicken and mutton, 3-10 μg U/kg DM in fish, and 16 μg U/kg DM in hen's eggs. Prepared food for babies and young children proved to be uranium-poor. However, its uranium content can increase to 50 times that of mother's or cow's milk due to its preparations with particularly recommended mineral water that is rich in uranium. Of the uranium ingested by adults, 41% are delivered through beverages, 33% through vegetable and 26% through …","author":[{"dropping-particle":"","family":"Anke","given":"M.","non-dropping-particle":"","parse-names":false,"suffix":""},{"dropping-particle":"","family":"Seeber","given":"O.","non-dropping-particle":"","parse-names":false,"suffix":""},{"dropping-particle":"","family":"Müller","given":"R.","non-dropping-particle":"","parse-names":false,"suffix":""},{"dropping-particle":"","family":"Schäfer","given":"U.","non-dropping-particle":"","parse-names":false,"suffix":""},{"dropping-particle":"","family":"Zerull","given":"J.","non-dropping-particle":"","parse-names":false,"suffix":""}],"container-title":"Geochemistry","id":"ITEM-1","issued":{"date-parts":[["2009","2"]]},"page":"75-90","title":"Uranium transfer in the food chain from soil to plants, animals and man","type":"article-journal","volume":"69"},"suppress-author":1,"uris":["http://www.mendeley.com/documents/?uuid=9df43a73-9485-4d30-b3ea-bc55202ebb28"]}],"mendeley":{"formattedCitation":"(2009)","plainTextFormattedCitation":"(2009)","previouslyFormattedCitation":"(2009)"},"properties":{"noteIndex":0},"schema":"https://github.com/citation-style-language/schema/raw/master/csl-citation.json"}</w:instrText>
            </w:r>
            <w:r w:rsidRPr="008D1975">
              <w:rPr>
                <w:sz w:val="20"/>
                <w:szCs w:val="20"/>
                <w:lang w:val="en-US"/>
              </w:rPr>
              <w:fldChar w:fldCharType="separate"/>
            </w:r>
            <w:r w:rsidRPr="008D1975">
              <w:rPr>
                <w:noProof/>
                <w:sz w:val="20"/>
                <w:szCs w:val="20"/>
                <w:lang w:val="en-US"/>
              </w:rPr>
              <w:t>(2009)</w:t>
            </w:r>
            <w:r w:rsidRPr="008D1975">
              <w:rPr>
                <w:sz w:val="20"/>
                <w:szCs w:val="20"/>
                <w:lang w:val="en-US"/>
              </w:rPr>
              <w:fldChar w:fldCharType="end"/>
            </w:r>
          </w:p>
        </w:tc>
        <w:tc>
          <w:tcPr>
            <w:tcW w:w="2107" w:type="dxa"/>
            <w:gridSpan w:val="2"/>
            <w:tcBorders>
              <w:top w:val="nil"/>
              <w:bottom w:val="single" w:sz="4" w:space="0" w:color="auto"/>
            </w:tcBorders>
            <w:vAlign w:val="center"/>
          </w:tcPr>
          <w:p w14:paraId="248639B8" w14:textId="77777777" w:rsidR="00972FCC" w:rsidRPr="00081381" w:rsidRDefault="00972FCC" w:rsidP="00972FCC">
            <w:pPr>
              <w:jc w:val="center"/>
              <w:rPr>
                <w:sz w:val="20"/>
                <w:szCs w:val="20"/>
                <w:lang w:val="en-US"/>
              </w:rPr>
            </w:pPr>
            <w:r w:rsidRPr="00081381">
              <w:rPr>
                <w:sz w:val="20"/>
                <w:szCs w:val="20"/>
                <w:vertAlign w:val="superscript"/>
                <w:lang w:val="en-US"/>
              </w:rPr>
              <w:t>b</w:t>
            </w:r>
          </w:p>
        </w:tc>
      </w:tr>
      <w:tr w:rsidR="009C67C5" w:rsidRPr="00963EC2" w14:paraId="436E1A5E" w14:textId="77777777" w:rsidTr="00984C55">
        <w:trPr>
          <w:trHeight w:val="261"/>
          <w:jc w:val="center"/>
        </w:trPr>
        <w:tc>
          <w:tcPr>
            <w:tcW w:w="2266" w:type="dxa"/>
            <w:tcBorders>
              <w:bottom w:val="nil"/>
            </w:tcBorders>
            <w:vAlign w:val="center"/>
          </w:tcPr>
          <w:p w14:paraId="40DDFBB8" w14:textId="77777777" w:rsidR="009C67C5" w:rsidRPr="00081381" w:rsidRDefault="009C67C5" w:rsidP="001D35D7">
            <w:pPr>
              <w:jc w:val="center"/>
              <w:rPr>
                <w:b/>
                <w:sz w:val="20"/>
                <w:szCs w:val="20"/>
                <w:lang w:val="en-US"/>
              </w:rPr>
            </w:pPr>
            <w:r>
              <w:rPr>
                <w:b/>
                <w:sz w:val="20"/>
                <w:szCs w:val="20"/>
                <w:lang w:val="en-US"/>
              </w:rPr>
              <w:t>Mn</w:t>
            </w:r>
          </w:p>
        </w:tc>
        <w:tc>
          <w:tcPr>
            <w:tcW w:w="1131" w:type="dxa"/>
            <w:tcBorders>
              <w:bottom w:val="nil"/>
            </w:tcBorders>
            <w:vAlign w:val="center"/>
          </w:tcPr>
          <w:p w14:paraId="1F0E91CB"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476</w:t>
            </w:r>
            <w:r w:rsidRPr="00081381">
              <w:rPr>
                <w:sz w:val="20"/>
                <w:szCs w:val="20"/>
                <w:lang w:val="en-US"/>
              </w:rPr>
              <w:t xml:space="preserve"> ± 0.</w:t>
            </w:r>
            <w:r>
              <w:rPr>
                <w:sz w:val="20"/>
                <w:szCs w:val="20"/>
                <w:lang w:val="en-US"/>
              </w:rPr>
              <w:t>107</w:t>
            </w:r>
          </w:p>
        </w:tc>
        <w:tc>
          <w:tcPr>
            <w:tcW w:w="1122" w:type="dxa"/>
            <w:tcBorders>
              <w:bottom w:val="nil"/>
              <w:right w:val="nil"/>
            </w:tcBorders>
            <w:vAlign w:val="center"/>
          </w:tcPr>
          <w:p w14:paraId="0CFBEB52"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left w:val="nil"/>
              <w:bottom w:val="nil"/>
            </w:tcBorders>
            <w:vAlign w:val="center"/>
          </w:tcPr>
          <w:p w14:paraId="377F62B6" w14:textId="77777777" w:rsidR="009C67C5" w:rsidRPr="0037780D" w:rsidRDefault="009C67C5" w:rsidP="001D35D7">
            <w:pPr>
              <w:jc w:val="center"/>
              <w:rPr>
                <w:sz w:val="20"/>
                <w:szCs w:val="20"/>
                <w:vertAlign w:val="superscript"/>
                <w:lang w:val="en-US"/>
              </w:rPr>
            </w:pPr>
            <w:r w:rsidRPr="0037780D">
              <w:rPr>
                <w:sz w:val="20"/>
                <w:szCs w:val="20"/>
                <w:lang w:val="en-US"/>
              </w:rPr>
              <w:t xml:space="preserve">0.040 </w:t>
            </w:r>
            <w:r w:rsidRPr="0037780D">
              <w:rPr>
                <w:sz w:val="20"/>
                <w:szCs w:val="20"/>
                <w:vertAlign w:val="superscript"/>
                <w:lang w:val="en-US"/>
              </w:rPr>
              <w:t>d</w:t>
            </w:r>
          </w:p>
        </w:tc>
        <w:tc>
          <w:tcPr>
            <w:tcW w:w="1122" w:type="dxa"/>
            <w:tcBorders>
              <w:bottom w:val="nil"/>
            </w:tcBorders>
            <w:vAlign w:val="center"/>
          </w:tcPr>
          <w:p w14:paraId="2CFAA341"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522</w:t>
            </w:r>
            <w:r w:rsidRPr="00081381">
              <w:rPr>
                <w:sz w:val="20"/>
                <w:szCs w:val="20"/>
                <w:lang w:val="en-US"/>
              </w:rPr>
              <w:t xml:space="preserve"> ± 0.0</w:t>
            </w:r>
            <w:r>
              <w:rPr>
                <w:sz w:val="20"/>
                <w:szCs w:val="20"/>
                <w:lang w:val="en-US"/>
              </w:rPr>
              <w:t>34</w:t>
            </w:r>
          </w:p>
        </w:tc>
        <w:tc>
          <w:tcPr>
            <w:tcW w:w="985" w:type="dxa"/>
            <w:tcBorders>
              <w:bottom w:val="nil"/>
            </w:tcBorders>
            <w:vAlign w:val="center"/>
          </w:tcPr>
          <w:p w14:paraId="2655C4D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963EC2" w14:paraId="3FD972D7" w14:textId="77777777" w:rsidTr="00984C55">
        <w:trPr>
          <w:trHeight w:val="261"/>
          <w:jc w:val="center"/>
        </w:trPr>
        <w:tc>
          <w:tcPr>
            <w:tcW w:w="2266" w:type="dxa"/>
            <w:tcBorders>
              <w:top w:val="nil"/>
              <w:bottom w:val="single" w:sz="4" w:space="0" w:color="auto"/>
            </w:tcBorders>
            <w:vAlign w:val="center"/>
          </w:tcPr>
          <w:p w14:paraId="71F657F2"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1298C9EA"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0A86D82C" w14:textId="77777777" w:rsidR="009C67C5" w:rsidRPr="00081381" w:rsidRDefault="009C67C5" w:rsidP="001D35D7">
            <w:pPr>
              <w:jc w:val="center"/>
              <w:rPr>
                <w:sz w:val="20"/>
                <w:szCs w:val="20"/>
                <w:lang w:val="en-US"/>
              </w:rPr>
            </w:pPr>
            <w:r w:rsidRPr="00081381">
              <w:rPr>
                <w:sz w:val="18"/>
                <w:szCs w:val="20"/>
                <w:lang w:val="en-US"/>
              </w:rPr>
              <w:t>U.S. EPA (2004)</w:t>
            </w:r>
          </w:p>
        </w:tc>
        <w:tc>
          <w:tcPr>
            <w:tcW w:w="1122" w:type="dxa"/>
            <w:tcBorders>
              <w:top w:val="nil"/>
              <w:bottom w:val="single" w:sz="4" w:space="0" w:color="auto"/>
            </w:tcBorders>
            <w:vAlign w:val="center"/>
          </w:tcPr>
          <w:p w14:paraId="721FD25E"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9D65DCE"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4210F63" w14:textId="77777777" w:rsidTr="00984C55">
        <w:trPr>
          <w:trHeight w:val="261"/>
          <w:jc w:val="center"/>
        </w:trPr>
        <w:tc>
          <w:tcPr>
            <w:tcW w:w="2266" w:type="dxa"/>
            <w:tcBorders>
              <w:bottom w:val="nil"/>
            </w:tcBorders>
            <w:vAlign w:val="center"/>
          </w:tcPr>
          <w:p w14:paraId="14177521" w14:textId="77777777" w:rsidR="009C67C5" w:rsidRPr="00081381" w:rsidRDefault="009C67C5" w:rsidP="001D35D7">
            <w:pPr>
              <w:jc w:val="center"/>
              <w:rPr>
                <w:b/>
                <w:sz w:val="20"/>
                <w:szCs w:val="20"/>
                <w:lang w:val="en-US"/>
              </w:rPr>
            </w:pPr>
            <w:r>
              <w:rPr>
                <w:b/>
                <w:sz w:val="20"/>
                <w:szCs w:val="20"/>
                <w:lang w:val="en-US"/>
              </w:rPr>
              <w:t>Cd</w:t>
            </w:r>
          </w:p>
        </w:tc>
        <w:tc>
          <w:tcPr>
            <w:tcW w:w="1131" w:type="dxa"/>
            <w:tcBorders>
              <w:bottom w:val="nil"/>
            </w:tcBorders>
            <w:vAlign w:val="center"/>
          </w:tcPr>
          <w:p w14:paraId="62F5305A" w14:textId="77777777" w:rsidR="009C67C5" w:rsidRPr="005D7A0F" w:rsidRDefault="009C67C5" w:rsidP="001D35D7">
            <w:pPr>
              <w:jc w:val="center"/>
              <w:rPr>
                <w:sz w:val="20"/>
                <w:szCs w:val="20"/>
              </w:rPr>
            </w:pPr>
            <w:r w:rsidRPr="005D7A0F">
              <w:rPr>
                <w:sz w:val="20"/>
                <w:szCs w:val="20"/>
              </w:rPr>
              <w:t>0.</w:t>
            </w:r>
            <w:r>
              <w:rPr>
                <w:sz w:val="20"/>
                <w:szCs w:val="20"/>
              </w:rPr>
              <w:t>745</w:t>
            </w:r>
            <w:r w:rsidRPr="005D7A0F">
              <w:rPr>
                <w:sz w:val="20"/>
                <w:szCs w:val="20"/>
              </w:rPr>
              <w:t xml:space="preserve"> ± 0.</w:t>
            </w:r>
            <w:r>
              <w:rPr>
                <w:sz w:val="20"/>
                <w:szCs w:val="20"/>
              </w:rPr>
              <w:t>119</w:t>
            </w:r>
          </w:p>
        </w:tc>
        <w:tc>
          <w:tcPr>
            <w:tcW w:w="1122" w:type="dxa"/>
            <w:tcBorders>
              <w:bottom w:val="nil"/>
            </w:tcBorders>
            <w:vAlign w:val="center"/>
          </w:tcPr>
          <w:p w14:paraId="734CE3D4" w14:textId="77777777" w:rsidR="009C67C5" w:rsidRPr="005D7A0F" w:rsidRDefault="009C67C5" w:rsidP="001D35D7">
            <w:pPr>
              <w:jc w:val="center"/>
              <w:rPr>
                <w:sz w:val="20"/>
                <w:szCs w:val="20"/>
              </w:rPr>
            </w:pPr>
            <w:r>
              <w:rPr>
                <w:sz w:val="20"/>
                <w:szCs w:val="20"/>
              </w:rPr>
              <w:t>0.050</w:t>
            </w:r>
          </w:p>
        </w:tc>
        <w:tc>
          <w:tcPr>
            <w:tcW w:w="1076" w:type="dxa"/>
            <w:gridSpan w:val="3"/>
            <w:tcBorders>
              <w:bottom w:val="nil"/>
              <w:right w:val="nil"/>
            </w:tcBorders>
            <w:vAlign w:val="center"/>
          </w:tcPr>
          <w:p w14:paraId="67CD34DF" w14:textId="77777777" w:rsidR="009C67C5" w:rsidRPr="0055673E" w:rsidRDefault="009C67C5" w:rsidP="001D35D7">
            <w:pPr>
              <w:jc w:val="center"/>
              <w:rPr>
                <w:sz w:val="20"/>
                <w:szCs w:val="20"/>
              </w:rPr>
            </w:pPr>
            <w:r w:rsidRPr="0055673E">
              <w:rPr>
                <w:sz w:val="20"/>
                <w:szCs w:val="20"/>
              </w:rPr>
              <w:t>0.</w:t>
            </w:r>
            <w:r>
              <w:rPr>
                <w:sz w:val="20"/>
                <w:szCs w:val="20"/>
              </w:rPr>
              <w:t>460 ± 0.039</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46724EC4" w14:textId="77777777" w:rsidR="009C67C5" w:rsidRPr="0055673E" w:rsidRDefault="009C67C5" w:rsidP="001D35D7">
            <w:pPr>
              <w:jc w:val="center"/>
              <w:rPr>
                <w:sz w:val="20"/>
                <w:szCs w:val="20"/>
              </w:rPr>
            </w:pPr>
            <w:r>
              <w:rPr>
                <w:sz w:val="20"/>
                <w:szCs w:val="20"/>
              </w:rPr>
              <w:t>0.450 ± 0.087</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2A44836E" w14:textId="77777777" w:rsidR="009C67C5" w:rsidRPr="0065368A" w:rsidRDefault="009C67C5" w:rsidP="001D35D7">
            <w:pPr>
              <w:jc w:val="center"/>
              <w:rPr>
                <w:sz w:val="20"/>
                <w:szCs w:val="20"/>
                <w:vertAlign w:val="superscript"/>
              </w:rPr>
            </w:pPr>
            <w:r>
              <w:rPr>
                <w:sz w:val="20"/>
                <w:szCs w:val="20"/>
              </w:rPr>
              <w:t xml:space="preserve">0.025 </w:t>
            </w:r>
            <w:r>
              <w:rPr>
                <w:sz w:val="20"/>
                <w:szCs w:val="20"/>
                <w:vertAlign w:val="superscript"/>
              </w:rPr>
              <w:t>d</w:t>
            </w:r>
          </w:p>
        </w:tc>
        <w:tc>
          <w:tcPr>
            <w:tcW w:w="1122" w:type="dxa"/>
            <w:tcBorders>
              <w:bottom w:val="nil"/>
            </w:tcBorders>
            <w:vAlign w:val="center"/>
          </w:tcPr>
          <w:p w14:paraId="2172DEB7"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569</w:t>
            </w:r>
            <w:r w:rsidRPr="00081381">
              <w:rPr>
                <w:sz w:val="20"/>
                <w:szCs w:val="20"/>
                <w:lang w:val="en-US"/>
              </w:rPr>
              <w:t xml:space="preserve"> ± 0.0</w:t>
            </w:r>
            <w:r>
              <w:rPr>
                <w:sz w:val="20"/>
                <w:szCs w:val="20"/>
                <w:lang w:val="en-US"/>
              </w:rPr>
              <w:t>38</w:t>
            </w:r>
          </w:p>
        </w:tc>
        <w:tc>
          <w:tcPr>
            <w:tcW w:w="985" w:type="dxa"/>
            <w:tcBorders>
              <w:bottom w:val="nil"/>
            </w:tcBorders>
            <w:vAlign w:val="center"/>
          </w:tcPr>
          <w:p w14:paraId="4ED6DE75"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68FA4C5" w14:textId="77777777" w:rsidTr="00984C55">
        <w:trPr>
          <w:trHeight w:val="261"/>
          <w:jc w:val="center"/>
        </w:trPr>
        <w:tc>
          <w:tcPr>
            <w:tcW w:w="2266" w:type="dxa"/>
            <w:tcBorders>
              <w:top w:val="nil"/>
              <w:bottom w:val="single" w:sz="4" w:space="0" w:color="auto"/>
            </w:tcBorders>
            <w:vAlign w:val="center"/>
          </w:tcPr>
          <w:p w14:paraId="23581D7C" w14:textId="77777777" w:rsidR="009C67C5" w:rsidRPr="0055673E" w:rsidRDefault="009C67C5" w:rsidP="001D35D7">
            <w:pPr>
              <w:jc w:val="center"/>
              <w:rPr>
                <w:b/>
                <w:sz w:val="20"/>
                <w:szCs w:val="20"/>
              </w:rPr>
            </w:pPr>
            <w:proofErr w:type="spellStart"/>
            <w:r w:rsidRPr="0055673E">
              <w:rPr>
                <w:i/>
                <w:iCs/>
                <w:sz w:val="20"/>
                <w:szCs w:val="52"/>
              </w:rPr>
              <w:t>Reference</w:t>
            </w:r>
            <w:proofErr w:type="spellEnd"/>
          </w:p>
        </w:tc>
        <w:tc>
          <w:tcPr>
            <w:tcW w:w="1131" w:type="dxa"/>
            <w:tcBorders>
              <w:top w:val="nil"/>
              <w:bottom w:val="single" w:sz="4" w:space="0" w:color="auto"/>
            </w:tcBorders>
            <w:vAlign w:val="center"/>
          </w:tcPr>
          <w:p w14:paraId="066FF3B2"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FE49862"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4FB69B3A"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B6DDFAE"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312AE75C" w14:textId="77777777" w:rsidR="009C67C5" w:rsidRPr="0055673E"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55FA8365"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E539BE1" w14:textId="77777777" w:rsidTr="00984C55">
        <w:trPr>
          <w:trHeight w:val="261"/>
          <w:jc w:val="center"/>
        </w:trPr>
        <w:tc>
          <w:tcPr>
            <w:tcW w:w="2266" w:type="dxa"/>
            <w:tcBorders>
              <w:bottom w:val="nil"/>
            </w:tcBorders>
            <w:vAlign w:val="center"/>
          </w:tcPr>
          <w:p w14:paraId="4FB0BC55" w14:textId="77777777" w:rsidR="009C67C5" w:rsidRPr="0055673E" w:rsidRDefault="009C67C5" w:rsidP="001D35D7">
            <w:pPr>
              <w:jc w:val="center"/>
              <w:rPr>
                <w:b/>
                <w:sz w:val="20"/>
                <w:szCs w:val="20"/>
              </w:rPr>
            </w:pPr>
            <w:r>
              <w:rPr>
                <w:b/>
                <w:sz w:val="20"/>
                <w:szCs w:val="20"/>
              </w:rPr>
              <w:t>As</w:t>
            </w:r>
          </w:p>
        </w:tc>
        <w:tc>
          <w:tcPr>
            <w:tcW w:w="1131" w:type="dxa"/>
            <w:tcBorders>
              <w:bottom w:val="nil"/>
            </w:tcBorders>
            <w:vAlign w:val="center"/>
          </w:tcPr>
          <w:p w14:paraId="4A35ED82" w14:textId="77777777" w:rsidR="009C67C5" w:rsidRPr="005D7A0F" w:rsidRDefault="009C67C5" w:rsidP="001D35D7">
            <w:pPr>
              <w:jc w:val="center"/>
              <w:rPr>
                <w:sz w:val="20"/>
                <w:szCs w:val="20"/>
              </w:rPr>
            </w:pPr>
            <w:r w:rsidRPr="005D7A0F">
              <w:rPr>
                <w:sz w:val="20"/>
                <w:szCs w:val="20"/>
              </w:rPr>
              <w:t>0.</w:t>
            </w:r>
            <w:r>
              <w:rPr>
                <w:sz w:val="20"/>
                <w:szCs w:val="20"/>
              </w:rPr>
              <w:t>388</w:t>
            </w:r>
            <w:r w:rsidRPr="005D7A0F">
              <w:rPr>
                <w:sz w:val="20"/>
                <w:szCs w:val="20"/>
              </w:rPr>
              <w:t xml:space="preserve"> ± 0.</w:t>
            </w:r>
            <w:r>
              <w:rPr>
                <w:sz w:val="20"/>
                <w:szCs w:val="20"/>
              </w:rPr>
              <w:t>057</w:t>
            </w:r>
          </w:p>
        </w:tc>
        <w:tc>
          <w:tcPr>
            <w:tcW w:w="1122" w:type="dxa"/>
            <w:tcBorders>
              <w:bottom w:val="nil"/>
            </w:tcBorders>
            <w:vAlign w:val="center"/>
          </w:tcPr>
          <w:p w14:paraId="11E56BE5" w14:textId="77777777" w:rsidR="009C67C5" w:rsidRPr="005D7A0F" w:rsidRDefault="009C67C5" w:rsidP="001D35D7">
            <w:pPr>
              <w:jc w:val="center"/>
              <w:rPr>
                <w:sz w:val="20"/>
                <w:szCs w:val="20"/>
              </w:rPr>
            </w:pPr>
            <w:r>
              <w:rPr>
                <w:sz w:val="20"/>
                <w:szCs w:val="20"/>
              </w:rPr>
              <w:t>0.950</w:t>
            </w:r>
          </w:p>
        </w:tc>
        <w:tc>
          <w:tcPr>
            <w:tcW w:w="7404" w:type="dxa"/>
            <w:gridSpan w:val="26"/>
            <w:tcBorders>
              <w:bottom w:val="nil"/>
            </w:tcBorders>
            <w:vAlign w:val="center"/>
          </w:tcPr>
          <w:p w14:paraId="2968F79A" w14:textId="001199D4" w:rsidR="009C67C5" w:rsidRPr="00081381" w:rsidRDefault="002B63D5" w:rsidP="001D35D7">
            <w:pPr>
              <w:jc w:val="center"/>
              <w:rPr>
                <w:sz w:val="20"/>
                <w:szCs w:val="20"/>
                <w:lang w:val="en-US"/>
              </w:rPr>
            </w:pPr>
            <w:r>
              <w:rPr>
                <w:sz w:val="20"/>
                <w:szCs w:val="20"/>
                <w:lang w:val="en-US"/>
              </w:rPr>
              <w:t>0.950</w:t>
            </w:r>
          </w:p>
        </w:tc>
        <w:tc>
          <w:tcPr>
            <w:tcW w:w="1122" w:type="dxa"/>
            <w:tcBorders>
              <w:bottom w:val="nil"/>
            </w:tcBorders>
            <w:vAlign w:val="center"/>
          </w:tcPr>
          <w:p w14:paraId="3AEF8665"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457</w:t>
            </w:r>
            <w:r w:rsidRPr="00081381">
              <w:rPr>
                <w:sz w:val="20"/>
                <w:szCs w:val="20"/>
                <w:lang w:val="en-US"/>
              </w:rPr>
              <w:t xml:space="preserve"> ± 0.</w:t>
            </w:r>
            <w:r>
              <w:rPr>
                <w:sz w:val="20"/>
                <w:szCs w:val="20"/>
                <w:lang w:val="en-US"/>
              </w:rPr>
              <w:t>105</w:t>
            </w:r>
          </w:p>
        </w:tc>
        <w:tc>
          <w:tcPr>
            <w:tcW w:w="985" w:type="dxa"/>
            <w:tcBorders>
              <w:bottom w:val="nil"/>
            </w:tcBorders>
            <w:vAlign w:val="center"/>
          </w:tcPr>
          <w:p w14:paraId="1203940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EA6789C" w14:textId="77777777" w:rsidTr="00984C55">
        <w:trPr>
          <w:trHeight w:val="261"/>
          <w:jc w:val="center"/>
        </w:trPr>
        <w:tc>
          <w:tcPr>
            <w:tcW w:w="2266" w:type="dxa"/>
            <w:tcBorders>
              <w:top w:val="nil"/>
              <w:bottom w:val="single" w:sz="4" w:space="0" w:color="auto"/>
            </w:tcBorders>
            <w:vAlign w:val="center"/>
          </w:tcPr>
          <w:p w14:paraId="588FC274" w14:textId="77777777" w:rsidR="009C67C5" w:rsidRPr="0055673E" w:rsidRDefault="009C67C5" w:rsidP="001D35D7">
            <w:pPr>
              <w:jc w:val="center"/>
              <w:rPr>
                <w:b/>
                <w:sz w:val="20"/>
                <w:szCs w:val="20"/>
              </w:rPr>
            </w:pPr>
            <w:proofErr w:type="spellStart"/>
            <w:r w:rsidRPr="0055673E">
              <w:rPr>
                <w:i/>
                <w:iCs/>
                <w:sz w:val="20"/>
                <w:szCs w:val="52"/>
              </w:rPr>
              <w:t>Reference</w:t>
            </w:r>
            <w:proofErr w:type="spellEnd"/>
          </w:p>
        </w:tc>
        <w:tc>
          <w:tcPr>
            <w:tcW w:w="1131" w:type="dxa"/>
            <w:tcBorders>
              <w:top w:val="nil"/>
              <w:bottom w:val="single" w:sz="4" w:space="0" w:color="auto"/>
            </w:tcBorders>
            <w:vAlign w:val="center"/>
          </w:tcPr>
          <w:p w14:paraId="1E23D36E"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F72DD07"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54964CFA" w14:textId="09CED8B9" w:rsidR="009C67C5" w:rsidRPr="00081381" w:rsidRDefault="00EE232B" w:rsidP="001D35D7">
            <w:pPr>
              <w:jc w:val="center"/>
              <w:rPr>
                <w:sz w:val="20"/>
                <w:szCs w:val="20"/>
                <w:lang w:val="en-US"/>
              </w:rPr>
            </w:pPr>
            <w:r w:rsidRPr="00EE232B">
              <w:rPr>
                <w:sz w:val="20"/>
                <w:szCs w:val="20"/>
                <w:lang w:val="en-US"/>
              </w:rPr>
              <w:t>National Research Council</w:t>
            </w:r>
            <w:r>
              <w:rPr>
                <w:sz w:val="20"/>
                <w:szCs w:val="20"/>
                <w:lang w:val="en-US"/>
              </w:rPr>
              <w:t xml:space="preserve"> </w:t>
            </w:r>
            <w:r>
              <w:rPr>
                <w:sz w:val="20"/>
                <w:szCs w:val="20"/>
                <w:lang w:val="en-US"/>
              </w:rPr>
              <w:fldChar w:fldCharType="begin" w:fldLock="1"/>
            </w:r>
            <w:r w:rsidR="004E7027">
              <w:rPr>
                <w:sz w:val="20"/>
                <w:szCs w:val="20"/>
                <w:lang w:val="en-US"/>
              </w:rPr>
              <w:instrText>ADDIN CSL_CITATION {"citationItems":[{"id":"ITEM-1","itemData":{"author":[{"dropping-particle":"","family":"National Research Council","given":"","non-dropping-particle":"","parse-names":false,"suffix":""}],"container-title":"Arsenic in drinking water","id":"ITEM-1","issued":{"date-parts":[["1999"]]},"publisher":"National Academies Press (US)","title":"Disposition of inorganic arsenic","type":"chapter"},"suppress-author":1,"uris":["http://www.mendeley.com/documents/?uuid=bb1281ae-8a6d-4821-a3af-5ede30d62ea0"]}],"mendeley":{"formattedCitation":"(1999)","plainTextFormattedCitation":"(1999)","previouslyFormattedCitation":"(1999)"},"properties":{"noteIndex":0},"schema":"https://github.com/citation-style-language/schema/raw/master/csl-citation.json"}</w:instrText>
            </w:r>
            <w:r>
              <w:rPr>
                <w:sz w:val="20"/>
                <w:szCs w:val="20"/>
                <w:lang w:val="en-US"/>
              </w:rPr>
              <w:fldChar w:fldCharType="separate"/>
            </w:r>
            <w:r w:rsidRPr="00EE232B">
              <w:rPr>
                <w:noProof/>
                <w:sz w:val="20"/>
                <w:szCs w:val="20"/>
                <w:lang w:val="en-US"/>
              </w:rPr>
              <w:t>(1999)</w:t>
            </w:r>
            <w:r>
              <w:rPr>
                <w:sz w:val="20"/>
                <w:szCs w:val="20"/>
                <w:lang w:val="en-US"/>
              </w:rPr>
              <w:fldChar w:fldCharType="end"/>
            </w:r>
          </w:p>
        </w:tc>
        <w:tc>
          <w:tcPr>
            <w:tcW w:w="1122" w:type="dxa"/>
            <w:tcBorders>
              <w:top w:val="nil"/>
              <w:bottom w:val="single" w:sz="4" w:space="0" w:color="auto"/>
            </w:tcBorders>
            <w:vAlign w:val="center"/>
          </w:tcPr>
          <w:p w14:paraId="25140131" w14:textId="77777777" w:rsidR="009C67C5" w:rsidRPr="0055673E"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0B7E7DA2"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0F7308" w:rsidRPr="0055673E" w14:paraId="2C6A028C" w14:textId="77777777" w:rsidTr="00984C55">
        <w:trPr>
          <w:trHeight w:val="261"/>
          <w:jc w:val="center"/>
        </w:trPr>
        <w:tc>
          <w:tcPr>
            <w:tcW w:w="2266" w:type="dxa"/>
            <w:tcBorders>
              <w:top w:val="single" w:sz="4" w:space="0" w:color="auto"/>
              <w:bottom w:val="nil"/>
            </w:tcBorders>
            <w:vAlign w:val="center"/>
          </w:tcPr>
          <w:p w14:paraId="0880428D" w14:textId="514E55EB" w:rsidR="000F7308" w:rsidRPr="0055673E" w:rsidRDefault="000F7308" w:rsidP="000F7308">
            <w:pPr>
              <w:jc w:val="center"/>
              <w:rPr>
                <w:i/>
                <w:iCs/>
                <w:sz w:val="20"/>
                <w:szCs w:val="52"/>
              </w:rPr>
            </w:pPr>
            <w:r>
              <w:rPr>
                <w:b/>
                <w:sz w:val="20"/>
                <w:szCs w:val="20"/>
              </w:rPr>
              <w:t>Co</w:t>
            </w:r>
          </w:p>
        </w:tc>
        <w:tc>
          <w:tcPr>
            <w:tcW w:w="1131" w:type="dxa"/>
            <w:tcBorders>
              <w:top w:val="single" w:sz="4" w:space="0" w:color="auto"/>
              <w:bottom w:val="nil"/>
            </w:tcBorders>
            <w:vAlign w:val="center"/>
          </w:tcPr>
          <w:p w14:paraId="3B85BE24" w14:textId="4542F0A3" w:rsidR="000F7308" w:rsidRDefault="000F7308" w:rsidP="000F7308">
            <w:pPr>
              <w:jc w:val="center"/>
              <w:rPr>
                <w:sz w:val="20"/>
                <w:szCs w:val="20"/>
                <w:lang w:val="en-US"/>
              </w:rPr>
            </w:pPr>
            <w:r w:rsidRPr="00EE3DA0">
              <w:rPr>
                <w:sz w:val="20"/>
                <w:szCs w:val="20"/>
                <w:lang w:val="en-US"/>
              </w:rPr>
              <w:t>0.</w:t>
            </w:r>
            <w:r>
              <w:rPr>
                <w:sz w:val="20"/>
                <w:szCs w:val="20"/>
                <w:lang w:val="en-US"/>
              </w:rPr>
              <w:t>221</w:t>
            </w:r>
            <w:r w:rsidRPr="00EE3DA0">
              <w:rPr>
                <w:sz w:val="20"/>
                <w:szCs w:val="20"/>
                <w:lang w:val="en-US"/>
              </w:rPr>
              <w:t xml:space="preserve"> ± 0.</w:t>
            </w:r>
            <w:r>
              <w:rPr>
                <w:sz w:val="20"/>
                <w:szCs w:val="20"/>
                <w:lang w:val="en-US"/>
              </w:rPr>
              <w:t>091</w:t>
            </w:r>
          </w:p>
        </w:tc>
        <w:tc>
          <w:tcPr>
            <w:tcW w:w="8526" w:type="dxa"/>
            <w:gridSpan w:val="27"/>
            <w:tcBorders>
              <w:top w:val="single" w:sz="4" w:space="0" w:color="auto"/>
              <w:bottom w:val="nil"/>
            </w:tcBorders>
            <w:vAlign w:val="center"/>
          </w:tcPr>
          <w:p w14:paraId="5F419494" w14:textId="34167602" w:rsidR="000F7308" w:rsidRPr="00081381" w:rsidRDefault="000F7308" w:rsidP="000F7308">
            <w:pPr>
              <w:jc w:val="center"/>
              <w:rPr>
                <w:sz w:val="20"/>
                <w:szCs w:val="20"/>
                <w:vertAlign w:val="superscript"/>
                <w:lang w:val="en-US"/>
              </w:rPr>
            </w:pPr>
            <w:r>
              <w:rPr>
                <w:sz w:val="20"/>
                <w:szCs w:val="20"/>
                <w:lang w:val="en-US"/>
              </w:rPr>
              <w:t>0</w:t>
            </w:r>
            <w:r w:rsidRPr="00A358DB">
              <w:rPr>
                <w:sz w:val="20"/>
                <w:szCs w:val="20"/>
                <w:lang w:val="en-US"/>
              </w:rPr>
              <w:t>.</w:t>
            </w:r>
            <w:r>
              <w:rPr>
                <w:sz w:val="20"/>
                <w:szCs w:val="20"/>
                <w:lang w:val="en-US"/>
              </w:rPr>
              <w:t>4</w:t>
            </w:r>
            <w:r w:rsidRPr="00A358DB">
              <w:rPr>
                <w:sz w:val="20"/>
                <w:szCs w:val="20"/>
                <w:lang w:val="en-US"/>
              </w:rPr>
              <w:t>00</w:t>
            </w:r>
          </w:p>
        </w:tc>
        <w:tc>
          <w:tcPr>
            <w:tcW w:w="1122" w:type="dxa"/>
            <w:tcBorders>
              <w:top w:val="single" w:sz="4" w:space="0" w:color="auto"/>
              <w:bottom w:val="nil"/>
            </w:tcBorders>
            <w:vAlign w:val="center"/>
          </w:tcPr>
          <w:p w14:paraId="71EDE048" w14:textId="5CB9E791" w:rsidR="000F7308" w:rsidRPr="001D35D7" w:rsidRDefault="000F7308" w:rsidP="000F7308">
            <w:pPr>
              <w:jc w:val="center"/>
              <w:rPr>
                <w:sz w:val="18"/>
                <w:szCs w:val="20"/>
              </w:rPr>
            </w:pPr>
            <w:r w:rsidRPr="00081381">
              <w:rPr>
                <w:sz w:val="20"/>
                <w:szCs w:val="20"/>
                <w:lang w:val="en-US"/>
              </w:rPr>
              <w:t>0.</w:t>
            </w:r>
            <w:r>
              <w:rPr>
                <w:sz w:val="20"/>
                <w:szCs w:val="20"/>
                <w:lang w:val="en-US"/>
              </w:rPr>
              <w:t>302</w:t>
            </w:r>
            <w:r w:rsidRPr="00081381">
              <w:rPr>
                <w:sz w:val="20"/>
                <w:szCs w:val="20"/>
                <w:lang w:val="en-US"/>
              </w:rPr>
              <w:t xml:space="preserve"> ± 0.0</w:t>
            </w:r>
            <w:r>
              <w:rPr>
                <w:sz w:val="20"/>
                <w:szCs w:val="20"/>
                <w:lang w:val="en-US"/>
              </w:rPr>
              <w:t>32</w:t>
            </w:r>
          </w:p>
        </w:tc>
        <w:tc>
          <w:tcPr>
            <w:tcW w:w="985" w:type="dxa"/>
            <w:tcBorders>
              <w:top w:val="single" w:sz="4" w:space="0" w:color="auto"/>
              <w:bottom w:val="nil"/>
            </w:tcBorders>
            <w:vAlign w:val="center"/>
          </w:tcPr>
          <w:p w14:paraId="4DC22749" w14:textId="62F59265" w:rsidR="000F7308" w:rsidRPr="00081381" w:rsidRDefault="000F7308" w:rsidP="000F7308">
            <w:pPr>
              <w:jc w:val="center"/>
              <w:rPr>
                <w:sz w:val="20"/>
                <w:szCs w:val="20"/>
                <w:vertAlign w:val="superscript"/>
                <w:lang w:val="en-US"/>
              </w:rPr>
            </w:pPr>
            <w:r w:rsidRPr="00081381">
              <w:rPr>
                <w:sz w:val="20"/>
                <w:szCs w:val="20"/>
                <w:lang w:val="en-US"/>
              </w:rPr>
              <w:t>1.000</w:t>
            </w:r>
          </w:p>
        </w:tc>
      </w:tr>
      <w:tr w:rsidR="000F7308" w:rsidRPr="0055673E" w14:paraId="44507D0F" w14:textId="77777777" w:rsidTr="00984C55">
        <w:trPr>
          <w:trHeight w:val="261"/>
          <w:jc w:val="center"/>
        </w:trPr>
        <w:tc>
          <w:tcPr>
            <w:tcW w:w="2266" w:type="dxa"/>
            <w:tcBorders>
              <w:top w:val="nil"/>
              <w:bottom w:val="single" w:sz="4" w:space="0" w:color="auto"/>
            </w:tcBorders>
            <w:vAlign w:val="center"/>
          </w:tcPr>
          <w:p w14:paraId="3CC06BCA" w14:textId="01FE1C0A" w:rsidR="000F7308" w:rsidRPr="0055673E" w:rsidRDefault="000F7308" w:rsidP="000F7308">
            <w:pPr>
              <w:jc w:val="center"/>
              <w:rPr>
                <w:i/>
                <w:iCs/>
                <w:sz w:val="20"/>
                <w:szCs w:val="52"/>
              </w:rPr>
            </w:pPr>
            <w:r w:rsidRPr="00EE3DA0">
              <w:rPr>
                <w:i/>
                <w:iCs/>
                <w:sz w:val="20"/>
                <w:szCs w:val="52"/>
                <w:lang w:val="en-US"/>
              </w:rPr>
              <w:t>Reference</w:t>
            </w:r>
          </w:p>
        </w:tc>
        <w:tc>
          <w:tcPr>
            <w:tcW w:w="1131" w:type="dxa"/>
            <w:tcBorders>
              <w:top w:val="nil"/>
              <w:bottom w:val="single" w:sz="4" w:space="0" w:color="auto"/>
            </w:tcBorders>
            <w:vAlign w:val="center"/>
          </w:tcPr>
          <w:p w14:paraId="3CF3F29C" w14:textId="0C865BF7" w:rsidR="000F7308" w:rsidRDefault="000F7308" w:rsidP="000F7308">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FC1F93" w14:textId="1982CC48" w:rsidR="000F7308" w:rsidRPr="00081381" w:rsidRDefault="000F7308" w:rsidP="000F7308">
            <w:pPr>
              <w:jc w:val="center"/>
              <w:rPr>
                <w:sz w:val="20"/>
                <w:szCs w:val="20"/>
                <w:vertAlign w:val="superscript"/>
                <w:lang w:val="en-US"/>
              </w:rPr>
            </w:pPr>
            <w:r>
              <w:rPr>
                <w:rStyle w:val="tlid-translation"/>
                <w:sz w:val="20"/>
                <w:lang w:val="en-US"/>
              </w:rPr>
              <w:t xml:space="preserve">Leggett </w:t>
            </w:r>
            <w:r>
              <w:rPr>
                <w:rStyle w:val="tlid-translation"/>
                <w:sz w:val="20"/>
                <w:lang w:val="en-US"/>
              </w:rPr>
              <w:fldChar w:fldCharType="begin" w:fldLock="1"/>
            </w:r>
            <w:r>
              <w:rPr>
                <w:rStyle w:val="tlid-translation"/>
                <w:sz w:val="20"/>
                <w:lang w:val="en-US"/>
              </w:rPr>
              <w:instrText>ADDIN CSL_CITATION {"citationItems":[{"id":"ITEM-1","itemData":{"DOI":"10.1016/j.scitotenv.2007.08.054","ISSN":"00489697","abstract":"This paper reviews information on the biological behavior of inorganic cobalt in humans and laboratory animals and proposes a model of the systemic biokinetics of inorganic cobalt in adult humans. The model was developed as part of an effort to update the models of the International Commission on Radiological Protection (ICRP) for addressing intakes of radionuclides by workers but is also applicable to environmental or medical exposures to inorganic forms of radiocobalt. The model can be used in conjunction with any respiratory, gastrointestinal, or wound model that provides predictions of the time-dependent feed of cobalt to blood. In contrast to the ICRP's current systemic model for cobalt, which is a simple open catenary system, the proposed model is constructed within a physiologically realistic framework that depicts recycling of cobalt between blood and tissues and transfer from blood to excretion pathways. Compared with the ICRP's current model, the proposed model yields similar predictions of whole-body retention but substantially different predictions of the systemic distribution of cobalt as a function of time after uptake to blood.","author":[{"dropping-particle":"","family":"Leggett","given":"R.W.","non-dropping-particle":"","parse-names":false,"suffix":""}],"container-title":"Science of The Total Environment","id":"ITEM-1","issue":"2-3","issued":{"date-parts":[["2008","1"]]},"page":"259-269","title":"The biokinetics of inorganic cobalt in the human body","type":"article-journal","volume":"389"},"suppress-author":1,"uris":["http://www.mendeley.com/documents/?uuid=671678c6-bf73-483a-9cde-eea528163469"]}],"mendeley":{"formattedCitation":"(2008)","plainTextFormattedCitation":"(2008)","previouslyFormattedCitation":"(2008)"},"properties":{"noteIndex":0},"schema":"https://github.com/citation-style-language/schema/raw/master/csl-citation.json"}</w:instrText>
            </w:r>
            <w:r>
              <w:rPr>
                <w:rStyle w:val="tlid-translation"/>
                <w:sz w:val="20"/>
                <w:lang w:val="en-US"/>
              </w:rPr>
              <w:fldChar w:fldCharType="separate"/>
            </w:r>
            <w:r w:rsidRPr="00753E61">
              <w:rPr>
                <w:rStyle w:val="tlid-translation"/>
                <w:noProof/>
                <w:sz w:val="20"/>
                <w:lang w:val="en-US"/>
              </w:rPr>
              <w:t>(2008)</w:t>
            </w:r>
            <w:r>
              <w:rPr>
                <w:rStyle w:val="tlid-translation"/>
                <w:sz w:val="20"/>
                <w:lang w:val="en-US"/>
              </w:rPr>
              <w:fldChar w:fldCharType="end"/>
            </w:r>
          </w:p>
        </w:tc>
        <w:tc>
          <w:tcPr>
            <w:tcW w:w="1122" w:type="dxa"/>
            <w:tcBorders>
              <w:top w:val="nil"/>
              <w:bottom w:val="single" w:sz="4" w:space="0" w:color="auto"/>
            </w:tcBorders>
            <w:vAlign w:val="center"/>
          </w:tcPr>
          <w:p w14:paraId="5B542B6F" w14:textId="49E39D72" w:rsidR="000F7308" w:rsidRPr="001D35D7" w:rsidRDefault="000F7308" w:rsidP="000F7308">
            <w:pPr>
              <w:jc w:val="center"/>
              <w:rPr>
                <w:sz w:val="18"/>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71323C8" w14:textId="3C1BEAF4" w:rsidR="000F7308" w:rsidRPr="00081381" w:rsidRDefault="000F7308" w:rsidP="000F7308">
            <w:pPr>
              <w:jc w:val="center"/>
              <w:rPr>
                <w:sz w:val="20"/>
                <w:szCs w:val="20"/>
                <w:vertAlign w:val="superscript"/>
                <w:lang w:val="en-US"/>
              </w:rPr>
            </w:pPr>
            <w:r w:rsidRPr="00081381">
              <w:rPr>
                <w:sz w:val="20"/>
                <w:szCs w:val="20"/>
                <w:vertAlign w:val="superscript"/>
                <w:lang w:val="en-US"/>
              </w:rPr>
              <w:t>b</w:t>
            </w:r>
          </w:p>
        </w:tc>
      </w:tr>
      <w:tr w:rsidR="009C67C5" w:rsidRPr="00EE3DA0" w14:paraId="5FC98BB5" w14:textId="77777777" w:rsidTr="003900BB">
        <w:trPr>
          <w:trHeight w:val="261"/>
          <w:jc w:val="center"/>
        </w:trPr>
        <w:tc>
          <w:tcPr>
            <w:tcW w:w="2266" w:type="dxa"/>
            <w:vMerge w:val="restart"/>
            <w:tcBorders>
              <w:top w:val="single" w:sz="4" w:space="0" w:color="auto"/>
            </w:tcBorders>
            <w:vAlign w:val="center"/>
          </w:tcPr>
          <w:p w14:paraId="49A11575" w14:textId="77777777" w:rsidR="009C67C5" w:rsidRPr="00A358DB" w:rsidRDefault="009C67C5" w:rsidP="00BF301D">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bottom w:val="nil"/>
            </w:tcBorders>
            <w:vAlign w:val="center"/>
          </w:tcPr>
          <w:p w14:paraId="43C10AD6" w14:textId="77777777" w:rsidR="009C67C5" w:rsidRPr="00A358DB" w:rsidRDefault="009C67C5" w:rsidP="00BF301D">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EE3DA0" w14:paraId="3B42D01E" w14:textId="77777777" w:rsidTr="00E664F4">
        <w:trPr>
          <w:trHeight w:val="261"/>
          <w:jc w:val="center"/>
        </w:trPr>
        <w:tc>
          <w:tcPr>
            <w:tcW w:w="2266" w:type="dxa"/>
            <w:vMerge/>
            <w:vAlign w:val="center"/>
          </w:tcPr>
          <w:p w14:paraId="52018208" w14:textId="77777777" w:rsidR="009C67C5" w:rsidRDefault="009C67C5" w:rsidP="00BF301D">
            <w:pPr>
              <w:jc w:val="center"/>
              <w:rPr>
                <w:b/>
                <w:sz w:val="20"/>
                <w:szCs w:val="20"/>
              </w:rPr>
            </w:pPr>
          </w:p>
        </w:tc>
        <w:tc>
          <w:tcPr>
            <w:tcW w:w="9657" w:type="dxa"/>
            <w:gridSpan w:val="28"/>
            <w:tcBorders>
              <w:bottom w:val="nil"/>
            </w:tcBorders>
            <w:vAlign w:val="center"/>
          </w:tcPr>
          <w:p w14:paraId="1EE6609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07149272"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EE3DA0" w14:paraId="395EB2AC" w14:textId="77777777" w:rsidTr="00984C55">
        <w:trPr>
          <w:trHeight w:val="261"/>
          <w:jc w:val="center"/>
        </w:trPr>
        <w:tc>
          <w:tcPr>
            <w:tcW w:w="2266" w:type="dxa"/>
            <w:vMerge/>
            <w:tcBorders>
              <w:bottom w:val="nil"/>
            </w:tcBorders>
            <w:vAlign w:val="center"/>
          </w:tcPr>
          <w:p w14:paraId="0D36EB4A" w14:textId="77777777" w:rsidR="009C67C5" w:rsidRDefault="009C67C5" w:rsidP="00BF301D">
            <w:pPr>
              <w:jc w:val="center"/>
              <w:rPr>
                <w:b/>
                <w:sz w:val="20"/>
                <w:szCs w:val="20"/>
              </w:rPr>
            </w:pPr>
          </w:p>
        </w:tc>
        <w:tc>
          <w:tcPr>
            <w:tcW w:w="1131" w:type="dxa"/>
            <w:tcBorders>
              <w:bottom w:val="nil"/>
            </w:tcBorders>
            <w:vAlign w:val="center"/>
          </w:tcPr>
          <w:p w14:paraId="0EED27F0" w14:textId="77777777" w:rsidR="009C67C5" w:rsidRPr="00A358DB" w:rsidRDefault="009C67C5" w:rsidP="00BF301D">
            <w:pPr>
              <w:jc w:val="center"/>
              <w:rPr>
                <w:b/>
                <w:sz w:val="20"/>
                <w:szCs w:val="20"/>
                <w:lang w:val="en-US"/>
              </w:rPr>
            </w:pPr>
            <w:r w:rsidRPr="00A358DB">
              <w:rPr>
                <w:b/>
                <w:sz w:val="20"/>
                <w:szCs w:val="20"/>
                <w:lang w:val="en-US"/>
              </w:rPr>
              <w:t>Soil</w:t>
            </w:r>
          </w:p>
        </w:tc>
        <w:tc>
          <w:tcPr>
            <w:tcW w:w="1122" w:type="dxa"/>
            <w:tcBorders>
              <w:bottom w:val="nil"/>
            </w:tcBorders>
            <w:vAlign w:val="center"/>
          </w:tcPr>
          <w:p w14:paraId="3B21E28D" w14:textId="77777777" w:rsidR="009C67C5" w:rsidRPr="00A358DB" w:rsidRDefault="009C67C5" w:rsidP="00BF301D">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1DFD1630" w14:textId="77777777" w:rsidR="009C67C5" w:rsidRPr="00A358DB" w:rsidRDefault="009C67C5" w:rsidP="00BF301D">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1148F68C" w14:textId="77777777" w:rsidR="009C67C5" w:rsidRPr="00A358DB" w:rsidRDefault="009C67C5" w:rsidP="00BF301D">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37271ACC" w14:textId="77777777" w:rsidR="009C67C5" w:rsidRPr="00A358DB" w:rsidRDefault="009C67C5" w:rsidP="00BF301D">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723BD7F4" w14:textId="77777777" w:rsidR="009C67C5" w:rsidRPr="00A358DB" w:rsidRDefault="009C67C5" w:rsidP="00BF301D">
            <w:pPr>
              <w:jc w:val="center"/>
              <w:rPr>
                <w:b/>
                <w:sz w:val="20"/>
                <w:szCs w:val="20"/>
                <w:lang w:val="en-US"/>
              </w:rPr>
            </w:pPr>
            <w:r w:rsidRPr="00A358DB">
              <w:rPr>
                <w:b/>
                <w:sz w:val="20"/>
                <w:szCs w:val="20"/>
                <w:lang w:val="en-US"/>
              </w:rPr>
              <w:t>Milk</w:t>
            </w:r>
          </w:p>
        </w:tc>
        <w:tc>
          <w:tcPr>
            <w:tcW w:w="759" w:type="dxa"/>
            <w:gridSpan w:val="2"/>
            <w:tcBorders>
              <w:bottom w:val="nil"/>
            </w:tcBorders>
            <w:vAlign w:val="center"/>
          </w:tcPr>
          <w:p w14:paraId="7CD88F4B" w14:textId="77777777" w:rsidR="009C67C5" w:rsidRPr="00A358DB" w:rsidRDefault="009C67C5" w:rsidP="00BF301D">
            <w:pPr>
              <w:jc w:val="center"/>
              <w:rPr>
                <w:b/>
                <w:sz w:val="20"/>
                <w:szCs w:val="20"/>
                <w:lang w:val="en-US"/>
              </w:rPr>
            </w:pPr>
            <w:r w:rsidRPr="00A358DB">
              <w:rPr>
                <w:b/>
                <w:sz w:val="20"/>
                <w:szCs w:val="20"/>
                <w:lang w:val="en-US"/>
              </w:rPr>
              <w:t>Bird</w:t>
            </w:r>
          </w:p>
        </w:tc>
        <w:tc>
          <w:tcPr>
            <w:tcW w:w="965" w:type="dxa"/>
            <w:gridSpan w:val="9"/>
            <w:tcBorders>
              <w:bottom w:val="nil"/>
            </w:tcBorders>
            <w:vAlign w:val="center"/>
          </w:tcPr>
          <w:p w14:paraId="1AFE2091" w14:textId="77777777" w:rsidR="009C67C5" w:rsidRPr="00A358DB" w:rsidRDefault="009C67C5" w:rsidP="00BF301D">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223418F1" w14:textId="77777777" w:rsidR="009C67C5" w:rsidRPr="00A358DB" w:rsidRDefault="009C67C5" w:rsidP="00BF301D">
            <w:pPr>
              <w:jc w:val="center"/>
              <w:rPr>
                <w:b/>
                <w:sz w:val="20"/>
                <w:szCs w:val="20"/>
                <w:lang w:val="en-US"/>
              </w:rPr>
            </w:pPr>
            <w:r w:rsidRPr="00A358DB">
              <w:rPr>
                <w:b/>
                <w:sz w:val="20"/>
                <w:szCs w:val="20"/>
                <w:lang w:val="en-US"/>
              </w:rPr>
              <w:t>Fish</w:t>
            </w:r>
          </w:p>
        </w:tc>
        <w:tc>
          <w:tcPr>
            <w:tcW w:w="787" w:type="dxa"/>
            <w:tcBorders>
              <w:bottom w:val="nil"/>
            </w:tcBorders>
            <w:vAlign w:val="center"/>
          </w:tcPr>
          <w:p w14:paraId="43ADAD38" w14:textId="77777777" w:rsidR="009C67C5" w:rsidRPr="00A358DB" w:rsidRDefault="009C67C5" w:rsidP="00BF301D">
            <w:pPr>
              <w:jc w:val="center"/>
              <w:rPr>
                <w:b/>
                <w:sz w:val="20"/>
                <w:szCs w:val="20"/>
                <w:lang w:val="en-US"/>
              </w:rPr>
            </w:pPr>
            <w:r w:rsidRPr="00A358DB">
              <w:rPr>
                <w:b/>
                <w:sz w:val="20"/>
                <w:szCs w:val="20"/>
                <w:lang w:val="en-US"/>
              </w:rPr>
              <w:t>Grain</w:t>
            </w:r>
          </w:p>
        </w:tc>
        <w:tc>
          <w:tcPr>
            <w:tcW w:w="1122" w:type="dxa"/>
            <w:tcBorders>
              <w:bottom w:val="nil"/>
            </w:tcBorders>
            <w:vAlign w:val="center"/>
          </w:tcPr>
          <w:p w14:paraId="78DB04BF" w14:textId="77777777" w:rsidR="009C67C5" w:rsidRPr="00A358DB" w:rsidRDefault="009C67C5" w:rsidP="00BF301D">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5521790" w14:textId="77777777" w:rsidR="009C67C5" w:rsidRPr="00A358DB" w:rsidRDefault="009C67C5" w:rsidP="00BF301D">
            <w:pPr>
              <w:jc w:val="center"/>
              <w:rPr>
                <w:b/>
                <w:sz w:val="20"/>
                <w:szCs w:val="20"/>
                <w:lang w:val="en-US"/>
              </w:rPr>
            </w:pPr>
            <w:r w:rsidRPr="00A358DB">
              <w:rPr>
                <w:b/>
                <w:sz w:val="20"/>
                <w:szCs w:val="20"/>
                <w:lang w:val="en-US"/>
              </w:rPr>
              <w:t>Steam</w:t>
            </w:r>
          </w:p>
        </w:tc>
      </w:tr>
      <w:tr w:rsidR="009C67C5" w:rsidRPr="00EE3DA0" w14:paraId="2858B27B" w14:textId="77777777" w:rsidTr="00984C55">
        <w:trPr>
          <w:trHeight w:val="261"/>
          <w:jc w:val="center"/>
        </w:trPr>
        <w:tc>
          <w:tcPr>
            <w:tcW w:w="2266" w:type="dxa"/>
            <w:tcBorders>
              <w:bottom w:val="nil"/>
            </w:tcBorders>
            <w:vAlign w:val="center"/>
          </w:tcPr>
          <w:p w14:paraId="6181BF4C" w14:textId="77777777" w:rsidR="009C67C5" w:rsidRPr="00EE3DA0" w:rsidRDefault="009C67C5" w:rsidP="001D35D7">
            <w:pPr>
              <w:jc w:val="center"/>
              <w:rPr>
                <w:b/>
                <w:sz w:val="20"/>
                <w:szCs w:val="20"/>
                <w:lang w:val="en-US"/>
              </w:rPr>
            </w:pPr>
            <w:r>
              <w:rPr>
                <w:b/>
                <w:sz w:val="20"/>
                <w:szCs w:val="20"/>
                <w:lang w:val="en-US"/>
              </w:rPr>
              <w:t>Hg</w:t>
            </w:r>
          </w:p>
        </w:tc>
        <w:tc>
          <w:tcPr>
            <w:tcW w:w="1131" w:type="dxa"/>
            <w:tcBorders>
              <w:bottom w:val="nil"/>
            </w:tcBorders>
            <w:vAlign w:val="center"/>
          </w:tcPr>
          <w:p w14:paraId="4994BC79" w14:textId="77777777" w:rsidR="009C67C5" w:rsidRPr="00EE3DA0" w:rsidRDefault="009C67C5" w:rsidP="001D35D7">
            <w:pPr>
              <w:jc w:val="center"/>
              <w:rPr>
                <w:sz w:val="20"/>
                <w:szCs w:val="20"/>
                <w:lang w:val="en-US"/>
              </w:rPr>
            </w:pPr>
            <w:r w:rsidRPr="00EE3DA0">
              <w:rPr>
                <w:sz w:val="20"/>
                <w:szCs w:val="20"/>
                <w:lang w:val="en-US"/>
              </w:rPr>
              <w:t>0.</w:t>
            </w:r>
            <w:r>
              <w:rPr>
                <w:sz w:val="20"/>
                <w:szCs w:val="20"/>
                <w:lang w:val="en-US"/>
              </w:rPr>
              <w:t>391</w:t>
            </w:r>
            <w:r w:rsidRPr="00EE3DA0">
              <w:rPr>
                <w:sz w:val="20"/>
                <w:szCs w:val="20"/>
                <w:lang w:val="en-US"/>
              </w:rPr>
              <w:t xml:space="preserve"> ± 0.</w:t>
            </w:r>
            <w:r>
              <w:rPr>
                <w:sz w:val="20"/>
                <w:szCs w:val="20"/>
                <w:lang w:val="en-US"/>
              </w:rPr>
              <w:t>148</w:t>
            </w:r>
          </w:p>
        </w:tc>
        <w:tc>
          <w:tcPr>
            <w:tcW w:w="1122" w:type="dxa"/>
            <w:tcBorders>
              <w:bottom w:val="nil"/>
            </w:tcBorders>
            <w:vAlign w:val="center"/>
          </w:tcPr>
          <w:p w14:paraId="6A0F3D14" w14:textId="77777777" w:rsidR="009C67C5" w:rsidRPr="00EE3DA0"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5A72146" w14:textId="77777777" w:rsidR="009C67C5" w:rsidRPr="00230FFB" w:rsidRDefault="009C67C5" w:rsidP="001D35D7">
            <w:pPr>
              <w:jc w:val="center"/>
              <w:rPr>
                <w:sz w:val="20"/>
                <w:szCs w:val="20"/>
                <w:vertAlign w:val="superscript"/>
                <w:lang w:val="en-US"/>
              </w:rPr>
            </w:pPr>
            <w:r>
              <w:rPr>
                <w:sz w:val="20"/>
                <w:szCs w:val="20"/>
                <w:lang w:val="en-US"/>
              </w:rPr>
              <w:t xml:space="preserve">0.200 </w:t>
            </w:r>
            <w:r w:rsidRPr="00EE3DA0">
              <w:rPr>
                <w:sz w:val="20"/>
                <w:szCs w:val="20"/>
                <w:lang w:val="en-US"/>
              </w:rPr>
              <w:t>± 0.</w:t>
            </w:r>
            <w:r>
              <w:rPr>
                <w:sz w:val="20"/>
                <w:szCs w:val="20"/>
                <w:lang w:val="en-US"/>
              </w:rPr>
              <w:t xml:space="preserve">050 </w:t>
            </w:r>
            <w:r>
              <w:rPr>
                <w:sz w:val="20"/>
                <w:szCs w:val="20"/>
                <w:vertAlign w:val="superscript"/>
                <w:lang w:val="en-US"/>
              </w:rPr>
              <w:t>c, f</w:t>
            </w:r>
          </w:p>
        </w:tc>
        <w:tc>
          <w:tcPr>
            <w:tcW w:w="1122" w:type="dxa"/>
            <w:tcBorders>
              <w:bottom w:val="nil"/>
            </w:tcBorders>
            <w:vAlign w:val="center"/>
          </w:tcPr>
          <w:p w14:paraId="57B461AE" w14:textId="77777777" w:rsidR="009C67C5" w:rsidRPr="00081381" w:rsidRDefault="009C67C5" w:rsidP="001D35D7">
            <w:pPr>
              <w:jc w:val="center"/>
              <w:rPr>
                <w:sz w:val="20"/>
                <w:szCs w:val="20"/>
                <w:lang w:val="en-US"/>
              </w:rPr>
            </w:pPr>
            <w:r w:rsidRPr="00081381">
              <w:rPr>
                <w:sz w:val="20"/>
                <w:szCs w:val="20"/>
                <w:lang w:val="en-US"/>
              </w:rPr>
              <w:t>1.000</w:t>
            </w:r>
          </w:p>
        </w:tc>
        <w:tc>
          <w:tcPr>
            <w:tcW w:w="985" w:type="dxa"/>
            <w:tcBorders>
              <w:bottom w:val="nil"/>
            </w:tcBorders>
            <w:vAlign w:val="center"/>
          </w:tcPr>
          <w:p w14:paraId="3E143597" w14:textId="77777777" w:rsidR="009C67C5" w:rsidRPr="00230FFB" w:rsidRDefault="009C67C5" w:rsidP="001D35D7">
            <w:pPr>
              <w:jc w:val="center"/>
              <w:rPr>
                <w:sz w:val="20"/>
                <w:szCs w:val="20"/>
                <w:vertAlign w:val="superscript"/>
                <w:lang w:val="en-US"/>
              </w:rPr>
            </w:pPr>
            <w:r w:rsidRPr="00EE3DA0">
              <w:rPr>
                <w:sz w:val="20"/>
                <w:szCs w:val="20"/>
                <w:lang w:val="en-US"/>
              </w:rPr>
              <w:t>0.</w:t>
            </w:r>
            <w:r>
              <w:rPr>
                <w:sz w:val="20"/>
                <w:szCs w:val="20"/>
                <w:lang w:val="en-US"/>
              </w:rPr>
              <w:t>770</w:t>
            </w:r>
            <w:r w:rsidRPr="00EE3DA0">
              <w:rPr>
                <w:sz w:val="20"/>
                <w:szCs w:val="20"/>
                <w:lang w:val="en-US"/>
              </w:rPr>
              <w:t xml:space="preserve"> ± 0.</w:t>
            </w:r>
            <w:r>
              <w:rPr>
                <w:sz w:val="20"/>
                <w:szCs w:val="20"/>
                <w:lang w:val="en-US"/>
              </w:rPr>
              <w:t xml:space="preserve">030 </w:t>
            </w:r>
            <w:r>
              <w:rPr>
                <w:sz w:val="20"/>
                <w:szCs w:val="20"/>
                <w:vertAlign w:val="superscript"/>
                <w:lang w:val="en-US"/>
              </w:rPr>
              <w:t>f</w:t>
            </w:r>
          </w:p>
        </w:tc>
      </w:tr>
      <w:tr w:rsidR="009C67C5" w:rsidRPr="00EE3DA0" w14:paraId="62DD1A34" w14:textId="77777777" w:rsidTr="00984C55">
        <w:trPr>
          <w:trHeight w:val="261"/>
          <w:jc w:val="center"/>
        </w:trPr>
        <w:tc>
          <w:tcPr>
            <w:tcW w:w="2266" w:type="dxa"/>
            <w:tcBorders>
              <w:top w:val="nil"/>
              <w:bottom w:val="single" w:sz="4" w:space="0" w:color="auto"/>
            </w:tcBorders>
            <w:vAlign w:val="center"/>
          </w:tcPr>
          <w:p w14:paraId="6DC3DD3E" w14:textId="77777777" w:rsidR="009C67C5" w:rsidRPr="00EE3DA0" w:rsidRDefault="009C67C5" w:rsidP="001D35D7">
            <w:pPr>
              <w:jc w:val="center"/>
              <w:rPr>
                <w:b/>
                <w:sz w:val="20"/>
                <w:szCs w:val="20"/>
                <w:lang w:val="en-US"/>
              </w:rPr>
            </w:pPr>
            <w:r w:rsidRPr="00EE3DA0">
              <w:rPr>
                <w:i/>
                <w:iCs/>
                <w:sz w:val="20"/>
                <w:szCs w:val="52"/>
                <w:lang w:val="en-US"/>
              </w:rPr>
              <w:t>Reference</w:t>
            </w:r>
          </w:p>
        </w:tc>
        <w:tc>
          <w:tcPr>
            <w:tcW w:w="1131" w:type="dxa"/>
            <w:tcBorders>
              <w:top w:val="nil"/>
              <w:bottom w:val="single" w:sz="4" w:space="0" w:color="auto"/>
            </w:tcBorders>
            <w:vAlign w:val="center"/>
          </w:tcPr>
          <w:p w14:paraId="0E0B7515" w14:textId="77777777" w:rsidR="009C67C5" w:rsidRPr="00EE3DA0"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68976D49"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14486E60" w14:textId="77777777" w:rsidR="009C67C5" w:rsidRPr="00EE3DA0"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39BF1F15"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985" w:type="dxa"/>
            <w:tcBorders>
              <w:top w:val="nil"/>
              <w:bottom w:val="single" w:sz="4" w:space="0" w:color="auto"/>
            </w:tcBorders>
            <w:vAlign w:val="center"/>
          </w:tcPr>
          <w:p w14:paraId="74184A08"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r>
      <w:tr w:rsidR="009C67C5" w:rsidRPr="00DD452C" w14:paraId="376FD263" w14:textId="77777777" w:rsidTr="00984C55">
        <w:trPr>
          <w:trHeight w:val="261"/>
          <w:jc w:val="center"/>
        </w:trPr>
        <w:tc>
          <w:tcPr>
            <w:tcW w:w="2266" w:type="dxa"/>
            <w:tcBorders>
              <w:bottom w:val="nil"/>
            </w:tcBorders>
            <w:vAlign w:val="center"/>
          </w:tcPr>
          <w:p w14:paraId="57431C20" w14:textId="77777777" w:rsidR="009C67C5" w:rsidRPr="00EE3DA0" w:rsidRDefault="009C67C5" w:rsidP="001D35D7">
            <w:pPr>
              <w:jc w:val="center"/>
              <w:rPr>
                <w:b/>
                <w:sz w:val="20"/>
                <w:szCs w:val="20"/>
                <w:lang w:val="en-US"/>
              </w:rPr>
            </w:pPr>
            <w:r>
              <w:rPr>
                <w:b/>
                <w:sz w:val="20"/>
                <w:szCs w:val="20"/>
                <w:lang w:val="en-US"/>
              </w:rPr>
              <w:t>Ni</w:t>
            </w:r>
          </w:p>
        </w:tc>
        <w:tc>
          <w:tcPr>
            <w:tcW w:w="1131" w:type="dxa"/>
            <w:tcBorders>
              <w:bottom w:val="nil"/>
            </w:tcBorders>
            <w:vAlign w:val="center"/>
          </w:tcPr>
          <w:p w14:paraId="449ACC4B" w14:textId="77777777" w:rsidR="009C67C5" w:rsidRPr="00DD452C" w:rsidRDefault="009C67C5" w:rsidP="001D35D7">
            <w:pPr>
              <w:jc w:val="center"/>
              <w:rPr>
                <w:sz w:val="20"/>
                <w:szCs w:val="20"/>
              </w:rPr>
            </w:pPr>
            <w:r w:rsidRPr="00DD452C">
              <w:rPr>
                <w:sz w:val="20"/>
                <w:szCs w:val="20"/>
              </w:rPr>
              <w:t>0.</w:t>
            </w:r>
            <w:r>
              <w:rPr>
                <w:sz w:val="20"/>
                <w:szCs w:val="20"/>
              </w:rPr>
              <w:t>157</w:t>
            </w:r>
            <w:r w:rsidRPr="00DD452C">
              <w:rPr>
                <w:sz w:val="20"/>
                <w:szCs w:val="20"/>
              </w:rPr>
              <w:t xml:space="preserve"> ± 0.</w:t>
            </w:r>
            <w:r>
              <w:rPr>
                <w:sz w:val="20"/>
                <w:szCs w:val="20"/>
              </w:rPr>
              <w:t>054</w:t>
            </w:r>
          </w:p>
        </w:tc>
        <w:tc>
          <w:tcPr>
            <w:tcW w:w="1122" w:type="dxa"/>
            <w:tcBorders>
              <w:bottom w:val="nil"/>
            </w:tcBorders>
            <w:vAlign w:val="center"/>
          </w:tcPr>
          <w:p w14:paraId="019C3CD4" w14:textId="77777777" w:rsidR="009C67C5" w:rsidRPr="00DD452C" w:rsidRDefault="009C67C5" w:rsidP="001D35D7">
            <w:pPr>
              <w:jc w:val="center"/>
              <w:rPr>
                <w:sz w:val="20"/>
                <w:szCs w:val="20"/>
              </w:rPr>
            </w:pPr>
            <w:r>
              <w:rPr>
                <w:sz w:val="20"/>
                <w:szCs w:val="20"/>
              </w:rPr>
              <w:t>0.040</w:t>
            </w:r>
          </w:p>
        </w:tc>
        <w:tc>
          <w:tcPr>
            <w:tcW w:w="1076" w:type="dxa"/>
            <w:gridSpan w:val="3"/>
            <w:tcBorders>
              <w:bottom w:val="nil"/>
              <w:right w:val="nil"/>
            </w:tcBorders>
            <w:vAlign w:val="center"/>
          </w:tcPr>
          <w:p w14:paraId="61D653DA" w14:textId="77777777" w:rsidR="009C67C5" w:rsidRPr="0055673E" w:rsidRDefault="009C67C5" w:rsidP="001D35D7">
            <w:pPr>
              <w:jc w:val="center"/>
              <w:rPr>
                <w:sz w:val="20"/>
                <w:szCs w:val="20"/>
              </w:rPr>
            </w:pPr>
            <w:r w:rsidRPr="0055673E">
              <w:rPr>
                <w:sz w:val="20"/>
                <w:szCs w:val="20"/>
              </w:rPr>
              <w:t>0.</w:t>
            </w:r>
            <w:r>
              <w:rPr>
                <w:sz w:val="20"/>
                <w:szCs w:val="20"/>
              </w:rPr>
              <w:t>300 ± 0.033</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765BACEF" w14:textId="77777777" w:rsidR="009C67C5" w:rsidRPr="0055673E" w:rsidRDefault="009C67C5" w:rsidP="001D35D7">
            <w:pPr>
              <w:jc w:val="center"/>
              <w:rPr>
                <w:sz w:val="20"/>
                <w:szCs w:val="20"/>
              </w:rPr>
            </w:pPr>
            <w:r>
              <w:rPr>
                <w:sz w:val="20"/>
                <w:szCs w:val="20"/>
              </w:rPr>
              <w:t>0.320 ± 0.144</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360630DB" w14:textId="77777777" w:rsidR="009C67C5" w:rsidRPr="00DD452C" w:rsidRDefault="009C67C5" w:rsidP="001D35D7">
            <w:pPr>
              <w:jc w:val="center"/>
              <w:rPr>
                <w:sz w:val="20"/>
                <w:szCs w:val="20"/>
                <w:vertAlign w:val="superscript"/>
              </w:rPr>
            </w:pPr>
            <w:r>
              <w:rPr>
                <w:sz w:val="20"/>
                <w:szCs w:val="20"/>
              </w:rPr>
              <w:t xml:space="preserve">0.040 </w:t>
            </w:r>
            <w:r>
              <w:rPr>
                <w:sz w:val="20"/>
                <w:szCs w:val="20"/>
                <w:vertAlign w:val="superscript"/>
              </w:rPr>
              <w:t>d</w:t>
            </w:r>
          </w:p>
        </w:tc>
        <w:tc>
          <w:tcPr>
            <w:tcW w:w="1122" w:type="dxa"/>
            <w:tcBorders>
              <w:bottom w:val="nil"/>
            </w:tcBorders>
            <w:vAlign w:val="center"/>
          </w:tcPr>
          <w:p w14:paraId="268D07EB" w14:textId="77777777" w:rsidR="009C67C5" w:rsidRPr="00EE3DA0" w:rsidRDefault="009C67C5" w:rsidP="001D35D7">
            <w:pPr>
              <w:jc w:val="center"/>
              <w:rPr>
                <w:sz w:val="20"/>
                <w:szCs w:val="20"/>
                <w:lang w:val="en-US"/>
              </w:rPr>
            </w:pPr>
            <w:r w:rsidRPr="00081381">
              <w:rPr>
                <w:sz w:val="20"/>
                <w:szCs w:val="20"/>
                <w:lang w:val="en-US"/>
              </w:rPr>
              <w:t>0.</w:t>
            </w:r>
            <w:r>
              <w:rPr>
                <w:sz w:val="20"/>
                <w:szCs w:val="20"/>
                <w:lang w:val="en-US"/>
              </w:rPr>
              <w:t>292</w:t>
            </w:r>
            <w:r w:rsidRPr="00081381">
              <w:rPr>
                <w:sz w:val="20"/>
                <w:szCs w:val="20"/>
                <w:lang w:val="en-US"/>
              </w:rPr>
              <w:t xml:space="preserve"> ± 0.0</w:t>
            </w:r>
            <w:r>
              <w:rPr>
                <w:sz w:val="20"/>
                <w:szCs w:val="20"/>
                <w:lang w:val="en-US"/>
              </w:rPr>
              <w:t>33</w:t>
            </w:r>
          </w:p>
        </w:tc>
        <w:tc>
          <w:tcPr>
            <w:tcW w:w="985" w:type="dxa"/>
            <w:tcBorders>
              <w:bottom w:val="nil"/>
            </w:tcBorders>
            <w:vAlign w:val="center"/>
          </w:tcPr>
          <w:p w14:paraId="0B758B5B"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7BEEF413" w14:textId="77777777" w:rsidTr="00984C55">
        <w:trPr>
          <w:trHeight w:val="261"/>
          <w:jc w:val="center"/>
        </w:trPr>
        <w:tc>
          <w:tcPr>
            <w:tcW w:w="2266" w:type="dxa"/>
            <w:tcBorders>
              <w:top w:val="nil"/>
              <w:bottom w:val="single" w:sz="4" w:space="0" w:color="auto"/>
            </w:tcBorders>
            <w:vAlign w:val="center"/>
          </w:tcPr>
          <w:p w14:paraId="57E6FFDF" w14:textId="77777777" w:rsidR="009C67C5" w:rsidRPr="00DD452C" w:rsidRDefault="009C67C5" w:rsidP="001D35D7">
            <w:pPr>
              <w:jc w:val="center"/>
              <w:rPr>
                <w:b/>
                <w:sz w:val="20"/>
                <w:szCs w:val="20"/>
              </w:rPr>
            </w:pPr>
            <w:proofErr w:type="spellStart"/>
            <w:r w:rsidRPr="00DD452C">
              <w:rPr>
                <w:i/>
                <w:iCs/>
                <w:sz w:val="20"/>
                <w:szCs w:val="52"/>
              </w:rPr>
              <w:t>Reference</w:t>
            </w:r>
            <w:proofErr w:type="spellEnd"/>
          </w:p>
        </w:tc>
        <w:tc>
          <w:tcPr>
            <w:tcW w:w="1131" w:type="dxa"/>
            <w:tcBorders>
              <w:top w:val="nil"/>
              <w:bottom w:val="single" w:sz="4" w:space="0" w:color="auto"/>
            </w:tcBorders>
            <w:vAlign w:val="center"/>
          </w:tcPr>
          <w:p w14:paraId="53F2FB08"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B9546C3"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18C86D0D"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5C0C46C4"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5E03AC23" w14:textId="77777777" w:rsidR="009C67C5" w:rsidRPr="00DD452C"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DEF99E0"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DD452C" w14:paraId="69733514" w14:textId="77777777" w:rsidTr="00984C55">
        <w:trPr>
          <w:trHeight w:val="261"/>
          <w:jc w:val="center"/>
        </w:trPr>
        <w:tc>
          <w:tcPr>
            <w:tcW w:w="2266" w:type="dxa"/>
            <w:tcBorders>
              <w:bottom w:val="nil"/>
            </w:tcBorders>
            <w:vAlign w:val="center"/>
          </w:tcPr>
          <w:p w14:paraId="1916649B" w14:textId="77777777" w:rsidR="009C67C5" w:rsidRPr="00DD452C" w:rsidRDefault="009C67C5" w:rsidP="001D35D7">
            <w:pPr>
              <w:jc w:val="center"/>
              <w:rPr>
                <w:b/>
                <w:sz w:val="20"/>
                <w:szCs w:val="20"/>
              </w:rPr>
            </w:pPr>
            <w:r>
              <w:rPr>
                <w:b/>
                <w:sz w:val="20"/>
                <w:szCs w:val="20"/>
              </w:rPr>
              <w:t>V</w:t>
            </w:r>
          </w:p>
        </w:tc>
        <w:tc>
          <w:tcPr>
            <w:tcW w:w="1131" w:type="dxa"/>
            <w:tcBorders>
              <w:bottom w:val="nil"/>
            </w:tcBorders>
            <w:vAlign w:val="center"/>
          </w:tcPr>
          <w:p w14:paraId="0B1E50C6" w14:textId="77777777" w:rsidR="009C67C5" w:rsidRPr="00DD452C" w:rsidRDefault="009C67C5" w:rsidP="001D35D7">
            <w:pPr>
              <w:jc w:val="center"/>
              <w:rPr>
                <w:sz w:val="20"/>
                <w:szCs w:val="20"/>
              </w:rPr>
            </w:pPr>
            <w:r w:rsidRPr="00DD452C">
              <w:rPr>
                <w:sz w:val="20"/>
                <w:szCs w:val="20"/>
              </w:rPr>
              <w:t>0.</w:t>
            </w:r>
            <w:r>
              <w:rPr>
                <w:sz w:val="20"/>
                <w:szCs w:val="20"/>
              </w:rPr>
              <w:t>112</w:t>
            </w:r>
            <w:r w:rsidRPr="00DD452C">
              <w:rPr>
                <w:sz w:val="20"/>
                <w:szCs w:val="20"/>
              </w:rPr>
              <w:t xml:space="preserve"> ± 0.</w:t>
            </w:r>
            <w:r>
              <w:rPr>
                <w:sz w:val="20"/>
                <w:szCs w:val="20"/>
              </w:rPr>
              <w:t>032</w:t>
            </w:r>
          </w:p>
        </w:tc>
        <w:tc>
          <w:tcPr>
            <w:tcW w:w="8526" w:type="dxa"/>
            <w:gridSpan w:val="27"/>
            <w:tcBorders>
              <w:bottom w:val="nil"/>
            </w:tcBorders>
            <w:vAlign w:val="center"/>
          </w:tcPr>
          <w:p w14:paraId="250D73D4" w14:textId="7290C724" w:rsidR="009C67C5" w:rsidRPr="00B87B90" w:rsidRDefault="009C67C5" w:rsidP="001D35D7">
            <w:pPr>
              <w:jc w:val="center"/>
              <w:rPr>
                <w:sz w:val="20"/>
                <w:szCs w:val="20"/>
                <w:vertAlign w:val="superscript"/>
              </w:rPr>
            </w:pPr>
            <w:r>
              <w:rPr>
                <w:sz w:val="20"/>
                <w:szCs w:val="20"/>
              </w:rPr>
              <w:t>0.0</w:t>
            </w:r>
            <w:r w:rsidR="00B15442">
              <w:rPr>
                <w:sz w:val="20"/>
                <w:szCs w:val="20"/>
              </w:rPr>
              <w:t>10</w:t>
            </w:r>
          </w:p>
        </w:tc>
        <w:tc>
          <w:tcPr>
            <w:tcW w:w="2107" w:type="dxa"/>
            <w:gridSpan w:val="2"/>
            <w:tcBorders>
              <w:bottom w:val="nil"/>
            </w:tcBorders>
            <w:vAlign w:val="center"/>
          </w:tcPr>
          <w:p w14:paraId="102152D3"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C47575" w14:paraId="32084367" w14:textId="77777777" w:rsidTr="00984C55">
        <w:trPr>
          <w:trHeight w:val="261"/>
          <w:jc w:val="center"/>
        </w:trPr>
        <w:tc>
          <w:tcPr>
            <w:tcW w:w="2266" w:type="dxa"/>
            <w:tcBorders>
              <w:top w:val="nil"/>
              <w:bottom w:val="single" w:sz="4" w:space="0" w:color="auto"/>
            </w:tcBorders>
            <w:vAlign w:val="center"/>
          </w:tcPr>
          <w:p w14:paraId="03C82499" w14:textId="77777777" w:rsidR="009C67C5" w:rsidRPr="00DD452C" w:rsidRDefault="009C67C5" w:rsidP="001D35D7">
            <w:pPr>
              <w:jc w:val="center"/>
              <w:rPr>
                <w:b/>
                <w:sz w:val="20"/>
                <w:szCs w:val="20"/>
              </w:rPr>
            </w:pPr>
            <w:proofErr w:type="spellStart"/>
            <w:r w:rsidRPr="00DD452C">
              <w:rPr>
                <w:i/>
                <w:iCs/>
                <w:sz w:val="20"/>
                <w:szCs w:val="52"/>
              </w:rPr>
              <w:t>Reference</w:t>
            </w:r>
            <w:proofErr w:type="spellEnd"/>
          </w:p>
        </w:tc>
        <w:tc>
          <w:tcPr>
            <w:tcW w:w="1131" w:type="dxa"/>
            <w:tcBorders>
              <w:top w:val="nil"/>
              <w:bottom w:val="single" w:sz="4" w:space="0" w:color="auto"/>
            </w:tcBorders>
            <w:vAlign w:val="center"/>
          </w:tcPr>
          <w:p w14:paraId="3030BD60"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DDE3C4" w14:textId="711995C3" w:rsidR="009C67C5" w:rsidRPr="00C47575" w:rsidRDefault="00116B2F" w:rsidP="001D35D7">
            <w:pPr>
              <w:jc w:val="center"/>
              <w:rPr>
                <w:sz w:val="18"/>
                <w:szCs w:val="18"/>
                <w:lang w:val="en-US"/>
              </w:rPr>
            </w:pPr>
            <w:proofErr w:type="spellStart"/>
            <w:r w:rsidRPr="00116B2F">
              <w:rPr>
                <w:sz w:val="18"/>
                <w:szCs w:val="18"/>
              </w:rPr>
              <w:t>Treviño</w:t>
            </w:r>
            <w:proofErr w:type="spellEnd"/>
            <w:r w:rsidRPr="00116B2F">
              <w:rPr>
                <w:sz w:val="18"/>
                <w:szCs w:val="18"/>
              </w:rPr>
              <w:t xml:space="preserve"> et al.</w:t>
            </w:r>
            <w:r w:rsidR="00295DA8">
              <w:rPr>
                <w:sz w:val="18"/>
                <w:szCs w:val="18"/>
              </w:rPr>
              <w:t xml:space="preserve"> </w:t>
            </w:r>
            <w:r w:rsidR="00B618B2">
              <w:rPr>
                <w:sz w:val="18"/>
                <w:szCs w:val="18"/>
              </w:rPr>
              <w:fldChar w:fldCharType="begin" w:fldLock="1"/>
            </w:r>
            <w:r w:rsidR="00B618B2">
              <w:rPr>
                <w:sz w:val="18"/>
                <w:szCs w:val="18"/>
              </w:rPr>
              <w:instrText>ADDIN CSL_CITATION {"citationItems":[{"id":"ITEM-1","itemData":{"DOI":"10.1007/s12011-018-1540-6","ISSN":"0163-4984","abstract":"Vanadium compounds have been primarily investigated as potential therapeutic agents for the treatment of various major health issues, including cancer, atherosclerosis, and diabetes. The translation of vanadium-based compounds into clinical trials and ultimately into disease treatments remains hampered by the absence of a basic pharmacological and metabolic comprehension of such compounds. In this review, we examine the development of vanadium-containing compounds in biological systems regarding the role of the physiological environment, dosage, intracellular interactions, metabolic transformations, modulation of signaling pathways, toxicology, and transport and tissue distribution as well as therapeutic implications. From our point of view, the toxicological and pharmacological aspects in animal models and humans are not understood completely, and thus, we introduced them in a physiological environment and dosage context. Different transport proteins in blood plasma and mechanistic transport determinants are discussed. Furthermore, an overview of different vanadium species and the role of physiological factors (i.e., pH, redox conditions, concentration, and so on) are considered. Mechanistic specifications about different signaling pathways are discussed, particularly the phosphatases and kinases that are modulated dynamically by vanadium compounds because until now, the focus only has been on protein tyrosine phosphatase 1B as a vanadium target. Particular emphasis is laid on the therapeutic ability of vanadium-based compounds and their role for the treatment of diabetes mellitus, specifically on that of vanadate- and polioxovanadate-containing compounds. We aim at shedding light on the prevailing gaps between primary</w:instrText>
            </w:r>
            <w:r w:rsidR="00B618B2" w:rsidRPr="00C47575">
              <w:rPr>
                <w:sz w:val="18"/>
                <w:szCs w:val="18"/>
                <w:lang w:val="en-US"/>
              </w:rPr>
              <w:instrText xml:space="preserve"> scientific data and information from animal models and human studies.","author":[{"dropping-particle":"","family":"Treviño","given":"Samuel","non-dropping-particle":"","parse-names":false,"suffix":""},{"dropping-particle":"","family":"Díaz","given":"Alfonso","non-dropping-particle":"","parse-names":false,"suffix":""},{"dropping-particle":"","family":"Sánchez-Lara","given":"Eduardo","non-dropping-particle":"","parse-names":false,"suffix":""},{"dropping-particle":"","family":"Sanchez-Gaytan","given":"Brenda L.","non-dropping-particle":"","parse-names":false,"suffix":""},{"dropping-particle":"","family":"Perez-Aguilar","given":"Jose Manuel","non-dropping-particle":"","parse-names":false,"suffix":""},{"dropping-particle":"","family":"González-Vergara","given":"Enrique","non-dropping-particle":"","parse-names":false,"suffix":""}],"container-title":"Biological Trace Element Research","id":"ITEM-1","issue":"1","issued":{"date-parts":[["2019","3","22"]]},"page":"68-98","publisher":"Biological Trace Element Research","title":"Vanadium in Biological Action: Chemical, Pharmacological Aspects, and Metabolic Implications in Diabetes Mellitus","type":"article-journal","volume":"188"},"suppress-author":1,"uris":["http://www.mendeley.com/documents/?uuid=d3e6792c-2b60-433b-ac2b-96efd5570e79"]}],"mendeley":{"formattedCitation":"(2019)","plainTextFormattedCitation":"(2019)"},"properties":{"noteIndex":0},"schema":"https://github.com/citation-style-language/schema/raw/master/csl-citation.json"}</w:instrText>
            </w:r>
            <w:r w:rsidR="00B618B2">
              <w:rPr>
                <w:sz w:val="18"/>
                <w:szCs w:val="18"/>
              </w:rPr>
              <w:fldChar w:fldCharType="separate"/>
            </w:r>
            <w:r w:rsidR="00B618B2" w:rsidRPr="00C47575">
              <w:rPr>
                <w:noProof/>
                <w:sz w:val="18"/>
                <w:szCs w:val="18"/>
                <w:lang w:val="en-US"/>
              </w:rPr>
              <w:t>(2019)</w:t>
            </w:r>
            <w:r w:rsidR="00B618B2">
              <w:rPr>
                <w:sz w:val="18"/>
                <w:szCs w:val="18"/>
              </w:rPr>
              <w:fldChar w:fldCharType="end"/>
            </w:r>
          </w:p>
        </w:tc>
        <w:tc>
          <w:tcPr>
            <w:tcW w:w="2107" w:type="dxa"/>
            <w:gridSpan w:val="2"/>
            <w:tcBorders>
              <w:top w:val="nil"/>
              <w:bottom w:val="single" w:sz="4" w:space="0" w:color="auto"/>
            </w:tcBorders>
            <w:vAlign w:val="center"/>
          </w:tcPr>
          <w:p w14:paraId="5377B284"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F64C8D" w:rsidRPr="00C47575" w14:paraId="501ABA19" w14:textId="77777777" w:rsidTr="00E664F4">
        <w:trPr>
          <w:trHeight w:val="261"/>
          <w:jc w:val="center"/>
        </w:trPr>
        <w:tc>
          <w:tcPr>
            <w:tcW w:w="2266" w:type="dxa"/>
            <w:tcBorders>
              <w:top w:val="single" w:sz="4" w:space="0" w:color="auto"/>
              <w:bottom w:val="nil"/>
            </w:tcBorders>
            <w:vAlign w:val="center"/>
          </w:tcPr>
          <w:p w14:paraId="020E8AE8" w14:textId="77777777" w:rsidR="00F64C8D" w:rsidRPr="00C47575" w:rsidRDefault="00F64C8D" w:rsidP="00F64C8D">
            <w:pPr>
              <w:jc w:val="center"/>
              <w:rPr>
                <w:b/>
                <w:iCs/>
                <w:sz w:val="20"/>
                <w:szCs w:val="52"/>
                <w:lang w:val="en-US"/>
              </w:rPr>
            </w:pPr>
            <w:r w:rsidRPr="00C47575">
              <w:rPr>
                <w:b/>
                <w:iCs/>
                <w:sz w:val="20"/>
                <w:szCs w:val="52"/>
                <w:lang w:val="en-US"/>
              </w:rPr>
              <w:t>Li</w:t>
            </w:r>
          </w:p>
        </w:tc>
        <w:tc>
          <w:tcPr>
            <w:tcW w:w="9657" w:type="dxa"/>
            <w:gridSpan w:val="28"/>
            <w:tcBorders>
              <w:top w:val="single" w:sz="4" w:space="0" w:color="auto"/>
              <w:bottom w:val="nil"/>
            </w:tcBorders>
            <w:vAlign w:val="center"/>
          </w:tcPr>
          <w:p w14:paraId="02F39A83" w14:textId="77777777" w:rsidR="00F64C8D" w:rsidRPr="00A358DB" w:rsidRDefault="00F64C8D" w:rsidP="00F64C8D">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567B37DB" w14:textId="77777777" w:rsidR="00F64C8D" w:rsidRPr="00A358DB" w:rsidRDefault="00F64C8D" w:rsidP="00F64C8D">
            <w:pPr>
              <w:jc w:val="center"/>
              <w:rPr>
                <w:sz w:val="20"/>
                <w:szCs w:val="20"/>
                <w:lang w:val="en-US"/>
              </w:rPr>
            </w:pPr>
            <w:r w:rsidRPr="00A358DB">
              <w:rPr>
                <w:sz w:val="20"/>
                <w:szCs w:val="20"/>
                <w:lang w:val="en-US"/>
              </w:rPr>
              <w:t>1.000</w:t>
            </w:r>
          </w:p>
        </w:tc>
      </w:tr>
      <w:tr w:rsidR="00F64C8D" w:rsidRPr="00C47575" w14:paraId="34FE1785" w14:textId="77777777" w:rsidTr="008439CF">
        <w:trPr>
          <w:trHeight w:val="261"/>
          <w:jc w:val="center"/>
        </w:trPr>
        <w:tc>
          <w:tcPr>
            <w:tcW w:w="2266" w:type="dxa"/>
            <w:tcBorders>
              <w:top w:val="nil"/>
              <w:bottom w:val="single" w:sz="4" w:space="0" w:color="auto"/>
            </w:tcBorders>
            <w:vAlign w:val="center"/>
          </w:tcPr>
          <w:p w14:paraId="2C6238B6" w14:textId="77777777" w:rsidR="00F64C8D" w:rsidRPr="00C47575" w:rsidRDefault="00F64C8D" w:rsidP="00F64C8D">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4F26599C" w14:textId="77777777" w:rsidR="00F64C8D" w:rsidRPr="00A358DB" w:rsidRDefault="00F64C8D" w:rsidP="00F64C8D">
            <w:pPr>
              <w:jc w:val="center"/>
              <w:rPr>
                <w:sz w:val="20"/>
                <w:szCs w:val="20"/>
                <w:lang w:val="en-US"/>
              </w:rPr>
            </w:pPr>
            <w:r w:rsidRPr="00C47575">
              <w:rPr>
                <w:sz w:val="20"/>
                <w:szCs w:val="20"/>
                <w:vertAlign w:val="superscript"/>
                <w:lang w:val="en-US"/>
              </w:rPr>
              <w:t>b</w:t>
            </w:r>
          </w:p>
        </w:tc>
        <w:tc>
          <w:tcPr>
            <w:tcW w:w="2107" w:type="dxa"/>
            <w:gridSpan w:val="2"/>
            <w:tcBorders>
              <w:top w:val="nil"/>
              <w:bottom w:val="single" w:sz="4" w:space="0" w:color="auto"/>
            </w:tcBorders>
            <w:vAlign w:val="center"/>
          </w:tcPr>
          <w:p w14:paraId="0D48980E" w14:textId="77777777" w:rsidR="00F64C8D" w:rsidRPr="00A358DB" w:rsidRDefault="00F64C8D" w:rsidP="00F64C8D">
            <w:pPr>
              <w:jc w:val="center"/>
              <w:rPr>
                <w:sz w:val="20"/>
                <w:szCs w:val="20"/>
                <w:lang w:val="en-US"/>
              </w:rPr>
            </w:pPr>
            <w:r w:rsidRPr="00C47575">
              <w:rPr>
                <w:sz w:val="20"/>
                <w:szCs w:val="20"/>
                <w:vertAlign w:val="superscript"/>
                <w:lang w:val="en-US"/>
              </w:rPr>
              <w:t>b</w:t>
            </w:r>
          </w:p>
        </w:tc>
      </w:tr>
      <w:tr w:rsidR="00962F0B" w:rsidRPr="00C47575" w14:paraId="1969345A" w14:textId="77777777" w:rsidTr="00984C55">
        <w:trPr>
          <w:trHeight w:val="261"/>
          <w:jc w:val="center"/>
        </w:trPr>
        <w:tc>
          <w:tcPr>
            <w:tcW w:w="2266" w:type="dxa"/>
            <w:tcBorders>
              <w:top w:val="single" w:sz="4" w:space="0" w:color="auto"/>
              <w:bottom w:val="nil"/>
            </w:tcBorders>
            <w:vAlign w:val="center"/>
          </w:tcPr>
          <w:p w14:paraId="0D6902B8" w14:textId="4DD8DF0E" w:rsidR="00962F0B" w:rsidRPr="00C47575" w:rsidRDefault="00962F0B" w:rsidP="00962F0B">
            <w:pPr>
              <w:jc w:val="center"/>
              <w:rPr>
                <w:b/>
                <w:bCs/>
                <w:sz w:val="20"/>
                <w:szCs w:val="52"/>
                <w:lang w:val="en-US"/>
              </w:rPr>
            </w:pPr>
            <w:r w:rsidRPr="00C47575">
              <w:rPr>
                <w:b/>
                <w:bCs/>
                <w:sz w:val="20"/>
                <w:szCs w:val="52"/>
                <w:lang w:val="en-US"/>
              </w:rPr>
              <w:t>Br</w:t>
            </w:r>
          </w:p>
        </w:tc>
        <w:tc>
          <w:tcPr>
            <w:tcW w:w="1131" w:type="dxa"/>
            <w:tcBorders>
              <w:top w:val="single" w:sz="4" w:space="0" w:color="auto"/>
              <w:bottom w:val="nil"/>
            </w:tcBorders>
            <w:vAlign w:val="center"/>
          </w:tcPr>
          <w:p w14:paraId="25A2C7E8" w14:textId="0164F013" w:rsidR="00962F0B" w:rsidRPr="00C47575" w:rsidRDefault="00962F0B" w:rsidP="00962F0B">
            <w:pPr>
              <w:jc w:val="center"/>
              <w:rPr>
                <w:sz w:val="20"/>
                <w:szCs w:val="20"/>
                <w:vertAlign w:val="superscript"/>
                <w:lang w:val="en-US"/>
              </w:rPr>
            </w:pPr>
            <w:r w:rsidRPr="00A358DB">
              <w:rPr>
                <w:sz w:val="20"/>
                <w:szCs w:val="20"/>
                <w:lang w:val="en-US"/>
              </w:rPr>
              <w:t>1.000</w:t>
            </w:r>
          </w:p>
        </w:tc>
        <w:tc>
          <w:tcPr>
            <w:tcW w:w="8526" w:type="dxa"/>
            <w:gridSpan w:val="27"/>
            <w:tcBorders>
              <w:top w:val="single" w:sz="4" w:space="0" w:color="auto"/>
              <w:bottom w:val="nil"/>
            </w:tcBorders>
            <w:vAlign w:val="center"/>
          </w:tcPr>
          <w:p w14:paraId="1099FF93" w14:textId="3314883C" w:rsidR="00962F0B" w:rsidRPr="00C47575" w:rsidRDefault="00962F0B" w:rsidP="00962F0B">
            <w:pPr>
              <w:jc w:val="center"/>
              <w:rPr>
                <w:sz w:val="20"/>
                <w:szCs w:val="20"/>
                <w:lang w:val="en-US"/>
              </w:rPr>
            </w:pPr>
            <w:r w:rsidRPr="00C47575">
              <w:rPr>
                <w:sz w:val="20"/>
                <w:szCs w:val="20"/>
                <w:lang w:val="en-US"/>
              </w:rPr>
              <w:t>0.300</w:t>
            </w:r>
          </w:p>
        </w:tc>
        <w:tc>
          <w:tcPr>
            <w:tcW w:w="2107" w:type="dxa"/>
            <w:gridSpan w:val="2"/>
            <w:tcBorders>
              <w:top w:val="single" w:sz="4" w:space="0" w:color="auto"/>
              <w:bottom w:val="nil"/>
            </w:tcBorders>
            <w:vAlign w:val="center"/>
          </w:tcPr>
          <w:p w14:paraId="7EEE5CC0" w14:textId="5B7882E7" w:rsidR="00962F0B" w:rsidRPr="00C47575" w:rsidRDefault="00962F0B" w:rsidP="00962F0B">
            <w:pPr>
              <w:jc w:val="center"/>
              <w:rPr>
                <w:sz w:val="20"/>
                <w:szCs w:val="20"/>
                <w:vertAlign w:val="superscript"/>
                <w:lang w:val="en-US"/>
              </w:rPr>
            </w:pPr>
            <w:r w:rsidRPr="00A358DB">
              <w:rPr>
                <w:sz w:val="20"/>
                <w:szCs w:val="20"/>
                <w:lang w:val="en-US"/>
              </w:rPr>
              <w:t>1.000</w:t>
            </w:r>
          </w:p>
        </w:tc>
      </w:tr>
      <w:tr w:rsidR="00962F0B" w:rsidRPr="00C47575" w14:paraId="3AD472C9" w14:textId="77777777" w:rsidTr="00984C55">
        <w:trPr>
          <w:trHeight w:val="261"/>
          <w:jc w:val="center"/>
        </w:trPr>
        <w:tc>
          <w:tcPr>
            <w:tcW w:w="2266" w:type="dxa"/>
            <w:tcBorders>
              <w:top w:val="nil"/>
              <w:bottom w:val="single" w:sz="4" w:space="0" w:color="auto"/>
            </w:tcBorders>
            <w:vAlign w:val="center"/>
          </w:tcPr>
          <w:p w14:paraId="223C3EA8" w14:textId="10D0C034" w:rsidR="00962F0B" w:rsidRPr="00C47575" w:rsidRDefault="00962F0B" w:rsidP="00962F0B">
            <w:pPr>
              <w:jc w:val="center"/>
              <w:rPr>
                <w:i/>
                <w:iCs/>
                <w:sz w:val="20"/>
                <w:szCs w:val="52"/>
                <w:lang w:val="en-US"/>
              </w:rPr>
            </w:pPr>
            <w:r w:rsidRPr="00C47575">
              <w:rPr>
                <w:i/>
                <w:iCs/>
                <w:sz w:val="20"/>
                <w:szCs w:val="52"/>
                <w:lang w:val="en-US"/>
              </w:rPr>
              <w:t>Reference</w:t>
            </w:r>
          </w:p>
        </w:tc>
        <w:tc>
          <w:tcPr>
            <w:tcW w:w="1131" w:type="dxa"/>
            <w:tcBorders>
              <w:top w:val="nil"/>
              <w:bottom w:val="single" w:sz="4" w:space="0" w:color="auto"/>
            </w:tcBorders>
            <w:vAlign w:val="center"/>
          </w:tcPr>
          <w:p w14:paraId="547D7020" w14:textId="185AAA9F"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c>
          <w:tcPr>
            <w:tcW w:w="8526" w:type="dxa"/>
            <w:gridSpan w:val="27"/>
            <w:tcBorders>
              <w:top w:val="nil"/>
              <w:bottom w:val="single" w:sz="4" w:space="0" w:color="auto"/>
            </w:tcBorders>
            <w:vAlign w:val="center"/>
          </w:tcPr>
          <w:p w14:paraId="7C3C6C33" w14:textId="24D6DF2A" w:rsidR="00962F0B" w:rsidRPr="00C47575" w:rsidRDefault="00207DD7" w:rsidP="00962F0B">
            <w:pPr>
              <w:jc w:val="center"/>
              <w:rPr>
                <w:sz w:val="20"/>
                <w:szCs w:val="20"/>
                <w:lang w:val="en-US"/>
              </w:rPr>
            </w:pPr>
            <w:r w:rsidRPr="00C47575">
              <w:rPr>
                <w:sz w:val="20"/>
                <w:szCs w:val="20"/>
                <w:lang w:val="en-US"/>
              </w:rPr>
              <w:t xml:space="preserve">WHO </w:t>
            </w:r>
            <w:r>
              <w:rPr>
                <w:sz w:val="20"/>
                <w:szCs w:val="20"/>
              </w:rPr>
              <w:fldChar w:fldCharType="begin" w:fldLock="1"/>
            </w:r>
            <w:r w:rsidR="00FD6FD5" w:rsidRPr="00C47575">
              <w:rPr>
                <w:sz w:val="20"/>
                <w:szCs w:val="20"/>
                <w:lang w:val="en-US"/>
              </w:rPr>
              <w:instrText>ADDIN CSL_CITATION {"citationItems":[{"id":"ITEM-1","itemData":{"abstract":"The PQL of 1 µg/litre may be difficult to achieve in many laboratories; a more attainable PQL is around 5 µg/litre. In addition, it is now considered that 10 µg/litre is a technically achievable value for the removal of bromate from drinking-water. The health-based value of 2 µg/litre should therefore be raised to 10 µg/litre, on the basis of analytical and technological feasibility. A provisional guideline value of 10 µg/litre is therefore recommended. This value is associated with an upper-bound excess lifetime cancer risk of 5 × 10-5.","author":[{"dropping-particle":"","family":"WHO","given":"","non-dropping-particle":"","parse-names":false,"suffix":""}],"container-title":"World Health Organization Guidelines for Drinking-water Quality","id":"ITEM-1","issued":{"date-parts":[["2005"]]},"title":"Bromate in Drinking-water","type":"report"},"suppress-author":1,"uris":["http://www.mendeley.com/documents/?uuid=b354a5be-20dd-44ca-a44c-2607aad918b1"]}],"mendeley":{"formattedCitation":"(2005)","plainTextFormattedCitation":"(2005)","previouslyFormattedCitation":"(2005)"},"properties":{"noteIndex":0},"schema":"https://github.com/citation-style-language/schema/raw/master/csl-citation.json"}</w:instrText>
            </w:r>
            <w:r>
              <w:rPr>
                <w:sz w:val="20"/>
                <w:szCs w:val="20"/>
              </w:rPr>
              <w:fldChar w:fldCharType="separate"/>
            </w:r>
            <w:r w:rsidRPr="00C47575">
              <w:rPr>
                <w:noProof/>
                <w:sz w:val="20"/>
                <w:szCs w:val="20"/>
                <w:lang w:val="en-US"/>
              </w:rPr>
              <w:t>(2005)</w:t>
            </w:r>
            <w:r>
              <w:rPr>
                <w:sz w:val="20"/>
                <w:szCs w:val="20"/>
              </w:rPr>
              <w:fldChar w:fldCharType="end"/>
            </w:r>
          </w:p>
        </w:tc>
        <w:tc>
          <w:tcPr>
            <w:tcW w:w="2107" w:type="dxa"/>
            <w:gridSpan w:val="2"/>
            <w:tcBorders>
              <w:top w:val="nil"/>
              <w:bottom w:val="single" w:sz="4" w:space="0" w:color="auto"/>
            </w:tcBorders>
            <w:vAlign w:val="center"/>
          </w:tcPr>
          <w:p w14:paraId="350FD112" w14:textId="3942C251"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r>
      <w:tr w:rsidR="009C67C5" w:rsidRPr="00C47575" w14:paraId="7E80D09D" w14:textId="77777777" w:rsidTr="00E664F4">
        <w:trPr>
          <w:trHeight w:val="261"/>
          <w:jc w:val="center"/>
        </w:trPr>
        <w:tc>
          <w:tcPr>
            <w:tcW w:w="2266" w:type="dxa"/>
            <w:tcBorders>
              <w:top w:val="single" w:sz="4" w:space="0" w:color="auto"/>
              <w:bottom w:val="nil"/>
            </w:tcBorders>
            <w:vAlign w:val="center"/>
          </w:tcPr>
          <w:p w14:paraId="12D91945" w14:textId="77777777" w:rsidR="009C67C5" w:rsidRPr="00C47575" w:rsidRDefault="009C67C5" w:rsidP="008F0CEE">
            <w:pPr>
              <w:jc w:val="center"/>
              <w:rPr>
                <w:b/>
                <w:iCs/>
                <w:sz w:val="20"/>
                <w:szCs w:val="52"/>
                <w:lang w:val="en-US"/>
              </w:rPr>
            </w:pPr>
            <w:r w:rsidRPr="00C47575">
              <w:rPr>
                <w:b/>
                <w:iCs/>
                <w:sz w:val="20"/>
                <w:szCs w:val="52"/>
                <w:lang w:val="en-US"/>
              </w:rPr>
              <w:t>Anthraquinone</w:t>
            </w:r>
          </w:p>
        </w:tc>
        <w:tc>
          <w:tcPr>
            <w:tcW w:w="9657" w:type="dxa"/>
            <w:gridSpan w:val="28"/>
            <w:tcBorders>
              <w:top w:val="single" w:sz="4" w:space="0" w:color="auto"/>
              <w:bottom w:val="nil"/>
            </w:tcBorders>
            <w:vAlign w:val="center"/>
          </w:tcPr>
          <w:p w14:paraId="2DAB1847" w14:textId="77777777" w:rsidR="009C67C5" w:rsidRPr="00081381" w:rsidRDefault="009C67C5" w:rsidP="008F0C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17CF15B7" w14:textId="77777777" w:rsidR="009C67C5" w:rsidRPr="00081381" w:rsidRDefault="009C67C5" w:rsidP="008F0CEE">
            <w:pPr>
              <w:jc w:val="center"/>
              <w:rPr>
                <w:sz w:val="20"/>
                <w:szCs w:val="20"/>
                <w:lang w:val="en-US"/>
              </w:rPr>
            </w:pPr>
            <w:r w:rsidRPr="00081381">
              <w:rPr>
                <w:sz w:val="20"/>
                <w:szCs w:val="20"/>
                <w:lang w:val="en-US"/>
              </w:rPr>
              <w:t>1.000</w:t>
            </w:r>
          </w:p>
        </w:tc>
      </w:tr>
      <w:tr w:rsidR="009C67C5" w:rsidRPr="00C47575" w14:paraId="1DCAA7E1" w14:textId="77777777" w:rsidTr="00E664F4">
        <w:trPr>
          <w:trHeight w:val="261"/>
          <w:jc w:val="center"/>
        </w:trPr>
        <w:tc>
          <w:tcPr>
            <w:tcW w:w="2266" w:type="dxa"/>
            <w:tcBorders>
              <w:top w:val="nil"/>
              <w:bottom w:val="single" w:sz="4" w:space="0" w:color="auto"/>
            </w:tcBorders>
            <w:vAlign w:val="center"/>
          </w:tcPr>
          <w:p w14:paraId="2ED00DA6" w14:textId="77777777" w:rsidR="009C67C5" w:rsidRPr="00C47575" w:rsidRDefault="009C67C5" w:rsidP="008F0CEE">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7EA86175" w14:textId="77777777" w:rsidR="009C67C5" w:rsidRPr="00081381" w:rsidRDefault="009C67C5" w:rsidP="008F0CEE">
            <w:pPr>
              <w:jc w:val="center"/>
              <w:rPr>
                <w:sz w:val="20"/>
                <w:szCs w:val="20"/>
                <w:lang w:val="en-US"/>
              </w:rPr>
            </w:pPr>
            <w:r w:rsidRPr="00081381">
              <w:rPr>
                <w:sz w:val="20"/>
                <w:szCs w:val="20"/>
                <w:vertAlign w:val="superscript"/>
                <w:lang w:val="en-US"/>
              </w:rPr>
              <w:t>b</w:t>
            </w:r>
          </w:p>
        </w:tc>
        <w:tc>
          <w:tcPr>
            <w:tcW w:w="2107" w:type="dxa"/>
            <w:gridSpan w:val="2"/>
            <w:tcBorders>
              <w:top w:val="nil"/>
              <w:bottom w:val="single" w:sz="4" w:space="0" w:color="auto"/>
            </w:tcBorders>
            <w:vAlign w:val="center"/>
          </w:tcPr>
          <w:p w14:paraId="1CAFC2A3" w14:textId="77777777" w:rsidR="009C67C5" w:rsidRPr="00081381" w:rsidRDefault="009C67C5" w:rsidP="008F0CEE">
            <w:pPr>
              <w:jc w:val="center"/>
              <w:rPr>
                <w:sz w:val="20"/>
                <w:szCs w:val="20"/>
                <w:lang w:val="en-US"/>
              </w:rPr>
            </w:pPr>
            <w:r w:rsidRPr="00081381">
              <w:rPr>
                <w:sz w:val="20"/>
                <w:szCs w:val="20"/>
                <w:vertAlign w:val="superscript"/>
                <w:lang w:val="en-US"/>
              </w:rPr>
              <w:t>b</w:t>
            </w:r>
          </w:p>
        </w:tc>
      </w:tr>
      <w:tr w:rsidR="009C67C5" w:rsidRPr="00C47575" w14:paraId="4C2DF839" w14:textId="77777777" w:rsidTr="00E664F4">
        <w:trPr>
          <w:trHeight w:val="261"/>
          <w:jc w:val="center"/>
        </w:trPr>
        <w:tc>
          <w:tcPr>
            <w:tcW w:w="2266" w:type="dxa"/>
            <w:tcBorders>
              <w:top w:val="single" w:sz="4" w:space="0" w:color="auto"/>
              <w:bottom w:val="nil"/>
            </w:tcBorders>
            <w:vAlign w:val="center"/>
          </w:tcPr>
          <w:p w14:paraId="02973337" w14:textId="77777777" w:rsidR="009C67C5" w:rsidRPr="00F808EE" w:rsidRDefault="009C67C5" w:rsidP="00F808EE">
            <w:pPr>
              <w:jc w:val="center"/>
              <w:rPr>
                <w:b/>
                <w:sz w:val="20"/>
                <w:szCs w:val="20"/>
                <w:lang w:val="en-US"/>
              </w:rPr>
            </w:pPr>
            <w:r w:rsidRPr="00F808EE">
              <w:rPr>
                <w:rStyle w:val="tlid-translation"/>
                <w:b/>
                <w:sz w:val="20"/>
                <w:lang w:val="en"/>
              </w:rPr>
              <w:t>6-Nitrochrysene</w:t>
            </w:r>
          </w:p>
        </w:tc>
        <w:tc>
          <w:tcPr>
            <w:tcW w:w="9657" w:type="dxa"/>
            <w:gridSpan w:val="28"/>
            <w:tcBorders>
              <w:top w:val="single" w:sz="4" w:space="0" w:color="auto"/>
              <w:bottom w:val="nil"/>
            </w:tcBorders>
            <w:vAlign w:val="center"/>
          </w:tcPr>
          <w:p w14:paraId="7D947B9A" w14:textId="77777777" w:rsidR="009C67C5" w:rsidRPr="00081381" w:rsidRDefault="009C67C5" w:rsidP="00F808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4456ACBF" w14:textId="77777777" w:rsidR="009C67C5" w:rsidRPr="00081381" w:rsidRDefault="009C67C5" w:rsidP="00F808EE">
            <w:pPr>
              <w:jc w:val="center"/>
              <w:rPr>
                <w:sz w:val="20"/>
                <w:szCs w:val="20"/>
                <w:lang w:val="en-US"/>
              </w:rPr>
            </w:pPr>
            <w:r w:rsidRPr="00081381">
              <w:rPr>
                <w:sz w:val="20"/>
                <w:szCs w:val="20"/>
                <w:lang w:val="en-US"/>
              </w:rPr>
              <w:t>1.000</w:t>
            </w:r>
          </w:p>
        </w:tc>
      </w:tr>
      <w:tr w:rsidR="009C67C5" w:rsidRPr="00C47575" w14:paraId="0CE57FD0" w14:textId="77777777" w:rsidTr="00E664F4">
        <w:trPr>
          <w:trHeight w:val="261"/>
          <w:jc w:val="center"/>
        </w:trPr>
        <w:tc>
          <w:tcPr>
            <w:tcW w:w="2266" w:type="dxa"/>
            <w:tcBorders>
              <w:top w:val="nil"/>
            </w:tcBorders>
            <w:vAlign w:val="center"/>
          </w:tcPr>
          <w:p w14:paraId="1A987E92" w14:textId="77777777" w:rsidR="009C67C5" w:rsidRPr="00C47575" w:rsidRDefault="009C67C5" w:rsidP="00F808EE">
            <w:pPr>
              <w:jc w:val="center"/>
              <w:rPr>
                <w:i/>
                <w:iCs/>
                <w:sz w:val="20"/>
                <w:szCs w:val="52"/>
                <w:lang w:val="en-US"/>
              </w:rPr>
            </w:pPr>
            <w:r w:rsidRPr="00C47575">
              <w:rPr>
                <w:i/>
                <w:iCs/>
                <w:sz w:val="20"/>
                <w:szCs w:val="52"/>
                <w:lang w:val="en-US"/>
              </w:rPr>
              <w:t>Reference</w:t>
            </w:r>
          </w:p>
        </w:tc>
        <w:tc>
          <w:tcPr>
            <w:tcW w:w="9657" w:type="dxa"/>
            <w:gridSpan w:val="28"/>
            <w:tcBorders>
              <w:top w:val="nil"/>
            </w:tcBorders>
            <w:vAlign w:val="center"/>
          </w:tcPr>
          <w:p w14:paraId="673C750A" w14:textId="77777777" w:rsidR="009C67C5" w:rsidRPr="00081381" w:rsidRDefault="009C67C5" w:rsidP="00F808EE">
            <w:pPr>
              <w:jc w:val="center"/>
              <w:rPr>
                <w:sz w:val="20"/>
                <w:szCs w:val="20"/>
                <w:lang w:val="en-US"/>
              </w:rPr>
            </w:pPr>
            <w:r w:rsidRPr="00081381">
              <w:rPr>
                <w:sz w:val="20"/>
                <w:szCs w:val="20"/>
                <w:vertAlign w:val="superscript"/>
                <w:lang w:val="en-US"/>
              </w:rPr>
              <w:t>b</w:t>
            </w:r>
          </w:p>
        </w:tc>
        <w:tc>
          <w:tcPr>
            <w:tcW w:w="2107" w:type="dxa"/>
            <w:gridSpan w:val="2"/>
            <w:tcBorders>
              <w:top w:val="nil"/>
            </w:tcBorders>
            <w:vAlign w:val="center"/>
          </w:tcPr>
          <w:p w14:paraId="1562DDD9" w14:textId="77777777" w:rsidR="009C67C5" w:rsidRPr="00081381" w:rsidRDefault="009C67C5" w:rsidP="00F808EE">
            <w:pPr>
              <w:jc w:val="center"/>
              <w:rPr>
                <w:sz w:val="20"/>
                <w:szCs w:val="20"/>
                <w:lang w:val="en-US"/>
              </w:rPr>
            </w:pPr>
            <w:r w:rsidRPr="00081381">
              <w:rPr>
                <w:sz w:val="20"/>
                <w:szCs w:val="20"/>
                <w:vertAlign w:val="superscript"/>
                <w:lang w:val="en-US"/>
              </w:rPr>
              <w:t>b</w:t>
            </w:r>
          </w:p>
        </w:tc>
      </w:tr>
    </w:tbl>
    <w:p w14:paraId="5B6507F5" w14:textId="77777777" w:rsidR="00EB3858" w:rsidRDefault="001453E3" w:rsidP="00A5384D">
      <w:pPr>
        <w:spacing w:after="0" w:line="240" w:lineRule="auto"/>
        <w:ind w:left="851" w:right="656" w:hanging="142"/>
        <w:rPr>
          <w:rStyle w:val="tlid-translation"/>
          <w:sz w:val="20"/>
          <w:lang w:val="en"/>
        </w:rPr>
      </w:pPr>
      <w:proofErr w:type="gramStart"/>
      <w:r w:rsidRPr="001453E3">
        <w:rPr>
          <w:sz w:val="20"/>
          <w:szCs w:val="20"/>
          <w:vertAlign w:val="superscript"/>
          <w:lang w:val="en-US"/>
        </w:rPr>
        <w:t>a</w:t>
      </w:r>
      <w:r>
        <w:rPr>
          <w:b/>
          <w:sz w:val="20"/>
          <w:szCs w:val="20"/>
          <w:lang w:val="en-US"/>
        </w:rPr>
        <w:t xml:space="preserve"> </w:t>
      </w:r>
      <w:r w:rsidR="00EB3858" w:rsidRPr="000E54E0">
        <w:rPr>
          <w:b/>
          <w:sz w:val="20"/>
          <w:szCs w:val="20"/>
          <w:lang w:val="en-US"/>
        </w:rPr>
        <w:t xml:space="preserve"> </w:t>
      </w:r>
      <w:r w:rsidR="00376DB9" w:rsidRPr="00376DB9">
        <w:rPr>
          <w:rStyle w:val="tlid-translation"/>
          <w:sz w:val="20"/>
          <w:lang w:val="en"/>
        </w:rPr>
        <w:t>Bioavailability</w:t>
      </w:r>
      <w:proofErr w:type="gramEnd"/>
      <w:r w:rsidR="00376DB9" w:rsidRPr="00376DB9">
        <w:rPr>
          <w:rStyle w:val="tlid-translation"/>
          <w:sz w:val="20"/>
          <w:lang w:val="en"/>
        </w:rPr>
        <w:t xml:space="preserve"> factors for dermal contact with soil or water are already taken into account in the dose calculation (</w:t>
      </w:r>
      <w:r w:rsidR="00376DB9" w:rsidRPr="00376DB9">
        <w:rPr>
          <w:rStyle w:val="tlid-translation"/>
          <w:i/>
          <w:sz w:val="20"/>
          <w:lang w:val="en"/>
        </w:rPr>
        <w:t>ABS</w:t>
      </w:r>
      <w:r w:rsidR="00376DB9" w:rsidRPr="00376DB9">
        <w:rPr>
          <w:rStyle w:val="tlid-translation"/>
          <w:sz w:val="20"/>
          <w:lang w:val="en"/>
        </w:rPr>
        <w:t xml:space="preserve"> and </w:t>
      </w:r>
      <w:r w:rsidR="00376DB9" w:rsidRPr="00376DB9">
        <w:rPr>
          <w:rStyle w:val="tlid-translation"/>
          <w:i/>
          <w:sz w:val="20"/>
          <w:lang w:val="en"/>
        </w:rPr>
        <w:t>PC</w:t>
      </w:r>
      <w:r w:rsidR="00376DB9" w:rsidRPr="00376DB9">
        <w:rPr>
          <w:rStyle w:val="tlid-translation"/>
          <w:sz w:val="20"/>
          <w:lang w:val="en"/>
        </w:rPr>
        <w:t>, respectively). Therefore</w:t>
      </w:r>
      <w:r w:rsidR="00376DB9">
        <w:rPr>
          <w:rStyle w:val="tlid-translation"/>
          <w:sz w:val="20"/>
          <w:lang w:val="en"/>
        </w:rPr>
        <w:t>,</w:t>
      </w:r>
      <w:r w:rsidR="00376DB9" w:rsidRPr="00376DB9">
        <w:rPr>
          <w:rStyle w:val="tlid-translation"/>
          <w:sz w:val="20"/>
          <w:lang w:val="en"/>
        </w:rPr>
        <w:t xml:space="preserve"> the </w:t>
      </w:r>
      <w:r w:rsidR="00376DB9" w:rsidRPr="00376DB9">
        <w:rPr>
          <w:rStyle w:val="tlid-translation"/>
          <w:i/>
          <w:sz w:val="20"/>
          <w:lang w:val="en"/>
        </w:rPr>
        <w:t>BAF</w:t>
      </w:r>
      <w:r w:rsidR="00376DB9" w:rsidRPr="00376DB9">
        <w:rPr>
          <w:rStyle w:val="tlid-translation"/>
          <w:sz w:val="20"/>
          <w:lang w:val="en"/>
        </w:rPr>
        <w:t xml:space="preserve"> values </w:t>
      </w:r>
      <w:r w:rsidR="00642B43">
        <w:rPr>
          <w:rStyle w:val="tlid-translation"/>
          <w:sz w:val="20"/>
          <w:lang w:val="en"/>
        </w:rPr>
        <w:t>must</w:t>
      </w:r>
      <w:r w:rsidR="00376DB9" w:rsidRPr="00376DB9">
        <w:rPr>
          <w:rStyle w:val="tlid-translation"/>
          <w:sz w:val="20"/>
          <w:lang w:val="en"/>
        </w:rPr>
        <w:t xml:space="preserve"> be 1.0</w:t>
      </w:r>
      <w:r w:rsidR="00A60C90">
        <w:rPr>
          <w:rStyle w:val="tlid-translation"/>
          <w:sz w:val="20"/>
          <w:lang w:val="en"/>
        </w:rPr>
        <w:t>;</w:t>
      </w:r>
    </w:p>
    <w:p w14:paraId="4DEF2116" w14:textId="14E15EA5" w:rsidR="008637CC" w:rsidRPr="008637CC" w:rsidRDefault="001453E3" w:rsidP="00A5384D">
      <w:pPr>
        <w:spacing w:after="0" w:line="240" w:lineRule="auto"/>
        <w:ind w:left="709" w:right="656"/>
        <w:rPr>
          <w:rStyle w:val="tlid-translation"/>
          <w:sz w:val="20"/>
          <w:szCs w:val="20"/>
          <w:lang w:val="en-US"/>
        </w:rPr>
      </w:pPr>
      <w:r>
        <w:rPr>
          <w:sz w:val="20"/>
          <w:szCs w:val="20"/>
          <w:vertAlign w:val="superscript"/>
          <w:lang w:val="en"/>
        </w:rPr>
        <w:t>b</w:t>
      </w:r>
      <w:r w:rsidR="008637CC" w:rsidRPr="00576AEA">
        <w:rPr>
          <w:sz w:val="20"/>
          <w:szCs w:val="20"/>
          <w:lang w:val="en-US"/>
        </w:rPr>
        <w:t xml:space="preserve">  </w:t>
      </w:r>
      <w:r w:rsidR="008637CC" w:rsidRPr="00424F2F">
        <w:rPr>
          <w:sz w:val="20"/>
          <w:szCs w:val="20"/>
          <w:lang w:val="en-US"/>
        </w:rPr>
        <w:t>According to Health Canada</w:t>
      </w:r>
      <w:r w:rsidR="00D065A7">
        <w:rPr>
          <w:sz w:val="20"/>
          <w:szCs w:val="20"/>
          <w:lang w:val="en-US"/>
        </w:rPr>
        <w:t xml:space="preserve"> </w:t>
      </w:r>
      <w:r w:rsidR="00D065A7">
        <w:rPr>
          <w:sz w:val="20"/>
          <w:szCs w:val="20"/>
          <w:lang w:val="en-US"/>
        </w:rPr>
        <w:fldChar w:fldCharType="begin" w:fldLock="1"/>
      </w:r>
      <w:r w:rsidR="00E178F6">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D065A7">
        <w:rPr>
          <w:sz w:val="20"/>
          <w:szCs w:val="20"/>
          <w:lang w:val="en-US"/>
        </w:rPr>
        <w:fldChar w:fldCharType="separate"/>
      </w:r>
      <w:r w:rsidR="00D065A7" w:rsidRPr="00D065A7">
        <w:rPr>
          <w:noProof/>
          <w:sz w:val="20"/>
          <w:szCs w:val="20"/>
          <w:lang w:val="en-US"/>
        </w:rPr>
        <w:t>(2004)</w:t>
      </w:r>
      <w:r w:rsidR="00D065A7">
        <w:rPr>
          <w:sz w:val="20"/>
          <w:szCs w:val="20"/>
          <w:lang w:val="en-US"/>
        </w:rPr>
        <w:fldChar w:fldCharType="end"/>
      </w:r>
      <w:r w:rsidR="008637CC">
        <w:rPr>
          <w:sz w:val="20"/>
          <w:szCs w:val="20"/>
          <w:lang w:val="en-US"/>
        </w:rPr>
        <w:t>,</w:t>
      </w:r>
      <w:r w:rsidR="008637CC" w:rsidRPr="00424F2F">
        <w:rPr>
          <w:sz w:val="20"/>
          <w:szCs w:val="20"/>
          <w:lang w:val="en-US"/>
        </w:rPr>
        <w:t xml:space="preserve"> </w:t>
      </w:r>
      <w:r w:rsidR="008637CC" w:rsidRPr="005B3E57">
        <w:rPr>
          <w:i/>
          <w:iCs/>
          <w:sz w:val="20"/>
          <w:szCs w:val="20"/>
          <w:lang w:val="en-US"/>
        </w:rPr>
        <w:t>BAF</w:t>
      </w:r>
      <w:r w:rsidR="008637CC" w:rsidRPr="00424F2F">
        <w:rPr>
          <w:sz w:val="20"/>
          <w:szCs w:val="20"/>
          <w:lang w:val="en-US"/>
        </w:rPr>
        <w:t xml:space="preserve"> values of contaminants if ingested or inhaled should be considered as 1.0 when no specific</w:t>
      </w:r>
      <w:r w:rsidR="008637CC">
        <w:rPr>
          <w:sz w:val="20"/>
          <w:szCs w:val="20"/>
          <w:lang w:val="en-US"/>
        </w:rPr>
        <w:t xml:space="preserve"> values are found in literature;</w:t>
      </w:r>
    </w:p>
    <w:p w14:paraId="69D53616" w14:textId="77777777" w:rsidR="001453E3" w:rsidRPr="001453E3" w:rsidRDefault="001453E3" w:rsidP="00A5384D">
      <w:pPr>
        <w:pStyle w:val="Default"/>
        <w:ind w:left="709" w:right="656"/>
        <w:rPr>
          <w:rFonts w:ascii="Arial" w:hAnsi="Arial" w:cs="Arial"/>
          <w:sz w:val="20"/>
          <w:szCs w:val="20"/>
          <w:lang w:val="en-US"/>
        </w:rPr>
      </w:pPr>
      <w:proofErr w:type="gramStart"/>
      <w:r>
        <w:rPr>
          <w:sz w:val="20"/>
          <w:szCs w:val="20"/>
          <w:vertAlign w:val="superscript"/>
          <w:lang w:val="en-US"/>
        </w:rPr>
        <w:t>c</w:t>
      </w:r>
      <w:r>
        <w:rPr>
          <w:sz w:val="20"/>
          <w:szCs w:val="20"/>
          <w:lang w:val="en-US"/>
        </w:rPr>
        <w:t xml:space="preserve"> </w:t>
      </w:r>
      <w:r w:rsidRPr="00576AEA">
        <w:rPr>
          <w:sz w:val="20"/>
          <w:szCs w:val="20"/>
          <w:lang w:val="en-US"/>
        </w:rPr>
        <w:t xml:space="preserve"> </w:t>
      </w:r>
      <w:r w:rsidRPr="001A682B">
        <w:rPr>
          <w:rStyle w:val="tlid-translation"/>
          <w:i/>
          <w:sz w:val="20"/>
          <w:lang w:val="en"/>
        </w:rPr>
        <w:t>BAF</w:t>
      </w:r>
      <w:proofErr w:type="gramEnd"/>
      <w:r w:rsidRPr="001A682B">
        <w:rPr>
          <w:rStyle w:val="tlid-translation"/>
          <w:sz w:val="20"/>
          <w:lang w:val="en"/>
        </w:rPr>
        <w:t xml:space="preserve"> </w:t>
      </w:r>
      <w:r>
        <w:rPr>
          <w:rStyle w:val="tlid-translation"/>
          <w:sz w:val="20"/>
          <w:lang w:val="en"/>
        </w:rPr>
        <w:t xml:space="preserve">value for general </w:t>
      </w:r>
      <w:r w:rsidRPr="00EB7A1D">
        <w:rPr>
          <w:bCs/>
          <w:sz w:val="20"/>
          <w:szCs w:val="20"/>
          <w:lang w:val="en-US"/>
        </w:rPr>
        <w:t>gastrointestinal absorption efficiency.</w:t>
      </w:r>
    </w:p>
    <w:p w14:paraId="3388D5D1" w14:textId="77777777" w:rsidR="001A682B" w:rsidRDefault="001453E3" w:rsidP="00A5384D">
      <w:pPr>
        <w:spacing w:after="0" w:line="240" w:lineRule="auto"/>
        <w:ind w:left="709" w:right="656"/>
        <w:rPr>
          <w:sz w:val="20"/>
          <w:szCs w:val="20"/>
          <w:lang w:val="en-US"/>
        </w:rPr>
      </w:pPr>
      <w:proofErr w:type="gramStart"/>
      <w:r>
        <w:rPr>
          <w:sz w:val="20"/>
          <w:szCs w:val="20"/>
          <w:vertAlign w:val="superscript"/>
          <w:lang w:val="en-US"/>
        </w:rPr>
        <w:t>d</w:t>
      </w:r>
      <w:r w:rsidR="001A682B" w:rsidRPr="00576AEA">
        <w:rPr>
          <w:sz w:val="20"/>
          <w:szCs w:val="20"/>
          <w:lang w:val="en-US"/>
        </w:rPr>
        <w:t xml:space="preserve">  </w:t>
      </w:r>
      <w:r w:rsidR="001A682B" w:rsidRPr="001A682B">
        <w:rPr>
          <w:rStyle w:val="tlid-translation"/>
          <w:i/>
          <w:sz w:val="20"/>
          <w:lang w:val="en"/>
        </w:rPr>
        <w:t>BAF</w:t>
      </w:r>
      <w:proofErr w:type="gramEnd"/>
      <w:r w:rsidR="001A682B" w:rsidRPr="001A682B">
        <w:rPr>
          <w:rStyle w:val="tlid-translation"/>
          <w:sz w:val="20"/>
          <w:lang w:val="en"/>
        </w:rPr>
        <w:t xml:space="preserve"> values for food</w:t>
      </w:r>
      <w:r w:rsidR="00A60C90" w:rsidRPr="00A60C90">
        <w:rPr>
          <w:sz w:val="20"/>
          <w:szCs w:val="20"/>
          <w:lang w:val="en-US"/>
        </w:rPr>
        <w:t>;</w:t>
      </w:r>
    </w:p>
    <w:p w14:paraId="237F7504" w14:textId="77777777" w:rsidR="00321515" w:rsidRDefault="00321515" w:rsidP="00A5384D">
      <w:pPr>
        <w:spacing w:after="0" w:line="240" w:lineRule="auto"/>
        <w:ind w:left="709" w:right="656"/>
        <w:rPr>
          <w:sz w:val="20"/>
          <w:szCs w:val="20"/>
          <w:lang w:val="en-US"/>
        </w:rPr>
      </w:pPr>
      <w:proofErr w:type="gramStart"/>
      <w:r>
        <w:rPr>
          <w:sz w:val="20"/>
          <w:szCs w:val="20"/>
          <w:vertAlign w:val="superscript"/>
          <w:lang w:val="en-US"/>
        </w:rPr>
        <w:t>e</w:t>
      </w:r>
      <w:r w:rsidRPr="00576AEA">
        <w:rPr>
          <w:sz w:val="20"/>
          <w:szCs w:val="20"/>
          <w:lang w:val="en-US"/>
        </w:rPr>
        <w:t xml:space="preserve">  </w:t>
      </w:r>
      <w:r w:rsidRPr="00321515">
        <w:rPr>
          <w:i/>
          <w:sz w:val="20"/>
          <w:szCs w:val="20"/>
          <w:lang w:val="en-US"/>
        </w:rPr>
        <w:t>BAF</w:t>
      </w:r>
      <w:proofErr w:type="gramEnd"/>
      <w:r>
        <w:rPr>
          <w:sz w:val="20"/>
          <w:szCs w:val="20"/>
          <w:lang w:val="en-US"/>
        </w:rPr>
        <w:t xml:space="preserve"> </w:t>
      </w:r>
      <w:r w:rsidRPr="00321515">
        <w:rPr>
          <w:rStyle w:val="tlid-translation"/>
          <w:sz w:val="20"/>
          <w:lang w:val="en"/>
        </w:rPr>
        <w:t>obtained from the sum of the</w:t>
      </w:r>
      <w:r w:rsidR="00767CE3">
        <w:rPr>
          <w:rStyle w:val="tlid-translation"/>
          <w:sz w:val="20"/>
          <w:lang w:val="en"/>
        </w:rPr>
        <w:t xml:space="preserve"> </w:t>
      </w:r>
      <w:proofErr w:type="spellStart"/>
      <w:r w:rsidR="00767CE3" w:rsidRPr="00321515">
        <w:rPr>
          <w:rStyle w:val="tlid-translation"/>
          <w:sz w:val="20"/>
          <w:lang w:val="en"/>
        </w:rPr>
        <w:t>bioaccessible</w:t>
      </w:r>
      <w:proofErr w:type="spellEnd"/>
      <w:r w:rsidRPr="00321515">
        <w:rPr>
          <w:rStyle w:val="tlid-translation"/>
          <w:sz w:val="20"/>
          <w:lang w:val="en"/>
        </w:rPr>
        <w:t xml:space="preserve"> gastric fraction +</w:t>
      </w:r>
      <w:r w:rsidR="00767CE3">
        <w:rPr>
          <w:rStyle w:val="tlid-translation"/>
          <w:sz w:val="20"/>
          <w:lang w:val="en"/>
        </w:rPr>
        <w:t xml:space="preserve"> </w:t>
      </w:r>
      <w:proofErr w:type="spellStart"/>
      <w:r w:rsidR="00767CE3" w:rsidRPr="00321515">
        <w:rPr>
          <w:rStyle w:val="tlid-translation"/>
          <w:sz w:val="20"/>
          <w:lang w:val="en"/>
        </w:rPr>
        <w:t>bioaccessible</w:t>
      </w:r>
      <w:proofErr w:type="spellEnd"/>
      <w:r w:rsidRPr="00321515">
        <w:rPr>
          <w:rStyle w:val="tlid-translation"/>
          <w:sz w:val="20"/>
          <w:lang w:val="en"/>
        </w:rPr>
        <w:t xml:space="preserve"> intestinal fraction</w:t>
      </w:r>
      <w:r w:rsidRPr="00A60C90">
        <w:rPr>
          <w:sz w:val="20"/>
          <w:szCs w:val="20"/>
          <w:lang w:val="en-US"/>
        </w:rPr>
        <w:t>;</w:t>
      </w:r>
    </w:p>
    <w:p w14:paraId="6BB8D5DE" w14:textId="12C04D09" w:rsidR="004E6553" w:rsidRDefault="004E6553" w:rsidP="00A5384D">
      <w:pPr>
        <w:spacing w:after="0" w:line="240" w:lineRule="auto"/>
        <w:ind w:left="709" w:right="656"/>
        <w:rPr>
          <w:sz w:val="20"/>
          <w:szCs w:val="20"/>
          <w:lang w:val="en-US"/>
        </w:rPr>
      </w:pPr>
      <w:proofErr w:type="gramStart"/>
      <w:r>
        <w:rPr>
          <w:sz w:val="20"/>
          <w:szCs w:val="20"/>
          <w:vertAlign w:val="superscript"/>
          <w:lang w:val="en-US"/>
        </w:rPr>
        <w:t>f</w:t>
      </w:r>
      <w:r>
        <w:rPr>
          <w:sz w:val="20"/>
          <w:szCs w:val="20"/>
          <w:lang w:val="en-US"/>
        </w:rPr>
        <w:t xml:space="preserve"> </w:t>
      </w:r>
      <w:r w:rsidR="002F07B1">
        <w:rPr>
          <w:sz w:val="20"/>
          <w:szCs w:val="20"/>
          <w:lang w:val="en-US"/>
        </w:rPr>
        <w:t xml:space="preserve"> </w:t>
      </w:r>
      <w:r w:rsidRPr="004E6553">
        <w:rPr>
          <w:sz w:val="20"/>
          <w:szCs w:val="20"/>
          <w:lang w:val="en-US"/>
        </w:rPr>
        <w:t>Mean</w:t>
      </w:r>
      <w:proofErr w:type="gramEnd"/>
      <w:r w:rsidRPr="004E6553">
        <w:rPr>
          <w:sz w:val="20"/>
          <w:szCs w:val="20"/>
          <w:lang w:val="en-US"/>
        </w:rPr>
        <w:t xml:space="preserve"> value of the </w:t>
      </w:r>
      <w:r w:rsidRPr="005B3E57">
        <w:rPr>
          <w:i/>
          <w:iCs/>
          <w:sz w:val="20"/>
          <w:szCs w:val="20"/>
          <w:lang w:val="en-US"/>
        </w:rPr>
        <w:t>BAF</w:t>
      </w:r>
      <w:r w:rsidRPr="004E6553">
        <w:rPr>
          <w:sz w:val="20"/>
          <w:szCs w:val="20"/>
          <w:lang w:val="en-US"/>
        </w:rPr>
        <w:t xml:space="preserve"> range found in the literature</w:t>
      </w:r>
      <w:r w:rsidR="00E92134">
        <w:rPr>
          <w:sz w:val="20"/>
          <w:szCs w:val="20"/>
          <w:lang w:val="en-US"/>
        </w:rPr>
        <w:t>.</w:t>
      </w:r>
    </w:p>
    <w:p w14:paraId="2CF1A76D" w14:textId="77777777" w:rsidR="00EB3858" w:rsidRDefault="00EB3858" w:rsidP="00EB3858">
      <w:pPr>
        <w:pStyle w:val="Default"/>
        <w:spacing w:line="276" w:lineRule="auto"/>
        <w:rPr>
          <w:sz w:val="23"/>
          <w:szCs w:val="23"/>
          <w:lang w:val="en-US"/>
        </w:rPr>
      </w:pPr>
    </w:p>
    <w:p w14:paraId="4DB0CB27" w14:textId="77777777" w:rsidR="002D3846" w:rsidRDefault="002D3846" w:rsidP="00EB3858">
      <w:pPr>
        <w:pStyle w:val="Default"/>
        <w:spacing w:line="276" w:lineRule="auto"/>
        <w:rPr>
          <w:sz w:val="23"/>
          <w:szCs w:val="23"/>
          <w:lang w:val="en-US"/>
        </w:rPr>
      </w:pPr>
    </w:p>
    <w:p w14:paraId="126E66BF" w14:textId="77777777" w:rsidR="00120F3A" w:rsidRPr="00C42A68" w:rsidRDefault="00120F3A" w:rsidP="00120F3A">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30685D1E" w14:textId="77777777" w:rsidR="00120F3A" w:rsidRDefault="00120F3A" w:rsidP="00F24897">
      <w:pPr>
        <w:pStyle w:val="Default"/>
        <w:rPr>
          <w:b/>
          <w:bCs/>
          <w:szCs w:val="52"/>
          <w:lang w:val="en-US"/>
        </w:rPr>
      </w:pPr>
    </w:p>
    <w:p w14:paraId="2EC9166D" w14:textId="77777777" w:rsidR="00EB3858" w:rsidRPr="00F24897" w:rsidRDefault="00EB3858" w:rsidP="00F24897">
      <w:pPr>
        <w:spacing w:after="0"/>
        <w:rPr>
          <w:b/>
          <w:sz w:val="22"/>
          <w:szCs w:val="22"/>
          <w:lang w:val="en-US"/>
        </w:rPr>
      </w:pPr>
      <w:r w:rsidRPr="00F24897">
        <w:rPr>
          <w:b/>
          <w:sz w:val="22"/>
          <w:szCs w:val="22"/>
          <w:lang w:val="en-US"/>
        </w:rPr>
        <w:br w:type="page"/>
      </w:r>
    </w:p>
    <w:p w14:paraId="736E14DB" w14:textId="77777777" w:rsidR="00EB3858" w:rsidRDefault="00EB3858" w:rsidP="004A4597">
      <w:pPr>
        <w:widowControl w:val="0"/>
        <w:autoSpaceDE w:val="0"/>
        <w:autoSpaceDN w:val="0"/>
        <w:adjustRightInd w:val="0"/>
        <w:spacing w:line="276" w:lineRule="auto"/>
        <w:ind w:left="993" w:hanging="993"/>
        <w:jc w:val="center"/>
        <w:rPr>
          <w:b/>
          <w:i/>
          <w:sz w:val="40"/>
          <w:lang w:val="en-US"/>
        </w:rPr>
        <w:sectPr w:rsidR="00EB3858" w:rsidSect="00BB6B15">
          <w:pgSz w:w="16838" w:h="11906" w:orient="landscape"/>
          <w:pgMar w:top="720" w:right="720" w:bottom="720" w:left="720" w:header="709" w:footer="709" w:gutter="0"/>
          <w:cols w:space="708"/>
          <w:docGrid w:linePitch="360"/>
        </w:sectPr>
      </w:pPr>
    </w:p>
    <w:p w14:paraId="50B71B28" w14:textId="5A8EC782" w:rsidR="002D0A3E" w:rsidRPr="00350894" w:rsidRDefault="00350894" w:rsidP="00350894">
      <w:pPr>
        <w:spacing w:before="240" w:after="0" w:line="480" w:lineRule="auto"/>
        <w:jc w:val="center"/>
        <w:rPr>
          <w:rStyle w:val="tlid-translation"/>
          <w:b/>
          <w:sz w:val="32"/>
          <w:lang w:val="en-US"/>
        </w:rPr>
      </w:pPr>
      <w:r w:rsidRPr="00A25D23">
        <w:rPr>
          <w:b/>
          <w:bCs/>
          <w:sz w:val="28"/>
          <w:lang w:val="en-US"/>
        </w:rPr>
        <w:lastRenderedPageBreak/>
        <w:t xml:space="preserve">Table </w:t>
      </w:r>
      <w:r>
        <w:rPr>
          <w:b/>
          <w:bCs/>
          <w:sz w:val="28"/>
          <w:lang w:val="en-US"/>
        </w:rPr>
        <w:t>14</w:t>
      </w:r>
      <w:r>
        <w:rPr>
          <w:sz w:val="28"/>
          <w:lang w:val="en-US"/>
        </w:rPr>
        <w:t xml:space="preserve"> – Chemical species carcinogenic classification</w:t>
      </w:r>
    </w:p>
    <w:tbl>
      <w:tblPr>
        <w:tblStyle w:val="Tabelacomgrade"/>
        <w:tblW w:w="13805" w:type="dxa"/>
        <w:jc w:val="center"/>
        <w:tblLook w:val="04A0" w:firstRow="1" w:lastRow="0" w:firstColumn="1" w:lastColumn="0" w:noHBand="0" w:noVBand="1"/>
      </w:tblPr>
      <w:tblGrid>
        <w:gridCol w:w="3427"/>
        <w:gridCol w:w="1735"/>
        <w:gridCol w:w="2375"/>
        <w:gridCol w:w="1772"/>
        <w:gridCol w:w="2500"/>
        <w:gridCol w:w="1996"/>
      </w:tblGrid>
      <w:tr w:rsidR="002D0A3E" w:rsidRPr="002A4EE0" w14:paraId="16A68F3C" w14:textId="77777777" w:rsidTr="00E31CB4">
        <w:trPr>
          <w:trHeight w:val="306"/>
          <w:jc w:val="center"/>
        </w:trPr>
        <w:tc>
          <w:tcPr>
            <w:tcW w:w="3427" w:type="dxa"/>
            <w:vMerge w:val="restart"/>
            <w:vAlign w:val="center"/>
          </w:tcPr>
          <w:p w14:paraId="1B99BBE7" w14:textId="77777777" w:rsidR="002D0A3E" w:rsidRPr="002A4EE0" w:rsidRDefault="002D0A3E" w:rsidP="00E31CB4">
            <w:pPr>
              <w:jc w:val="center"/>
              <w:rPr>
                <w:b/>
                <w:sz w:val="20"/>
                <w:szCs w:val="20"/>
                <w:lang w:val="en-US"/>
              </w:rPr>
            </w:pPr>
            <w:r w:rsidRPr="002A4EE0">
              <w:rPr>
                <w:b/>
                <w:sz w:val="20"/>
                <w:szCs w:val="20"/>
                <w:lang w:val="en-US"/>
              </w:rPr>
              <w:t>Chemical species</w:t>
            </w:r>
          </w:p>
        </w:tc>
        <w:tc>
          <w:tcPr>
            <w:tcW w:w="1735" w:type="dxa"/>
            <w:vMerge w:val="restart"/>
            <w:vAlign w:val="center"/>
          </w:tcPr>
          <w:p w14:paraId="73CA55BF" w14:textId="77777777"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Pr>
                <w:b/>
                <w:sz w:val="20"/>
                <w:szCs w:val="20"/>
                <w:lang w:val="en-US"/>
              </w:rPr>
              <w:instrText>ADDIN CSL_CITATION {"citationItems":[{"id":"ITEM-1","itemData":{"URL":"https://publications.iarc.fr/Book-And-Report-Series","accessed":{"date-parts":[["2019","9","6"]]},"author":[{"dropping-particle":"","family":"IARC","given":"","non-dropping-particle":"","parse-names":false,"suffix":""}],"container-title":"International Agency for Research on Cancer","id":"ITEM-1","issued":{"date-parts":[["2019"]]},"title":"Book and Report Series","type":"webpage"},"suppress-author":1,"uris":["http://www.mendeley.com/documents/?uuid=9b4c14f0-9d6e-4f76-ab27-d18079f28744"]}],"mendeley":{"formattedCitation":"(2019)","plainTextFormattedCitation":"(2019)","previouslyFormattedCitation":"(2019)"},"properties":{"noteIndex":0},"schema":"https://github.com/citation-style-language/schema/raw/master/csl-citation.json"}</w:instrText>
            </w:r>
            <w:r w:rsidRPr="002A4EE0">
              <w:rPr>
                <w:b/>
                <w:sz w:val="20"/>
                <w:szCs w:val="20"/>
                <w:lang w:val="en-US"/>
              </w:rPr>
              <w:fldChar w:fldCharType="separate"/>
            </w:r>
            <w:r w:rsidRPr="002A4EE0">
              <w:rPr>
                <w:b/>
                <w:noProof/>
                <w:sz w:val="20"/>
                <w:szCs w:val="20"/>
                <w:lang w:val="en-US"/>
              </w:rPr>
              <w:t>(2019)</w:t>
            </w:r>
            <w:r w:rsidRPr="002A4EE0">
              <w:rPr>
                <w:b/>
                <w:sz w:val="20"/>
                <w:szCs w:val="20"/>
                <w:lang w:val="en-US"/>
              </w:rPr>
              <w:fldChar w:fldCharType="end"/>
            </w:r>
          </w:p>
          <w:p w14:paraId="34486F82"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9EA9016"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6F9F6B0C" w14:textId="77777777" w:rsidTr="00E31CB4">
        <w:trPr>
          <w:trHeight w:val="477"/>
          <w:jc w:val="center"/>
        </w:trPr>
        <w:tc>
          <w:tcPr>
            <w:tcW w:w="3427" w:type="dxa"/>
            <w:vMerge/>
            <w:vAlign w:val="center"/>
          </w:tcPr>
          <w:p w14:paraId="0ED1B236" w14:textId="77777777" w:rsidR="002D0A3E" w:rsidRPr="001301D4" w:rsidRDefault="002D0A3E" w:rsidP="00E31CB4">
            <w:pPr>
              <w:jc w:val="center"/>
              <w:rPr>
                <w:b/>
                <w:sz w:val="20"/>
                <w:szCs w:val="20"/>
                <w:lang w:val="en-US"/>
              </w:rPr>
            </w:pPr>
          </w:p>
        </w:tc>
        <w:tc>
          <w:tcPr>
            <w:tcW w:w="1735" w:type="dxa"/>
            <w:vMerge/>
            <w:vAlign w:val="center"/>
          </w:tcPr>
          <w:p w14:paraId="1DAE8B0D" w14:textId="77777777" w:rsidR="002D0A3E" w:rsidRDefault="002D0A3E" w:rsidP="00E31CB4">
            <w:pPr>
              <w:jc w:val="center"/>
              <w:rPr>
                <w:b/>
                <w:sz w:val="20"/>
                <w:szCs w:val="20"/>
                <w:lang w:val="en-US"/>
              </w:rPr>
            </w:pPr>
          </w:p>
        </w:tc>
        <w:tc>
          <w:tcPr>
            <w:tcW w:w="2375" w:type="dxa"/>
            <w:vAlign w:val="center"/>
          </w:tcPr>
          <w:p w14:paraId="4C19257F" w14:textId="77777777" w:rsidR="002D0A3E" w:rsidRDefault="002D0A3E" w:rsidP="00E31CB4">
            <w:pPr>
              <w:jc w:val="center"/>
              <w:rPr>
                <w:b/>
                <w:sz w:val="20"/>
                <w:szCs w:val="20"/>
                <w:lang w:val="en-US"/>
              </w:rPr>
            </w:pPr>
            <w:r>
              <w:rPr>
                <w:b/>
                <w:sz w:val="20"/>
                <w:szCs w:val="20"/>
                <w:lang w:val="en-US"/>
              </w:rPr>
              <w:t>Carcinogenic classification</w:t>
            </w:r>
          </w:p>
          <w:p w14:paraId="7BC066A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1F30107B" w14:textId="309DFB52"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 xml:space="preserve">utagenic </w:t>
            </w:r>
            <w:r w:rsidR="00730456">
              <w:rPr>
                <w:b/>
                <w:sz w:val="20"/>
                <w:szCs w:val="20"/>
                <w:lang w:val="en-US"/>
              </w:rPr>
              <w:t>MOA</w:t>
            </w:r>
          </w:p>
        </w:tc>
        <w:tc>
          <w:tcPr>
            <w:tcW w:w="2500" w:type="dxa"/>
            <w:vAlign w:val="center"/>
          </w:tcPr>
          <w:p w14:paraId="11F50E7C" w14:textId="77777777" w:rsidR="002D0A3E" w:rsidRDefault="002D0A3E" w:rsidP="00E31CB4">
            <w:pPr>
              <w:jc w:val="center"/>
              <w:rPr>
                <w:b/>
                <w:sz w:val="20"/>
                <w:szCs w:val="20"/>
                <w:lang w:val="en-US"/>
              </w:rPr>
            </w:pPr>
            <w:r>
              <w:rPr>
                <w:b/>
                <w:sz w:val="20"/>
                <w:szCs w:val="20"/>
                <w:lang w:val="en-US"/>
              </w:rPr>
              <w:t>Carcinogenic classification</w:t>
            </w:r>
          </w:p>
          <w:p w14:paraId="01396FAF"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137E4EBD" w14:textId="0B2E7A13"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 xml:space="preserve">utagenic </w:t>
            </w:r>
            <w:r w:rsidR="00730456">
              <w:rPr>
                <w:b/>
                <w:sz w:val="20"/>
                <w:szCs w:val="20"/>
                <w:lang w:val="en-US"/>
              </w:rPr>
              <w:t>MOA</w:t>
            </w:r>
          </w:p>
        </w:tc>
      </w:tr>
      <w:tr w:rsidR="002D0A3E" w:rsidRPr="001301D4" w14:paraId="6EAB910A" w14:textId="77777777" w:rsidTr="00E31CB4">
        <w:trPr>
          <w:trHeight w:val="251"/>
          <w:jc w:val="center"/>
        </w:trPr>
        <w:tc>
          <w:tcPr>
            <w:tcW w:w="3427" w:type="dxa"/>
            <w:vAlign w:val="center"/>
          </w:tcPr>
          <w:p w14:paraId="51DA8E27" w14:textId="77777777" w:rsidR="002D0A3E" w:rsidRPr="001301D4" w:rsidRDefault="002D0A3E" w:rsidP="00E31CB4">
            <w:pPr>
              <w:jc w:val="center"/>
              <w:rPr>
                <w:sz w:val="20"/>
                <w:szCs w:val="20"/>
                <w:lang w:val="en-US"/>
              </w:rPr>
            </w:pPr>
            <w:r w:rsidRPr="001301D4">
              <w:rPr>
                <w:i/>
                <w:iCs/>
                <w:sz w:val="20"/>
                <w:szCs w:val="52"/>
                <w:lang w:val="en-US"/>
              </w:rPr>
              <w:t>p</w:t>
            </w:r>
            <w:r w:rsidRPr="001301D4">
              <w:rPr>
                <w:iCs/>
                <w:sz w:val="20"/>
                <w:szCs w:val="52"/>
                <w:lang w:val="en-US"/>
              </w:rPr>
              <w:t>-Benzoquinone</w:t>
            </w:r>
          </w:p>
        </w:tc>
        <w:tc>
          <w:tcPr>
            <w:tcW w:w="1735" w:type="dxa"/>
            <w:vAlign w:val="center"/>
          </w:tcPr>
          <w:p w14:paraId="488C47DB" w14:textId="77777777" w:rsidR="002D0A3E" w:rsidRDefault="002D0A3E" w:rsidP="00E31CB4">
            <w:pPr>
              <w:jc w:val="center"/>
              <w:rPr>
                <w:sz w:val="20"/>
                <w:szCs w:val="20"/>
                <w:lang w:val="en-US"/>
              </w:rPr>
            </w:pPr>
            <w:r>
              <w:rPr>
                <w:sz w:val="20"/>
                <w:szCs w:val="20"/>
                <w:lang w:val="en-US"/>
              </w:rPr>
              <w:t>3</w:t>
            </w:r>
          </w:p>
        </w:tc>
        <w:tc>
          <w:tcPr>
            <w:tcW w:w="2375" w:type="dxa"/>
            <w:vAlign w:val="center"/>
          </w:tcPr>
          <w:p w14:paraId="48AD86A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4413BCAA"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439933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6FD2379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01CBCF00" w14:textId="77777777" w:rsidTr="00E31CB4">
        <w:trPr>
          <w:trHeight w:val="237"/>
          <w:jc w:val="center"/>
        </w:trPr>
        <w:tc>
          <w:tcPr>
            <w:tcW w:w="3427" w:type="dxa"/>
            <w:vAlign w:val="center"/>
          </w:tcPr>
          <w:p w14:paraId="46E83022" w14:textId="77777777" w:rsidR="002D0A3E" w:rsidRPr="001301D4" w:rsidRDefault="002D0A3E" w:rsidP="00E31CB4">
            <w:pPr>
              <w:jc w:val="center"/>
              <w:rPr>
                <w:sz w:val="20"/>
                <w:szCs w:val="20"/>
                <w:lang w:val="en-US"/>
              </w:rPr>
            </w:pPr>
            <w:r w:rsidRPr="001301D4">
              <w:rPr>
                <w:sz w:val="20"/>
                <w:szCs w:val="52"/>
                <w:lang w:val="en-US"/>
              </w:rPr>
              <w:t>Acetophenone</w:t>
            </w:r>
          </w:p>
        </w:tc>
        <w:tc>
          <w:tcPr>
            <w:tcW w:w="1735" w:type="dxa"/>
            <w:vAlign w:val="center"/>
          </w:tcPr>
          <w:p w14:paraId="548B59CC" w14:textId="77777777" w:rsidR="002D0A3E"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0100D1F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7837E9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A9C57DA"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4AE301E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624D9E08" w14:textId="77777777" w:rsidTr="00E31CB4">
        <w:trPr>
          <w:trHeight w:val="237"/>
          <w:jc w:val="center"/>
        </w:trPr>
        <w:tc>
          <w:tcPr>
            <w:tcW w:w="3427" w:type="dxa"/>
            <w:vAlign w:val="center"/>
          </w:tcPr>
          <w:p w14:paraId="02D0DBEA" w14:textId="77777777" w:rsidR="002D0A3E" w:rsidRPr="001301D4" w:rsidRDefault="002D0A3E" w:rsidP="00E31CB4">
            <w:pPr>
              <w:jc w:val="center"/>
              <w:rPr>
                <w:sz w:val="20"/>
                <w:szCs w:val="20"/>
                <w:lang w:val="en-US"/>
              </w:rPr>
            </w:pPr>
            <w:r w:rsidRPr="001301D4">
              <w:rPr>
                <w:sz w:val="20"/>
                <w:szCs w:val="52"/>
                <w:lang w:val="en-US"/>
              </w:rPr>
              <w:t>Naphthalene</w:t>
            </w:r>
          </w:p>
        </w:tc>
        <w:tc>
          <w:tcPr>
            <w:tcW w:w="1735" w:type="dxa"/>
            <w:vAlign w:val="center"/>
          </w:tcPr>
          <w:p w14:paraId="21915A3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03F5913" w14:textId="77777777" w:rsidR="002D0A3E" w:rsidRPr="001301D4" w:rsidRDefault="002D0A3E" w:rsidP="00E31CB4">
            <w:pPr>
              <w:jc w:val="center"/>
              <w:rPr>
                <w:sz w:val="20"/>
                <w:szCs w:val="20"/>
                <w:lang w:val="en-US"/>
              </w:rPr>
            </w:pPr>
            <w:r>
              <w:rPr>
                <w:sz w:val="20"/>
                <w:szCs w:val="20"/>
                <w:lang w:val="en-US"/>
              </w:rPr>
              <w:t>C</w:t>
            </w:r>
          </w:p>
        </w:tc>
        <w:tc>
          <w:tcPr>
            <w:tcW w:w="1772" w:type="dxa"/>
            <w:vAlign w:val="center"/>
          </w:tcPr>
          <w:p w14:paraId="794929A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D0FB1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A3E479A"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EFA3758" w14:textId="77777777" w:rsidTr="00E31CB4">
        <w:trPr>
          <w:trHeight w:val="237"/>
          <w:jc w:val="center"/>
        </w:trPr>
        <w:tc>
          <w:tcPr>
            <w:tcW w:w="3427" w:type="dxa"/>
            <w:vAlign w:val="center"/>
          </w:tcPr>
          <w:p w14:paraId="56B496DC" w14:textId="77777777" w:rsidR="002D0A3E" w:rsidRPr="001301D4" w:rsidRDefault="002D0A3E" w:rsidP="00E31CB4">
            <w:pPr>
              <w:jc w:val="center"/>
              <w:rPr>
                <w:sz w:val="20"/>
                <w:szCs w:val="20"/>
                <w:lang w:val="en-US"/>
              </w:rPr>
            </w:pPr>
            <w:r w:rsidRPr="001301D4">
              <w:rPr>
                <w:sz w:val="20"/>
                <w:szCs w:val="52"/>
                <w:lang w:val="en-US"/>
              </w:rPr>
              <w:t>1,4-Naphthoquinone</w:t>
            </w:r>
          </w:p>
        </w:tc>
        <w:tc>
          <w:tcPr>
            <w:tcW w:w="1735" w:type="dxa"/>
            <w:vAlign w:val="center"/>
          </w:tcPr>
          <w:p w14:paraId="690C5CB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A4E072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3E74B31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1E06557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740A6CB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0AE5913F" w14:textId="77777777" w:rsidTr="00E31CB4">
        <w:trPr>
          <w:trHeight w:val="237"/>
          <w:jc w:val="center"/>
        </w:trPr>
        <w:tc>
          <w:tcPr>
            <w:tcW w:w="3427" w:type="dxa"/>
            <w:vAlign w:val="center"/>
          </w:tcPr>
          <w:p w14:paraId="702A1D15" w14:textId="77777777" w:rsidR="002D0A3E" w:rsidRPr="001301D4" w:rsidRDefault="002D0A3E" w:rsidP="00E31CB4">
            <w:pPr>
              <w:jc w:val="center"/>
              <w:rPr>
                <w:sz w:val="20"/>
                <w:szCs w:val="20"/>
                <w:lang w:val="en-US"/>
              </w:rPr>
            </w:pPr>
            <w:r w:rsidRPr="001301D4">
              <w:rPr>
                <w:sz w:val="20"/>
                <w:szCs w:val="52"/>
                <w:lang w:val="en-US"/>
              </w:rPr>
              <w:t>Acenaphthylene</w:t>
            </w:r>
          </w:p>
        </w:tc>
        <w:tc>
          <w:tcPr>
            <w:tcW w:w="1735" w:type="dxa"/>
            <w:vAlign w:val="center"/>
          </w:tcPr>
          <w:p w14:paraId="1AAAA0F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EEE2B2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1F94D15"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40EEC0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0B81BABD" w14:textId="77777777" w:rsidR="002D0A3E" w:rsidRPr="001301D4" w:rsidRDefault="002D0A3E" w:rsidP="00E31CB4">
            <w:pPr>
              <w:jc w:val="center"/>
              <w:rPr>
                <w:sz w:val="20"/>
                <w:szCs w:val="20"/>
                <w:lang w:val="en-US"/>
              </w:rPr>
            </w:pPr>
            <w:r>
              <w:rPr>
                <w:sz w:val="20"/>
                <w:szCs w:val="20"/>
                <w:lang w:val="en-US"/>
              </w:rPr>
              <w:t>-</w:t>
            </w:r>
          </w:p>
        </w:tc>
      </w:tr>
      <w:tr w:rsidR="002D0A3E" w:rsidRPr="001301D4" w14:paraId="4B96505A" w14:textId="77777777" w:rsidTr="00E31CB4">
        <w:trPr>
          <w:trHeight w:val="237"/>
          <w:jc w:val="center"/>
        </w:trPr>
        <w:tc>
          <w:tcPr>
            <w:tcW w:w="3427" w:type="dxa"/>
            <w:vAlign w:val="center"/>
          </w:tcPr>
          <w:p w14:paraId="2401D449" w14:textId="77777777" w:rsidR="002D0A3E" w:rsidRPr="001301D4" w:rsidRDefault="002D0A3E" w:rsidP="00E31CB4">
            <w:pPr>
              <w:jc w:val="center"/>
              <w:rPr>
                <w:sz w:val="20"/>
                <w:szCs w:val="20"/>
                <w:lang w:val="en-US"/>
              </w:rPr>
            </w:pPr>
            <w:r w:rsidRPr="001301D4">
              <w:rPr>
                <w:sz w:val="20"/>
                <w:szCs w:val="52"/>
                <w:lang w:val="en-US"/>
              </w:rPr>
              <w:t>Acenaphthene</w:t>
            </w:r>
          </w:p>
        </w:tc>
        <w:tc>
          <w:tcPr>
            <w:tcW w:w="1735" w:type="dxa"/>
            <w:vAlign w:val="center"/>
          </w:tcPr>
          <w:p w14:paraId="7539C96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4F0B9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20E32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5AD760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A954573" w14:textId="77777777" w:rsidR="002D0A3E" w:rsidRPr="001301D4" w:rsidRDefault="002D0A3E" w:rsidP="00E31CB4">
            <w:pPr>
              <w:jc w:val="center"/>
              <w:rPr>
                <w:sz w:val="20"/>
                <w:szCs w:val="20"/>
                <w:lang w:val="en-US"/>
              </w:rPr>
            </w:pPr>
            <w:r>
              <w:rPr>
                <w:sz w:val="20"/>
                <w:szCs w:val="20"/>
                <w:lang w:val="en-US"/>
              </w:rPr>
              <w:t>-</w:t>
            </w:r>
          </w:p>
        </w:tc>
      </w:tr>
      <w:tr w:rsidR="002D0A3E" w:rsidRPr="001301D4" w14:paraId="514758AF" w14:textId="77777777" w:rsidTr="00E31CB4">
        <w:trPr>
          <w:trHeight w:val="237"/>
          <w:jc w:val="center"/>
        </w:trPr>
        <w:tc>
          <w:tcPr>
            <w:tcW w:w="3427" w:type="dxa"/>
            <w:vAlign w:val="center"/>
          </w:tcPr>
          <w:p w14:paraId="60956509" w14:textId="77777777" w:rsidR="002D0A3E" w:rsidRPr="001301D4" w:rsidRDefault="002D0A3E" w:rsidP="00E31CB4">
            <w:pPr>
              <w:jc w:val="center"/>
              <w:rPr>
                <w:sz w:val="20"/>
                <w:szCs w:val="20"/>
                <w:lang w:val="en-US"/>
              </w:rPr>
            </w:pPr>
            <w:r w:rsidRPr="001301D4">
              <w:rPr>
                <w:sz w:val="20"/>
                <w:szCs w:val="52"/>
                <w:lang w:val="en-US"/>
              </w:rPr>
              <w:t>Fluorene</w:t>
            </w:r>
          </w:p>
        </w:tc>
        <w:tc>
          <w:tcPr>
            <w:tcW w:w="1735" w:type="dxa"/>
            <w:vAlign w:val="center"/>
          </w:tcPr>
          <w:p w14:paraId="5E51EA07"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78BED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E28003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7F9D502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11943B5" w14:textId="77777777" w:rsidR="002D0A3E" w:rsidRPr="001301D4" w:rsidRDefault="002D0A3E" w:rsidP="00E31CB4">
            <w:pPr>
              <w:jc w:val="center"/>
              <w:rPr>
                <w:sz w:val="20"/>
                <w:szCs w:val="20"/>
                <w:lang w:val="en-US"/>
              </w:rPr>
            </w:pPr>
            <w:r>
              <w:rPr>
                <w:sz w:val="20"/>
                <w:szCs w:val="20"/>
                <w:lang w:val="en-US"/>
              </w:rPr>
              <w:t>-</w:t>
            </w:r>
          </w:p>
        </w:tc>
      </w:tr>
      <w:tr w:rsidR="002D0A3E" w:rsidRPr="001301D4" w14:paraId="5545A592" w14:textId="77777777" w:rsidTr="00E31CB4">
        <w:trPr>
          <w:trHeight w:val="237"/>
          <w:jc w:val="center"/>
        </w:trPr>
        <w:tc>
          <w:tcPr>
            <w:tcW w:w="3427" w:type="dxa"/>
            <w:vAlign w:val="center"/>
          </w:tcPr>
          <w:p w14:paraId="39221AED" w14:textId="77777777" w:rsidR="002D0A3E" w:rsidRPr="001301D4" w:rsidRDefault="002D0A3E" w:rsidP="00E31CB4">
            <w:pPr>
              <w:jc w:val="center"/>
              <w:rPr>
                <w:sz w:val="20"/>
                <w:szCs w:val="20"/>
                <w:lang w:val="en-US"/>
              </w:rPr>
            </w:pPr>
            <w:r w:rsidRPr="001301D4">
              <w:rPr>
                <w:sz w:val="20"/>
                <w:szCs w:val="20"/>
                <w:lang w:val="en-US"/>
              </w:rPr>
              <w:t>2-Nitrobiphenyl</w:t>
            </w:r>
          </w:p>
        </w:tc>
        <w:tc>
          <w:tcPr>
            <w:tcW w:w="1735" w:type="dxa"/>
            <w:vAlign w:val="center"/>
          </w:tcPr>
          <w:p w14:paraId="6C6FB86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502647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17D51EA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66056B9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78FE77C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93A1800" w14:textId="77777777" w:rsidTr="00E31CB4">
        <w:trPr>
          <w:trHeight w:val="237"/>
          <w:jc w:val="center"/>
        </w:trPr>
        <w:tc>
          <w:tcPr>
            <w:tcW w:w="3427" w:type="dxa"/>
            <w:vAlign w:val="center"/>
          </w:tcPr>
          <w:p w14:paraId="6BEDA62E" w14:textId="77777777" w:rsidR="002D0A3E" w:rsidRPr="001301D4" w:rsidRDefault="002D0A3E" w:rsidP="00E31CB4">
            <w:pPr>
              <w:jc w:val="center"/>
              <w:rPr>
                <w:sz w:val="20"/>
                <w:szCs w:val="20"/>
                <w:lang w:val="en-US"/>
              </w:rPr>
            </w:pPr>
            <w:r w:rsidRPr="001301D4">
              <w:rPr>
                <w:sz w:val="20"/>
                <w:szCs w:val="20"/>
                <w:lang w:val="en-US"/>
              </w:rPr>
              <w:t>Phenanthrene</w:t>
            </w:r>
          </w:p>
        </w:tc>
        <w:tc>
          <w:tcPr>
            <w:tcW w:w="1735" w:type="dxa"/>
            <w:vAlign w:val="center"/>
          </w:tcPr>
          <w:p w14:paraId="170D323E"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704D2D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EA4F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6F20C47"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ECDD390" w14:textId="77777777" w:rsidR="002D0A3E" w:rsidRPr="001301D4" w:rsidRDefault="002D0A3E" w:rsidP="00E31CB4">
            <w:pPr>
              <w:jc w:val="center"/>
              <w:rPr>
                <w:sz w:val="20"/>
                <w:szCs w:val="20"/>
                <w:lang w:val="en-US"/>
              </w:rPr>
            </w:pPr>
            <w:r>
              <w:rPr>
                <w:sz w:val="20"/>
                <w:szCs w:val="20"/>
                <w:lang w:val="en-US"/>
              </w:rPr>
              <w:t>-</w:t>
            </w:r>
          </w:p>
        </w:tc>
      </w:tr>
      <w:tr w:rsidR="002D0A3E" w:rsidRPr="001301D4" w14:paraId="3F0E9DAF" w14:textId="77777777" w:rsidTr="00E31CB4">
        <w:trPr>
          <w:trHeight w:val="237"/>
          <w:jc w:val="center"/>
        </w:trPr>
        <w:tc>
          <w:tcPr>
            <w:tcW w:w="3427" w:type="dxa"/>
            <w:vAlign w:val="center"/>
          </w:tcPr>
          <w:p w14:paraId="54B785ED" w14:textId="77777777" w:rsidR="002D0A3E" w:rsidRPr="001301D4" w:rsidRDefault="002D0A3E" w:rsidP="00E31CB4">
            <w:pPr>
              <w:jc w:val="center"/>
              <w:rPr>
                <w:sz w:val="20"/>
                <w:szCs w:val="20"/>
                <w:lang w:val="en-US"/>
              </w:rPr>
            </w:pPr>
            <w:r w:rsidRPr="001301D4">
              <w:rPr>
                <w:sz w:val="20"/>
                <w:szCs w:val="52"/>
                <w:lang w:val="en-US"/>
              </w:rPr>
              <w:t>Anthracene</w:t>
            </w:r>
          </w:p>
        </w:tc>
        <w:tc>
          <w:tcPr>
            <w:tcW w:w="1735" w:type="dxa"/>
            <w:vAlign w:val="center"/>
          </w:tcPr>
          <w:p w14:paraId="1F99AB5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654F051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23823C9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65A1C8E"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A064EEC" w14:textId="77777777" w:rsidR="002D0A3E" w:rsidRPr="001301D4" w:rsidRDefault="002D0A3E" w:rsidP="00E31CB4">
            <w:pPr>
              <w:jc w:val="center"/>
              <w:rPr>
                <w:sz w:val="20"/>
                <w:szCs w:val="20"/>
                <w:lang w:val="en-US"/>
              </w:rPr>
            </w:pPr>
            <w:r>
              <w:rPr>
                <w:sz w:val="20"/>
                <w:szCs w:val="20"/>
                <w:lang w:val="en-US"/>
              </w:rPr>
              <w:t>-</w:t>
            </w:r>
          </w:p>
        </w:tc>
      </w:tr>
      <w:tr w:rsidR="002D0A3E" w:rsidRPr="001301D4" w14:paraId="627C61EE" w14:textId="77777777" w:rsidTr="00E31CB4">
        <w:trPr>
          <w:trHeight w:val="237"/>
          <w:jc w:val="center"/>
        </w:trPr>
        <w:tc>
          <w:tcPr>
            <w:tcW w:w="3427" w:type="dxa"/>
            <w:vAlign w:val="center"/>
          </w:tcPr>
          <w:p w14:paraId="2EC41645" w14:textId="77777777" w:rsidR="002D0A3E" w:rsidRPr="001301D4" w:rsidRDefault="002D0A3E" w:rsidP="00E31CB4">
            <w:pPr>
              <w:jc w:val="center"/>
              <w:rPr>
                <w:sz w:val="20"/>
                <w:szCs w:val="20"/>
                <w:lang w:val="en-US"/>
              </w:rPr>
            </w:pPr>
            <w:r w:rsidRPr="001301D4">
              <w:rPr>
                <w:sz w:val="20"/>
                <w:szCs w:val="52"/>
                <w:lang w:val="en-US"/>
              </w:rPr>
              <w:t>5-Nitroacenaphthene</w:t>
            </w:r>
          </w:p>
        </w:tc>
        <w:tc>
          <w:tcPr>
            <w:tcW w:w="1735" w:type="dxa"/>
            <w:vAlign w:val="center"/>
          </w:tcPr>
          <w:p w14:paraId="33972AC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951331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4B20E90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8992AF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712ACC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66DDE026" w14:textId="77777777" w:rsidTr="00E31CB4">
        <w:trPr>
          <w:trHeight w:val="237"/>
          <w:jc w:val="center"/>
        </w:trPr>
        <w:tc>
          <w:tcPr>
            <w:tcW w:w="3427" w:type="dxa"/>
            <w:vAlign w:val="center"/>
          </w:tcPr>
          <w:p w14:paraId="58C5D468" w14:textId="77777777" w:rsidR="002D0A3E" w:rsidRPr="001301D4" w:rsidRDefault="002D0A3E" w:rsidP="00E31CB4">
            <w:pPr>
              <w:jc w:val="center"/>
              <w:rPr>
                <w:sz w:val="20"/>
                <w:szCs w:val="20"/>
                <w:lang w:val="en-US"/>
              </w:rPr>
            </w:pPr>
            <w:r w:rsidRPr="001301D4">
              <w:rPr>
                <w:sz w:val="20"/>
                <w:szCs w:val="52"/>
                <w:lang w:val="en-US"/>
              </w:rPr>
              <w:t>Fluoranthene</w:t>
            </w:r>
          </w:p>
        </w:tc>
        <w:tc>
          <w:tcPr>
            <w:tcW w:w="1735" w:type="dxa"/>
            <w:vAlign w:val="center"/>
          </w:tcPr>
          <w:p w14:paraId="387277AB"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A65A574"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48890DC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CE3A0A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971A6E" w14:textId="77777777" w:rsidR="002D0A3E" w:rsidRPr="001301D4" w:rsidRDefault="002D0A3E" w:rsidP="00E31CB4">
            <w:pPr>
              <w:jc w:val="center"/>
              <w:rPr>
                <w:sz w:val="20"/>
                <w:szCs w:val="20"/>
                <w:lang w:val="en-US"/>
              </w:rPr>
            </w:pPr>
            <w:r>
              <w:rPr>
                <w:sz w:val="20"/>
                <w:szCs w:val="20"/>
                <w:lang w:val="en-US"/>
              </w:rPr>
              <w:t>-</w:t>
            </w:r>
          </w:p>
        </w:tc>
      </w:tr>
      <w:tr w:rsidR="002D0A3E" w:rsidRPr="001301D4" w14:paraId="41305C3B" w14:textId="77777777" w:rsidTr="00E31CB4">
        <w:trPr>
          <w:trHeight w:val="237"/>
          <w:jc w:val="center"/>
        </w:trPr>
        <w:tc>
          <w:tcPr>
            <w:tcW w:w="3427" w:type="dxa"/>
            <w:vAlign w:val="center"/>
          </w:tcPr>
          <w:p w14:paraId="68ED0B1D" w14:textId="77777777" w:rsidR="002D0A3E" w:rsidRPr="001301D4" w:rsidRDefault="002D0A3E" w:rsidP="00E31CB4">
            <w:pPr>
              <w:jc w:val="center"/>
              <w:rPr>
                <w:sz w:val="20"/>
                <w:szCs w:val="20"/>
                <w:lang w:val="en-US"/>
              </w:rPr>
            </w:pPr>
            <w:r w:rsidRPr="001301D4">
              <w:rPr>
                <w:sz w:val="20"/>
                <w:szCs w:val="20"/>
                <w:lang w:val="en-US"/>
              </w:rPr>
              <w:t>2-Nitrofluorene</w:t>
            </w:r>
          </w:p>
        </w:tc>
        <w:tc>
          <w:tcPr>
            <w:tcW w:w="1735" w:type="dxa"/>
            <w:vAlign w:val="center"/>
          </w:tcPr>
          <w:p w14:paraId="68D0344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6731C8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91952FC"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3B916A6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54AB0D7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446CDAB3" w14:textId="77777777" w:rsidTr="00E31CB4">
        <w:trPr>
          <w:trHeight w:val="237"/>
          <w:jc w:val="center"/>
        </w:trPr>
        <w:tc>
          <w:tcPr>
            <w:tcW w:w="3427" w:type="dxa"/>
            <w:vAlign w:val="center"/>
          </w:tcPr>
          <w:p w14:paraId="774F20A4" w14:textId="77777777" w:rsidR="002D0A3E" w:rsidRPr="001301D4" w:rsidRDefault="002D0A3E" w:rsidP="00E31CB4">
            <w:pPr>
              <w:jc w:val="center"/>
              <w:rPr>
                <w:sz w:val="20"/>
                <w:szCs w:val="20"/>
                <w:lang w:val="en-US"/>
              </w:rPr>
            </w:pPr>
            <w:r w:rsidRPr="001301D4">
              <w:rPr>
                <w:sz w:val="20"/>
                <w:szCs w:val="52"/>
                <w:lang w:val="en-US"/>
              </w:rPr>
              <w:t>Pyrene</w:t>
            </w:r>
          </w:p>
        </w:tc>
        <w:tc>
          <w:tcPr>
            <w:tcW w:w="1735" w:type="dxa"/>
            <w:vAlign w:val="center"/>
          </w:tcPr>
          <w:p w14:paraId="31A4324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29D3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6B676F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0FEA45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F3A0CE" w14:textId="77777777" w:rsidR="002D0A3E" w:rsidRPr="001301D4" w:rsidRDefault="002D0A3E" w:rsidP="00E31CB4">
            <w:pPr>
              <w:jc w:val="center"/>
              <w:rPr>
                <w:sz w:val="20"/>
                <w:szCs w:val="20"/>
                <w:lang w:val="en-US"/>
              </w:rPr>
            </w:pPr>
            <w:r>
              <w:rPr>
                <w:sz w:val="20"/>
                <w:szCs w:val="20"/>
                <w:lang w:val="en-US"/>
              </w:rPr>
              <w:t>-</w:t>
            </w:r>
          </w:p>
        </w:tc>
      </w:tr>
      <w:tr w:rsidR="002D0A3E" w:rsidRPr="001301D4" w14:paraId="03E29386" w14:textId="77777777" w:rsidTr="00E31CB4">
        <w:trPr>
          <w:trHeight w:val="237"/>
          <w:jc w:val="center"/>
        </w:trPr>
        <w:tc>
          <w:tcPr>
            <w:tcW w:w="3427" w:type="dxa"/>
            <w:vAlign w:val="center"/>
          </w:tcPr>
          <w:p w14:paraId="1F0ED308" w14:textId="77777777" w:rsidR="002D0A3E" w:rsidRPr="001301D4" w:rsidRDefault="002D0A3E" w:rsidP="00E31CB4">
            <w:pPr>
              <w:jc w:val="center"/>
              <w:rPr>
                <w:sz w:val="20"/>
                <w:szCs w:val="20"/>
                <w:lang w:val="en-US"/>
              </w:rPr>
            </w:pPr>
            <w:r w:rsidRPr="001301D4">
              <w:rPr>
                <w:sz w:val="20"/>
                <w:szCs w:val="20"/>
                <w:lang w:val="en-US"/>
              </w:rPr>
              <w:t>9,10-Phenanthrenequinone</w:t>
            </w:r>
          </w:p>
        </w:tc>
        <w:tc>
          <w:tcPr>
            <w:tcW w:w="1735" w:type="dxa"/>
            <w:vAlign w:val="center"/>
          </w:tcPr>
          <w:p w14:paraId="16C290C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4138147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1F7585E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A9EA7A3"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392055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F308145" w14:textId="77777777" w:rsidTr="00E31CB4">
        <w:trPr>
          <w:trHeight w:val="251"/>
          <w:jc w:val="center"/>
        </w:trPr>
        <w:tc>
          <w:tcPr>
            <w:tcW w:w="3427" w:type="dxa"/>
            <w:vAlign w:val="center"/>
          </w:tcPr>
          <w:p w14:paraId="26423DC5" w14:textId="77777777" w:rsidR="002D0A3E" w:rsidRPr="001301D4" w:rsidRDefault="002D0A3E" w:rsidP="00E31CB4">
            <w:pPr>
              <w:jc w:val="center"/>
              <w:rPr>
                <w:sz w:val="20"/>
                <w:szCs w:val="20"/>
                <w:lang w:val="en-US"/>
              </w:rPr>
            </w:pPr>
            <w:proofErr w:type="spellStart"/>
            <w:r w:rsidRPr="001301D4">
              <w:rPr>
                <w:sz w:val="20"/>
                <w:szCs w:val="20"/>
                <w:lang w:val="en-US"/>
              </w:rPr>
              <w:t>Retene</w:t>
            </w:r>
            <w:proofErr w:type="spellEnd"/>
          </w:p>
        </w:tc>
        <w:tc>
          <w:tcPr>
            <w:tcW w:w="1735" w:type="dxa"/>
            <w:vAlign w:val="center"/>
          </w:tcPr>
          <w:p w14:paraId="564869F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3316C3F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0B687EE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2D9F34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E57F3C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5F0F0052" w14:textId="77777777" w:rsidTr="00E31CB4">
        <w:trPr>
          <w:trHeight w:val="237"/>
          <w:jc w:val="center"/>
        </w:trPr>
        <w:tc>
          <w:tcPr>
            <w:tcW w:w="3427" w:type="dxa"/>
            <w:vAlign w:val="center"/>
          </w:tcPr>
          <w:p w14:paraId="12DC1BB2" w14:textId="77777777" w:rsidR="002D0A3E" w:rsidRPr="001301D4" w:rsidRDefault="002D0A3E" w:rsidP="00E31CB4">
            <w:pPr>
              <w:jc w:val="center"/>
              <w:rPr>
                <w:sz w:val="20"/>
                <w:szCs w:val="20"/>
                <w:lang w:val="en-US"/>
              </w:rPr>
            </w:pPr>
            <w:r w:rsidRPr="001301D4">
              <w:rPr>
                <w:sz w:val="20"/>
                <w:szCs w:val="20"/>
                <w:lang w:val="en-US"/>
              </w:rPr>
              <w:t>9-Nitrophenanthrene</w:t>
            </w:r>
          </w:p>
        </w:tc>
        <w:tc>
          <w:tcPr>
            <w:tcW w:w="1735" w:type="dxa"/>
            <w:vAlign w:val="center"/>
          </w:tcPr>
          <w:p w14:paraId="211F372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593DBE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468667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42ECD0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527B4B9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77C2FF76" w14:textId="77777777" w:rsidTr="00E31CB4">
        <w:trPr>
          <w:trHeight w:val="237"/>
          <w:jc w:val="center"/>
        </w:trPr>
        <w:tc>
          <w:tcPr>
            <w:tcW w:w="3427" w:type="dxa"/>
            <w:vAlign w:val="center"/>
          </w:tcPr>
          <w:p w14:paraId="5D8C3349" w14:textId="77777777" w:rsidR="002D0A3E" w:rsidRPr="001301D4" w:rsidRDefault="002D0A3E" w:rsidP="00E31CB4">
            <w:pPr>
              <w:jc w:val="center"/>
              <w:rPr>
                <w:sz w:val="20"/>
                <w:szCs w:val="20"/>
                <w:lang w:val="en-US"/>
              </w:rPr>
            </w:pPr>
            <w:r w:rsidRPr="001301D4">
              <w:rPr>
                <w:sz w:val="20"/>
                <w:szCs w:val="20"/>
                <w:lang w:val="en-US"/>
              </w:rPr>
              <w:t>9-Nitroantracene</w:t>
            </w:r>
          </w:p>
        </w:tc>
        <w:tc>
          <w:tcPr>
            <w:tcW w:w="1735" w:type="dxa"/>
            <w:vAlign w:val="center"/>
          </w:tcPr>
          <w:p w14:paraId="66986E2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0C5D67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40C0302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28030043"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62DD7F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0D124A33" w14:textId="77777777" w:rsidTr="00E31CB4">
        <w:trPr>
          <w:trHeight w:val="237"/>
          <w:jc w:val="center"/>
        </w:trPr>
        <w:tc>
          <w:tcPr>
            <w:tcW w:w="3427" w:type="dxa"/>
            <w:vAlign w:val="center"/>
          </w:tcPr>
          <w:p w14:paraId="0ECF3ED1"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]fluorenone</w:t>
            </w:r>
          </w:p>
        </w:tc>
        <w:tc>
          <w:tcPr>
            <w:tcW w:w="1735" w:type="dxa"/>
            <w:vAlign w:val="center"/>
          </w:tcPr>
          <w:p w14:paraId="3FA98F9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66F6B8D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221E35A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BFBF7F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0C64AB7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194DCA39" w14:textId="77777777" w:rsidTr="00E31CB4">
        <w:trPr>
          <w:trHeight w:val="237"/>
          <w:jc w:val="center"/>
        </w:trPr>
        <w:tc>
          <w:tcPr>
            <w:tcW w:w="3427" w:type="dxa"/>
            <w:vAlign w:val="center"/>
          </w:tcPr>
          <w:p w14:paraId="11B53DD4"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]anthracene</w:t>
            </w:r>
          </w:p>
        </w:tc>
        <w:tc>
          <w:tcPr>
            <w:tcW w:w="1735" w:type="dxa"/>
            <w:vAlign w:val="center"/>
          </w:tcPr>
          <w:p w14:paraId="7111A370"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CB7ED15"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470F1FF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2A49F856"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2C8B82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755D00AB" w14:textId="77777777" w:rsidTr="00E31CB4">
        <w:trPr>
          <w:trHeight w:val="237"/>
          <w:jc w:val="center"/>
        </w:trPr>
        <w:tc>
          <w:tcPr>
            <w:tcW w:w="3427" w:type="dxa"/>
            <w:vAlign w:val="center"/>
          </w:tcPr>
          <w:p w14:paraId="5853B191" w14:textId="77777777" w:rsidR="002D0A3E" w:rsidRPr="001301D4" w:rsidRDefault="002D0A3E" w:rsidP="00E31CB4">
            <w:pPr>
              <w:jc w:val="center"/>
              <w:rPr>
                <w:sz w:val="20"/>
                <w:szCs w:val="20"/>
                <w:lang w:val="en-US"/>
              </w:rPr>
            </w:pPr>
            <w:r w:rsidRPr="001301D4">
              <w:rPr>
                <w:sz w:val="20"/>
                <w:szCs w:val="20"/>
                <w:lang w:val="en-US"/>
              </w:rPr>
              <w:t>Chrysene</w:t>
            </w:r>
          </w:p>
        </w:tc>
        <w:tc>
          <w:tcPr>
            <w:tcW w:w="1735" w:type="dxa"/>
            <w:vAlign w:val="center"/>
          </w:tcPr>
          <w:p w14:paraId="1DCFDEBF"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AA0FB69"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1CD9C390"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69302BAC"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0866CF"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5C3BB224" w14:textId="77777777" w:rsidTr="00E31CB4">
        <w:trPr>
          <w:trHeight w:val="237"/>
          <w:jc w:val="center"/>
        </w:trPr>
        <w:tc>
          <w:tcPr>
            <w:tcW w:w="3427" w:type="dxa"/>
            <w:vAlign w:val="center"/>
          </w:tcPr>
          <w:p w14:paraId="0BEF8880" w14:textId="77777777" w:rsidR="002D0A3E" w:rsidRPr="001301D4" w:rsidRDefault="002D0A3E" w:rsidP="00E31CB4">
            <w:pPr>
              <w:jc w:val="center"/>
              <w:rPr>
                <w:sz w:val="20"/>
                <w:szCs w:val="20"/>
                <w:lang w:val="en-US"/>
              </w:rPr>
            </w:pPr>
            <w:r w:rsidRPr="001301D4">
              <w:rPr>
                <w:sz w:val="20"/>
                <w:szCs w:val="20"/>
                <w:lang w:val="en-US"/>
              </w:rPr>
              <w:t>1-Nitropyrene</w:t>
            </w:r>
          </w:p>
        </w:tc>
        <w:tc>
          <w:tcPr>
            <w:tcW w:w="1735" w:type="dxa"/>
            <w:vAlign w:val="center"/>
          </w:tcPr>
          <w:p w14:paraId="7F544B05" w14:textId="77777777" w:rsidR="002D0A3E" w:rsidRPr="001301D4" w:rsidRDefault="002D0A3E" w:rsidP="00E31CB4">
            <w:pPr>
              <w:jc w:val="center"/>
              <w:rPr>
                <w:sz w:val="20"/>
                <w:szCs w:val="20"/>
                <w:lang w:val="en-US"/>
              </w:rPr>
            </w:pPr>
            <w:r>
              <w:rPr>
                <w:sz w:val="20"/>
                <w:szCs w:val="20"/>
                <w:lang w:val="en-US"/>
              </w:rPr>
              <w:t>2A</w:t>
            </w:r>
          </w:p>
        </w:tc>
        <w:tc>
          <w:tcPr>
            <w:tcW w:w="2375" w:type="dxa"/>
            <w:vAlign w:val="center"/>
          </w:tcPr>
          <w:p w14:paraId="5FCF0BA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24FFFEA2"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0BD86053"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06F410F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61F61585" w14:textId="77777777" w:rsidTr="00E31CB4">
        <w:trPr>
          <w:trHeight w:val="237"/>
          <w:jc w:val="center"/>
        </w:trPr>
        <w:tc>
          <w:tcPr>
            <w:tcW w:w="3427" w:type="dxa"/>
            <w:vAlign w:val="center"/>
          </w:tcPr>
          <w:p w14:paraId="792DE3D2"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b</w:t>
            </w:r>
            <w:r w:rsidRPr="001301D4">
              <w:rPr>
                <w:sz w:val="20"/>
                <w:szCs w:val="20"/>
                <w:lang w:val="en-US"/>
              </w:rPr>
              <w:t>]fluoranthene</w:t>
            </w:r>
          </w:p>
        </w:tc>
        <w:tc>
          <w:tcPr>
            <w:tcW w:w="1735" w:type="dxa"/>
            <w:vAlign w:val="center"/>
          </w:tcPr>
          <w:p w14:paraId="7089D9D6"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7376CBF8"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2F7BD23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3C3C8230"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5B4F17"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4335759E" w14:textId="77777777" w:rsidTr="00E31CB4">
        <w:trPr>
          <w:trHeight w:val="237"/>
          <w:jc w:val="center"/>
        </w:trPr>
        <w:tc>
          <w:tcPr>
            <w:tcW w:w="3427" w:type="dxa"/>
            <w:vAlign w:val="center"/>
          </w:tcPr>
          <w:p w14:paraId="38A48C5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k</w:t>
            </w:r>
            <w:r w:rsidRPr="001301D4">
              <w:rPr>
                <w:sz w:val="20"/>
                <w:szCs w:val="20"/>
                <w:lang w:val="en-US"/>
              </w:rPr>
              <w:t>]fluoranthene</w:t>
            </w:r>
          </w:p>
        </w:tc>
        <w:tc>
          <w:tcPr>
            <w:tcW w:w="1735" w:type="dxa"/>
            <w:vAlign w:val="center"/>
          </w:tcPr>
          <w:p w14:paraId="1BA9F86C"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2AC0DE4"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7D9DC8AE"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2928A7C9"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17B98524"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2354275C" w14:textId="77777777" w:rsidTr="00E31CB4">
        <w:trPr>
          <w:trHeight w:val="237"/>
          <w:jc w:val="center"/>
        </w:trPr>
        <w:tc>
          <w:tcPr>
            <w:tcW w:w="3427" w:type="dxa"/>
            <w:vAlign w:val="center"/>
          </w:tcPr>
          <w:p w14:paraId="74EE096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e</w:t>
            </w:r>
            <w:r w:rsidRPr="001301D4">
              <w:rPr>
                <w:sz w:val="20"/>
                <w:szCs w:val="20"/>
                <w:lang w:val="en-US"/>
              </w:rPr>
              <w:t>]pyrene</w:t>
            </w:r>
          </w:p>
        </w:tc>
        <w:tc>
          <w:tcPr>
            <w:tcW w:w="1735" w:type="dxa"/>
            <w:vAlign w:val="center"/>
          </w:tcPr>
          <w:p w14:paraId="6AECDBC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BB7AC2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7054CFD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00B6BD0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7D7F9A6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7C48F2D2" w14:textId="77777777" w:rsidTr="00E31CB4">
        <w:trPr>
          <w:trHeight w:val="237"/>
          <w:jc w:val="center"/>
        </w:trPr>
        <w:tc>
          <w:tcPr>
            <w:tcW w:w="3427" w:type="dxa"/>
            <w:vAlign w:val="center"/>
          </w:tcPr>
          <w:p w14:paraId="6E76B8AE"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]pyrene</w:t>
            </w:r>
          </w:p>
        </w:tc>
        <w:tc>
          <w:tcPr>
            <w:tcW w:w="1735" w:type="dxa"/>
            <w:vAlign w:val="center"/>
          </w:tcPr>
          <w:p w14:paraId="5B97D742"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6B29D61E"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3F082041" w14:textId="77777777" w:rsidR="002D0A3E" w:rsidRPr="001301D4" w:rsidRDefault="002D0A3E" w:rsidP="00E31CB4">
            <w:pPr>
              <w:jc w:val="center"/>
              <w:rPr>
                <w:sz w:val="20"/>
                <w:szCs w:val="20"/>
                <w:lang w:val="en-US"/>
              </w:rPr>
            </w:pPr>
            <w:r>
              <w:rPr>
                <w:sz w:val="20"/>
                <w:szCs w:val="20"/>
                <w:lang w:val="en-US"/>
              </w:rPr>
              <w:t>M</w:t>
            </w:r>
          </w:p>
        </w:tc>
        <w:tc>
          <w:tcPr>
            <w:tcW w:w="2500" w:type="dxa"/>
            <w:vAlign w:val="center"/>
          </w:tcPr>
          <w:p w14:paraId="35CA320F" w14:textId="77777777" w:rsidR="002D0A3E" w:rsidRPr="001301D4" w:rsidRDefault="002D0A3E" w:rsidP="00E31CB4">
            <w:pPr>
              <w:jc w:val="center"/>
              <w:rPr>
                <w:sz w:val="20"/>
                <w:szCs w:val="20"/>
                <w:lang w:val="en-US"/>
              </w:rPr>
            </w:pPr>
            <w:r>
              <w:rPr>
                <w:sz w:val="20"/>
                <w:szCs w:val="20"/>
                <w:lang w:val="en-US"/>
              </w:rPr>
              <w:t>CH</w:t>
            </w:r>
          </w:p>
        </w:tc>
        <w:tc>
          <w:tcPr>
            <w:tcW w:w="1996" w:type="dxa"/>
            <w:vAlign w:val="center"/>
          </w:tcPr>
          <w:p w14:paraId="28EF3820" w14:textId="77777777" w:rsidR="002D0A3E" w:rsidRPr="001301D4" w:rsidRDefault="002D0A3E" w:rsidP="00E31CB4">
            <w:pPr>
              <w:jc w:val="center"/>
              <w:rPr>
                <w:sz w:val="20"/>
                <w:szCs w:val="20"/>
                <w:lang w:val="en-US"/>
              </w:rPr>
            </w:pPr>
            <w:r>
              <w:rPr>
                <w:sz w:val="20"/>
                <w:szCs w:val="20"/>
                <w:lang w:val="en-US"/>
              </w:rPr>
              <w:t>M</w:t>
            </w:r>
          </w:p>
        </w:tc>
      </w:tr>
      <w:tr w:rsidR="002D0A3E" w:rsidRPr="00B868C7" w14:paraId="28392FFB" w14:textId="77777777" w:rsidTr="00E31CB4">
        <w:trPr>
          <w:trHeight w:val="237"/>
          <w:jc w:val="center"/>
        </w:trPr>
        <w:tc>
          <w:tcPr>
            <w:tcW w:w="3427" w:type="dxa"/>
            <w:vAlign w:val="center"/>
          </w:tcPr>
          <w:p w14:paraId="15986245" w14:textId="77777777" w:rsidR="002D0A3E" w:rsidRPr="001301D4" w:rsidRDefault="002D0A3E" w:rsidP="00E31CB4">
            <w:pPr>
              <w:jc w:val="center"/>
              <w:rPr>
                <w:sz w:val="20"/>
                <w:szCs w:val="20"/>
                <w:lang w:val="en-US"/>
              </w:rPr>
            </w:pPr>
            <w:r w:rsidRPr="001301D4">
              <w:rPr>
                <w:sz w:val="20"/>
                <w:szCs w:val="20"/>
                <w:lang w:val="en-US"/>
              </w:rPr>
              <w:t>6H-Benzo[</w:t>
            </w:r>
            <w:r w:rsidRPr="001301D4">
              <w:rPr>
                <w:i/>
                <w:iCs/>
                <w:sz w:val="20"/>
                <w:szCs w:val="20"/>
                <w:lang w:val="en-US"/>
              </w:rPr>
              <w:t>cd</w:t>
            </w:r>
            <w:r w:rsidRPr="001301D4">
              <w:rPr>
                <w:sz w:val="20"/>
                <w:szCs w:val="20"/>
                <w:lang w:val="en-US"/>
              </w:rPr>
              <w:t>]pyren-6-one</w:t>
            </w:r>
          </w:p>
        </w:tc>
        <w:tc>
          <w:tcPr>
            <w:tcW w:w="1735" w:type="dxa"/>
            <w:vAlign w:val="center"/>
          </w:tcPr>
          <w:p w14:paraId="11FEADD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725FAA2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B0EA77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5C3AE38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5A37C2C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A96271B" w14:textId="77777777" w:rsidTr="00E31CB4">
        <w:trPr>
          <w:trHeight w:val="237"/>
          <w:jc w:val="center"/>
        </w:trPr>
        <w:tc>
          <w:tcPr>
            <w:tcW w:w="3427" w:type="dxa"/>
            <w:vAlign w:val="center"/>
          </w:tcPr>
          <w:p w14:paraId="34F26D2D" w14:textId="77777777" w:rsidR="002D0A3E" w:rsidRPr="001301D4" w:rsidRDefault="002D0A3E" w:rsidP="00E31CB4">
            <w:pPr>
              <w:jc w:val="center"/>
              <w:rPr>
                <w:sz w:val="20"/>
                <w:szCs w:val="20"/>
                <w:lang w:val="en-US"/>
              </w:rPr>
            </w:pPr>
            <w:proofErr w:type="spellStart"/>
            <w:r w:rsidRPr="001301D4">
              <w:rPr>
                <w:sz w:val="20"/>
                <w:szCs w:val="20"/>
                <w:lang w:val="en-US"/>
              </w:rPr>
              <w:t>Indeno</w:t>
            </w:r>
            <w:proofErr w:type="spellEnd"/>
            <w:r w:rsidRPr="001301D4">
              <w:rPr>
                <w:sz w:val="20"/>
                <w:szCs w:val="20"/>
                <w:lang w:val="en-US"/>
              </w:rPr>
              <w:t>[1,2,3-</w:t>
            </w:r>
            <w:proofErr w:type="gramStart"/>
            <w:r w:rsidRPr="001301D4">
              <w:rPr>
                <w:i/>
                <w:iCs/>
                <w:sz w:val="20"/>
                <w:szCs w:val="20"/>
                <w:lang w:val="en-US"/>
              </w:rPr>
              <w:t>cd</w:t>
            </w:r>
            <w:r w:rsidRPr="001301D4">
              <w:rPr>
                <w:sz w:val="20"/>
                <w:szCs w:val="20"/>
                <w:lang w:val="en-US"/>
              </w:rPr>
              <w:t>]pyrene</w:t>
            </w:r>
            <w:proofErr w:type="gramEnd"/>
          </w:p>
        </w:tc>
        <w:tc>
          <w:tcPr>
            <w:tcW w:w="1735" w:type="dxa"/>
            <w:vAlign w:val="center"/>
          </w:tcPr>
          <w:p w14:paraId="53532BA4"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38BE19AE"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6FEBFFA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4BBB828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38B85BA"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1E20A3D2" w14:textId="77777777" w:rsidTr="00E31CB4">
        <w:trPr>
          <w:trHeight w:val="237"/>
          <w:jc w:val="center"/>
        </w:trPr>
        <w:tc>
          <w:tcPr>
            <w:tcW w:w="3427" w:type="dxa"/>
            <w:vAlign w:val="center"/>
          </w:tcPr>
          <w:p w14:paraId="7D671E6E" w14:textId="77777777" w:rsidR="002D0A3E" w:rsidRPr="001301D4" w:rsidRDefault="002D0A3E" w:rsidP="00E31CB4">
            <w:pPr>
              <w:jc w:val="center"/>
              <w:rPr>
                <w:sz w:val="20"/>
                <w:szCs w:val="20"/>
                <w:lang w:val="en-US"/>
              </w:rPr>
            </w:pPr>
            <w:r w:rsidRPr="001301D4">
              <w:rPr>
                <w:sz w:val="20"/>
                <w:szCs w:val="20"/>
                <w:lang w:val="en-US"/>
              </w:rPr>
              <w:t>6-Nitrobenzo[</w:t>
            </w:r>
            <w:r w:rsidRPr="001301D4">
              <w:rPr>
                <w:i/>
                <w:iCs/>
                <w:sz w:val="20"/>
                <w:szCs w:val="20"/>
                <w:lang w:val="en-US"/>
              </w:rPr>
              <w:t>a</w:t>
            </w:r>
            <w:r w:rsidRPr="001301D4">
              <w:rPr>
                <w:sz w:val="20"/>
                <w:szCs w:val="20"/>
                <w:lang w:val="en-US"/>
              </w:rPr>
              <w:t>]pyrene</w:t>
            </w:r>
          </w:p>
        </w:tc>
        <w:tc>
          <w:tcPr>
            <w:tcW w:w="1735" w:type="dxa"/>
            <w:vAlign w:val="center"/>
          </w:tcPr>
          <w:p w14:paraId="78076A2D"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F81493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2DE3A3F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11162FC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B3367C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FC4FD7" w:rsidRPr="001301D4" w14:paraId="1D0AF853" w14:textId="77777777" w:rsidTr="00E31CB4">
        <w:trPr>
          <w:trHeight w:val="237"/>
          <w:jc w:val="center"/>
        </w:trPr>
        <w:tc>
          <w:tcPr>
            <w:tcW w:w="3427" w:type="dxa"/>
            <w:vAlign w:val="center"/>
          </w:tcPr>
          <w:p w14:paraId="206C5B01" w14:textId="29FE0D67" w:rsidR="00FC4FD7" w:rsidRPr="001301D4" w:rsidRDefault="00FC4FD7" w:rsidP="00FC4FD7">
            <w:pPr>
              <w:jc w:val="center"/>
              <w:rPr>
                <w:sz w:val="20"/>
                <w:szCs w:val="20"/>
                <w:lang w:val="en-US"/>
              </w:rPr>
            </w:pPr>
            <w:proofErr w:type="spellStart"/>
            <w:r w:rsidRPr="001301D4">
              <w:rPr>
                <w:sz w:val="20"/>
                <w:szCs w:val="20"/>
                <w:lang w:val="en-US"/>
              </w:rPr>
              <w:t>Dibenz</w:t>
            </w:r>
            <w:proofErr w:type="spellEnd"/>
            <w:r w:rsidRPr="001301D4">
              <w:rPr>
                <w:sz w:val="20"/>
                <w:szCs w:val="20"/>
                <w:lang w:val="en-US"/>
              </w:rPr>
              <w:t>[</w:t>
            </w:r>
            <w:proofErr w:type="spellStart"/>
            <w:proofErr w:type="gramStart"/>
            <w:r w:rsidRPr="001301D4">
              <w:rPr>
                <w:i/>
                <w:iCs/>
                <w:sz w:val="20"/>
                <w:szCs w:val="20"/>
                <w:lang w:val="en-US"/>
              </w:rPr>
              <w:t>a</w:t>
            </w:r>
            <w:r w:rsidRPr="001301D4">
              <w:rPr>
                <w:sz w:val="20"/>
                <w:szCs w:val="20"/>
                <w:lang w:val="en-US"/>
              </w:rPr>
              <w:t>,</w:t>
            </w:r>
            <w:r w:rsidRPr="001301D4">
              <w:rPr>
                <w:i/>
                <w:iCs/>
                <w:sz w:val="20"/>
                <w:szCs w:val="20"/>
                <w:lang w:val="en-US"/>
              </w:rPr>
              <w:t>h</w:t>
            </w:r>
            <w:proofErr w:type="spellEnd"/>
            <w:proofErr w:type="gramEnd"/>
            <w:r w:rsidRPr="001301D4">
              <w:rPr>
                <w:sz w:val="20"/>
                <w:szCs w:val="20"/>
                <w:lang w:val="en-US"/>
              </w:rPr>
              <w:t>]anthracene</w:t>
            </w:r>
          </w:p>
        </w:tc>
        <w:tc>
          <w:tcPr>
            <w:tcW w:w="1735" w:type="dxa"/>
            <w:vAlign w:val="center"/>
          </w:tcPr>
          <w:p w14:paraId="77EC0A41" w14:textId="1254FBF7" w:rsidR="00FC4FD7" w:rsidRDefault="00FC4FD7" w:rsidP="00FC4FD7">
            <w:pPr>
              <w:jc w:val="center"/>
              <w:rPr>
                <w:sz w:val="20"/>
                <w:szCs w:val="20"/>
                <w:lang w:val="en-US"/>
              </w:rPr>
            </w:pPr>
            <w:r>
              <w:rPr>
                <w:sz w:val="20"/>
                <w:szCs w:val="20"/>
                <w:lang w:val="en-US"/>
              </w:rPr>
              <w:t>2A</w:t>
            </w:r>
          </w:p>
        </w:tc>
        <w:tc>
          <w:tcPr>
            <w:tcW w:w="2375" w:type="dxa"/>
            <w:vAlign w:val="center"/>
          </w:tcPr>
          <w:p w14:paraId="35525819" w14:textId="6152FA83" w:rsidR="00FC4FD7" w:rsidRDefault="00FC4FD7" w:rsidP="00FC4FD7">
            <w:pPr>
              <w:jc w:val="center"/>
              <w:rPr>
                <w:sz w:val="20"/>
                <w:szCs w:val="20"/>
                <w:lang w:val="en-US"/>
              </w:rPr>
            </w:pPr>
            <w:r>
              <w:rPr>
                <w:sz w:val="20"/>
                <w:szCs w:val="20"/>
                <w:lang w:val="en-US"/>
              </w:rPr>
              <w:t>B2</w:t>
            </w:r>
          </w:p>
        </w:tc>
        <w:tc>
          <w:tcPr>
            <w:tcW w:w="1772" w:type="dxa"/>
            <w:vAlign w:val="center"/>
          </w:tcPr>
          <w:p w14:paraId="330A93EB" w14:textId="47614DE1" w:rsidR="00FC4FD7" w:rsidRDefault="00FC4FD7" w:rsidP="00FC4FD7">
            <w:pPr>
              <w:jc w:val="center"/>
              <w:rPr>
                <w:sz w:val="20"/>
                <w:szCs w:val="20"/>
                <w:lang w:val="en-US"/>
              </w:rPr>
            </w:pPr>
            <w:r>
              <w:rPr>
                <w:sz w:val="20"/>
                <w:szCs w:val="20"/>
                <w:lang w:val="en-US"/>
              </w:rPr>
              <w:t>M</w:t>
            </w:r>
          </w:p>
        </w:tc>
        <w:tc>
          <w:tcPr>
            <w:tcW w:w="2500" w:type="dxa"/>
            <w:vAlign w:val="center"/>
          </w:tcPr>
          <w:p w14:paraId="37D97A3C" w14:textId="7AF585DB" w:rsidR="00FC4FD7" w:rsidRDefault="00FC4FD7" w:rsidP="00FC4FD7">
            <w:pPr>
              <w:jc w:val="center"/>
              <w:rPr>
                <w:sz w:val="20"/>
                <w:szCs w:val="20"/>
                <w:lang w:val="en-US"/>
              </w:rPr>
            </w:pPr>
            <w:r>
              <w:rPr>
                <w:sz w:val="20"/>
                <w:szCs w:val="20"/>
                <w:lang w:val="en-US"/>
              </w:rPr>
              <w:t>B2</w:t>
            </w:r>
          </w:p>
        </w:tc>
        <w:tc>
          <w:tcPr>
            <w:tcW w:w="1996" w:type="dxa"/>
            <w:vAlign w:val="center"/>
          </w:tcPr>
          <w:p w14:paraId="2D331DCC" w14:textId="381D0996" w:rsidR="00FC4FD7" w:rsidRDefault="00FC4FD7" w:rsidP="00FC4FD7">
            <w:pPr>
              <w:jc w:val="center"/>
              <w:rPr>
                <w:sz w:val="20"/>
                <w:szCs w:val="20"/>
                <w:lang w:val="en-US"/>
              </w:rPr>
            </w:pPr>
            <w:r>
              <w:rPr>
                <w:sz w:val="20"/>
                <w:szCs w:val="20"/>
                <w:lang w:val="en-US"/>
              </w:rPr>
              <w:t>M</w:t>
            </w:r>
          </w:p>
        </w:tc>
      </w:tr>
      <w:tr w:rsidR="00FC4FD7" w:rsidRPr="001301D4" w14:paraId="7CC3B328" w14:textId="77777777" w:rsidTr="00E31CB4">
        <w:trPr>
          <w:trHeight w:val="237"/>
          <w:jc w:val="center"/>
        </w:trPr>
        <w:tc>
          <w:tcPr>
            <w:tcW w:w="3427" w:type="dxa"/>
            <w:vAlign w:val="center"/>
          </w:tcPr>
          <w:p w14:paraId="4ED846F6" w14:textId="4D05900A" w:rsidR="00FC4FD7" w:rsidRPr="001301D4" w:rsidRDefault="00FC4FD7" w:rsidP="00FC4FD7">
            <w:pPr>
              <w:jc w:val="center"/>
              <w:rPr>
                <w:sz w:val="20"/>
                <w:szCs w:val="20"/>
                <w:lang w:val="en-US"/>
              </w:rPr>
            </w:pPr>
            <w:r w:rsidRPr="001301D4">
              <w:rPr>
                <w:sz w:val="20"/>
                <w:szCs w:val="20"/>
                <w:lang w:val="en-US"/>
              </w:rPr>
              <w:t>Benzo[</w:t>
            </w:r>
            <w:proofErr w:type="spellStart"/>
            <w:r w:rsidRPr="001301D4">
              <w:rPr>
                <w:i/>
                <w:sz w:val="20"/>
                <w:szCs w:val="20"/>
                <w:lang w:val="en-US"/>
              </w:rPr>
              <w:t>ghi</w:t>
            </w:r>
            <w:proofErr w:type="spellEnd"/>
            <w:r w:rsidRPr="001301D4">
              <w:rPr>
                <w:sz w:val="20"/>
                <w:szCs w:val="20"/>
                <w:lang w:val="en-US"/>
              </w:rPr>
              <w:t>]perylene</w:t>
            </w:r>
          </w:p>
        </w:tc>
        <w:tc>
          <w:tcPr>
            <w:tcW w:w="1735" w:type="dxa"/>
            <w:vAlign w:val="center"/>
          </w:tcPr>
          <w:p w14:paraId="5A2722BB" w14:textId="6973B396" w:rsidR="00FC4FD7" w:rsidRDefault="00FC4FD7" w:rsidP="00FC4FD7">
            <w:pPr>
              <w:jc w:val="center"/>
              <w:rPr>
                <w:sz w:val="20"/>
                <w:szCs w:val="20"/>
                <w:lang w:val="en-US"/>
              </w:rPr>
            </w:pPr>
            <w:r>
              <w:rPr>
                <w:sz w:val="20"/>
                <w:szCs w:val="20"/>
                <w:lang w:val="en-US"/>
              </w:rPr>
              <w:t>3</w:t>
            </w:r>
          </w:p>
        </w:tc>
        <w:tc>
          <w:tcPr>
            <w:tcW w:w="2375" w:type="dxa"/>
            <w:vAlign w:val="center"/>
          </w:tcPr>
          <w:p w14:paraId="2A6C5832" w14:textId="16BD672C" w:rsidR="00FC4FD7" w:rsidRDefault="00FC4FD7" w:rsidP="00FC4FD7">
            <w:pPr>
              <w:jc w:val="center"/>
              <w:rPr>
                <w:sz w:val="20"/>
                <w:szCs w:val="20"/>
                <w:lang w:val="en-US"/>
              </w:rPr>
            </w:pPr>
            <w:r>
              <w:rPr>
                <w:sz w:val="20"/>
                <w:szCs w:val="20"/>
                <w:lang w:val="en-US"/>
              </w:rPr>
              <w:t>D</w:t>
            </w:r>
          </w:p>
        </w:tc>
        <w:tc>
          <w:tcPr>
            <w:tcW w:w="1772" w:type="dxa"/>
            <w:vAlign w:val="center"/>
          </w:tcPr>
          <w:p w14:paraId="19803E19" w14:textId="7B2BC91D" w:rsidR="00FC4FD7" w:rsidRDefault="00FC4FD7" w:rsidP="00FC4FD7">
            <w:pPr>
              <w:jc w:val="center"/>
              <w:rPr>
                <w:sz w:val="20"/>
                <w:szCs w:val="20"/>
                <w:lang w:val="en-US"/>
              </w:rPr>
            </w:pPr>
            <w:r>
              <w:rPr>
                <w:sz w:val="20"/>
                <w:szCs w:val="20"/>
                <w:lang w:val="en-US"/>
              </w:rPr>
              <w:t>-</w:t>
            </w:r>
          </w:p>
        </w:tc>
        <w:tc>
          <w:tcPr>
            <w:tcW w:w="2500" w:type="dxa"/>
            <w:vAlign w:val="center"/>
          </w:tcPr>
          <w:p w14:paraId="67DB06F1" w14:textId="59CF5E56" w:rsidR="00FC4FD7" w:rsidRDefault="00FC4FD7" w:rsidP="00FC4FD7">
            <w:pPr>
              <w:jc w:val="center"/>
              <w:rPr>
                <w:sz w:val="20"/>
                <w:szCs w:val="20"/>
                <w:lang w:val="en-US"/>
              </w:rPr>
            </w:pPr>
            <w:r>
              <w:rPr>
                <w:sz w:val="20"/>
                <w:szCs w:val="20"/>
                <w:lang w:val="en-US"/>
              </w:rPr>
              <w:t>D</w:t>
            </w:r>
          </w:p>
        </w:tc>
        <w:tc>
          <w:tcPr>
            <w:tcW w:w="1996" w:type="dxa"/>
            <w:vAlign w:val="center"/>
          </w:tcPr>
          <w:p w14:paraId="58A63ECA" w14:textId="0362EC60" w:rsidR="00FC4FD7" w:rsidRDefault="00FC4FD7" w:rsidP="00FC4FD7">
            <w:pPr>
              <w:jc w:val="center"/>
              <w:rPr>
                <w:sz w:val="20"/>
                <w:szCs w:val="20"/>
                <w:lang w:val="en-US"/>
              </w:rPr>
            </w:pPr>
            <w:r>
              <w:rPr>
                <w:sz w:val="20"/>
                <w:szCs w:val="20"/>
                <w:lang w:val="en-US"/>
              </w:rPr>
              <w:t>-</w:t>
            </w:r>
          </w:p>
        </w:tc>
      </w:tr>
      <w:tr w:rsidR="00FC4FD7" w:rsidRPr="001301D4" w14:paraId="452ABAB5" w14:textId="77777777" w:rsidTr="00E31CB4">
        <w:trPr>
          <w:trHeight w:val="237"/>
          <w:jc w:val="center"/>
        </w:trPr>
        <w:tc>
          <w:tcPr>
            <w:tcW w:w="3427" w:type="dxa"/>
            <w:vAlign w:val="center"/>
          </w:tcPr>
          <w:p w14:paraId="437DCD26" w14:textId="0512DE45" w:rsidR="00FC4FD7" w:rsidRPr="001301D4" w:rsidRDefault="00FC4FD7" w:rsidP="00FC4FD7">
            <w:pPr>
              <w:jc w:val="center"/>
              <w:rPr>
                <w:sz w:val="20"/>
                <w:szCs w:val="20"/>
                <w:lang w:val="en-US"/>
              </w:rPr>
            </w:pPr>
            <w:r>
              <w:rPr>
                <w:sz w:val="20"/>
                <w:szCs w:val="20"/>
                <w:lang w:val="en-US"/>
              </w:rPr>
              <w:t>Anthraquinone</w:t>
            </w:r>
          </w:p>
        </w:tc>
        <w:tc>
          <w:tcPr>
            <w:tcW w:w="1735" w:type="dxa"/>
            <w:vAlign w:val="center"/>
          </w:tcPr>
          <w:p w14:paraId="4C33FE93" w14:textId="3FE5A3CE" w:rsidR="00FC4FD7" w:rsidRDefault="00FC4FD7" w:rsidP="00FC4FD7">
            <w:pPr>
              <w:jc w:val="center"/>
              <w:rPr>
                <w:sz w:val="20"/>
                <w:szCs w:val="20"/>
                <w:lang w:val="en-US"/>
              </w:rPr>
            </w:pPr>
            <w:r>
              <w:rPr>
                <w:sz w:val="20"/>
                <w:szCs w:val="20"/>
                <w:lang w:val="en-US"/>
              </w:rPr>
              <w:t>2B</w:t>
            </w:r>
          </w:p>
        </w:tc>
        <w:tc>
          <w:tcPr>
            <w:tcW w:w="2375" w:type="dxa"/>
            <w:vAlign w:val="center"/>
          </w:tcPr>
          <w:p w14:paraId="01BA2A18" w14:textId="67C9EC27" w:rsidR="00FC4FD7" w:rsidRDefault="00FC4FD7" w:rsidP="00FC4FD7">
            <w:pPr>
              <w:jc w:val="center"/>
              <w:rPr>
                <w:sz w:val="20"/>
                <w:szCs w:val="20"/>
                <w:lang w:val="en-US"/>
              </w:rPr>
            </w:pPr>
            <w:proofErr w:type="spellStart"/>
            <w:r>
              <w:rPr>
                <w:sz w:val="20"/>
                <w:szCs w:val="20"/>
                <w:lang w:val="en-US"/>
              </w:rPr>
              <w:t>n.a.</w:t>
            </w:r>
            <w:proofErr w:type="spellEnd"/>
          </w:p>
        </w:tc>
        <w:tc>
          <w:tcPr>
            <w:tcW w:w="1772" w:type="dxa"/>
            <w:vAlign w:val="center"/>
          </w:tcPr>
          <w:p w14:paraId="5DED8248" w14:textId="48757799" w:rsidR="00FC4FD7" w:rsidRDefault="00FC4FD7" w:rsidP="00FC4FD7">
            <w:pPr>
              <w:jc w:val="center"/>
              <w:rPr>
                <w:sz w:val="20"/>
                <w:szCs w:val="20"/>
                <w:lang w:val="en-US"/>
              </w:rPr>
            </w:pPr>
            <w:proofErr w:type="spellStart"/>
            <w:r>
              <w:rPr>
                <w:sz w:val="20"/>
                <w:szCs w:val="20"/>
                <w:lang w:val="en-US"/>
              </w:rPr>
              <w:t>n.a.</w:t>
            </w:r>
            <w:proofErr w:type="spellEnd"/>
          </w:p>
        </w:tc>
        <w:tc>
          <w:tcPr>
            <w:tcW w:w="2500" w:type="dxa"/>
            <w:vAlign w:val="center"/>
          </w:tcPr>
          <w:p w14:paraId="7BABDA66" w14:textId="5D7A03D8" w:rsidR="00FC4FD7" w:rsidRDefault="00FC4FD7" w:rsidP="00FC4FD7">
            <w:pPr>
              <w:jc w:val="center"/>
              <w:rPr>
                <w:sz w:val="20"/>
                <w:szCs w:val="20"/>
                <w:lang w:val="en-US"/>
              </w:rPr>
            </w:pPr>
            <w:r>
              <w:rPr>
                <w:sz w:val="20"/>
                <w:szCs w:val="20"/>
                <w:lang w:val="en-US"/>
              </w:rPr>
              <w:t>LH</w:t>
            </w:r>
          </w:p>
        </w:tc>
        <w:tc>
          <w:tcPr>
            <w:tcW w:w="1996" w:type="dxa"/>
            <w:vAlign w:val="center"/>
          </w:tcPr>
          <w:p w14:paraId="0AE66E86" w14:textId="2CF25873" w:rsidR="00FC4FD7" w:rsidRDefault="00FC4FD7" w:rsidP="00FC4FD7">
            <w:pPr>
              <w:jc w:val="center"/>
              <w:rPr>
                <w:sz w:val="20"/>
                <w:szCs w:val="20"/>
                <w:lang w:val="en-US"/>
              </w:rPr>
            </w:pPr>
            <w:r>
              <w:rPr>
                <w:sz w:val="20"/>
                <w:szCs w:val="20"/>
                <w:lang w:val="en-US"/>
              </w:rPr>
              <w:t>-</w:t>
            </w:r>
          </w:p>
        </w:tc>
      </w:tr>
      <w:tr w:rsidR="002D0A3E" w:rsidRPr="001301D4" w14:paraId="2B531E78" w14:textId="77777777" w:rsidTr="00E31CB4">
        <w:trPr>
          <w:trHeight w:val="237"/>
          <w:jc w:val="center"/>
        </w:trPr>
        <w:tc>
          <w:tcPr>
            <w:tcW w:w="3427" w:type="dxa"/>
            <w:vMerge w:val="restart"/>
            <w:vAlign w:val="center"/>
          </w:tcPr>
          <w:p w14:paraId="65396C0E" w14:textId="77777777" w:rsidR="002D0A3E" w:rsidRPr="002A4EE0" w:rsidRDefault="002D0A3E" w:rsidP="00E31CB4">
            <w:pPr>
              <w:jc w:val="center"/>
              <w:rPr>
                <w:b/>
                <w:sz w:val="20"/>
                <w:szCs w:val="20"/>
                <w:lang w:val="en-US"/>
              </w:rPr>
            </w:pPr>
            <w:r w:rsidRPr="002A4EE0">
              <w:rPr>
                <w:b/>
                <w:sz w:val="20"/>
                <w:szCs w:val="20"/>
                <w:lang w:val="en-US"/>
              </w:rPr>
              <w:lastRenderedPageBreak/>
              <w:t>Chemical species</w:t>
            </w:r>
          </w:p>
        </w:tc>
        <w:tc>
          <w:tcPr>
            <w:tcW w:w="1735" w:type="dxa"/>
            <w:vMerge w:val="restart"/>
            <w:vAlign w:val="center"/>
          </w:tcPr>
          <w:p w14:paraId="66F33AD6" w14:textId="77777777"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Pr>
                <w:b/>
                <w:sz w:val="20"/>
                <w:szCs w:val="20"/>
                <w:lang w:val="en-US"/>
              </w:rPr>
              <w:instrText>ADDIN CSL_CITATION {"citationItems":[{"id":"ITEM-1","itemData":{"URL":"https://publications.iarc.fr/Book-And-Report-Series","accessed":{"date-parts":[["2019","9","6"]]},"author":[{"dropping-particle":"","family":"IARC","given":"","non-dropping-particle":"","parse-names":false,"suffix":""}],"container-title":"International Agency for Research on Cancer","id":"ITEM-1","issued":{"date-parts":[["2019"]]},"title":"Book and Report Series","type":"webpage"},"suppress-author":1,"uris":["http://www.mendeley.com/documents/?uuid=9b4c14f0-9d6e-4f76-ab27-d18079f28744"]}],"mendeley":{"formattedCitation":"(2019)","plainTextFormattedCitation":"(2019)","previouslyFormattedCitation":"(2019)"},"properties":{"noteIndex":0},"schema":"https://github.com/citation-style-language/schema/raw/master/csl-citation.json"}</w:instrText>
            </w:r>
            <w:r w:rsidRPr="002A4EE0">
              <w:rPr>
                <w:b/>
                <w:sz w:val="20"/>
                <w:szCs w:val="20"/>
                <w:lang w:val="en-US"/>
              </w:rPr>
              <w:fldChar w:fldCharType="separate"/>
            </w:r>
            <w:r w:rsidRPr="002A4EE0">
              <w:rPr>
                <w:b/>
                <w:noProof/>
                <w:sz w:val="20"/>
                <w:szCs w:val="20"/>
                <w:lang w:val="en-US"/>
              </w:rPr>
              <w:t>(2019)</w:t>
            </w:r>
            <w:r w:rsidRPr="002A4EE0">
              <w:rPr>
                <w:b/>
                <w:sz w:val="20"/>
                <w:szCs w:val="20"/>
                <w:lang w:val="en-US"/>
              </w:rPr>
              <w:fldChar w:fldCharType="end"/>
            </w:r>
          </w:p>
          <w:p w14:paraId="1C251736"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5F82292"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4979AB22" w14:textId="77777777" w:rsidTr="00E31CB4">
        <w:trPr>
          <w:trHeight w:val="237"/>
          <w:jc w:val="center"/>
        </w:trPr>
        <w:tc>
          <w:tcPr>
            <w:tcW w:w="3427" w:type="dxa"/>
            <w:vMerge/>
            <w:vAlign w:val="center"/>
          </w:tcPr>
          <w:p w14:paraId="2EC4BCDC" w14:textId="77777777" w:rsidR="002D0A3E" w:rsidRPr="001301D4" w:rsidRDefault="002D0A3E" w:rsidP="00E31CB4">
            <w:pPr>
              <w:jc w:val="center"/>
              <w:rPr>
                <w:sz w:val="20"/>
                <w:szCs w:val="20"/>
                <w:lang w:val="en-US"/>
              </w:rPr>
            </w:pPr>
          </w:p>
        </w:tc>
        <w:tc>
          <w:tcPr>
            <w:tcW w:w="1735" w:type="dxa"/>
            <w:vMerge/>
            <w:vAlign w:val="center"/>
          </w:tcPr>
          <w:p w14:paraId="4C8E008A" w14:textId="77777777" w:rsidR="002D0A3E" w:rsidRDefault="002D0A3E" w:rsidP="00E31CB4">
            <w:pPr>
              <w:jc w:val="center"/>
              <w:rPr>
                <w:sz w:val="20"/>
                <w:szCs w:val="20"/>
                <w:lang w:val="en-US"/>
              </w:rPr>
            </w:pPr>
          </w:p>
        </w:tc>
        <w:tc>
          <w:tcPr>
            <w:tcW w:w="2375" w:type="dxa"/>
            <w:vAlign w:val="center"/>
          </w:tcPr>
          <w:p w14:paraId="7EB785F2" w14:textId="77777777" w:rsidR="002D0A3E" w:rsidRDefault="002D0A3E" w:rsidP="00E31CB4">
            <w:pPr>
              <w:jc w:val="center"/>
              <w:rPr>
                <w:b/>
                <w:sz w:val="20"/>
                <w:szCs w:val="20"/>
                <w:lang w:val="en-US"/>
              </w:rPr>
            </w:pPr>
            <w:r>
              <w:rPr>
                <w:b/>
                <w:sz w:val="20"/>
                <w:szCs w:val="20"/>
                <w:lang w:val="en-US"/>
              </w:rPr>
              <w:t>Carcinogenic classification</w:t>
            </w:r>
          </w:p>
          <w:p w14:paraId="619A909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01AAF969" w14:textId="77777777"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utagenic action</w:t>
            </w:r>
          </w:p>
        </w:tc>
        <w:tc>
          <w:tcPr>
            <w:tcW w:w="2500" w:type="dxa"/>
            <w:vAlign w:val="center"/>
          </w:tcPr>
          <w:p w14:paraId="172ED5DD" w14:textId="77777777" w:rsidR="002D0A3E" w:rsidRDefault="002D0A3E" w:rsidP="00E31CB4">
            <w:pPr>
              <w:jc w:val="center"/>
              <w:rPr>
                <w:b/>
                <w:sz w:val="20"/>
                <w:szCs w:val="20"/>
                <w:lang w:val="en-US"/>
              </w:rPr>
            </w:pPr>
            <w:r>
              <w:rPr>
                <w:b/>
                <w:sz w:val="20"/>
                <w:szCs w:val="20"/>
                <w:lang w:val="en-US"/>
              </w:rPr>
              <w:t>Carcinogenic classification</w:t>
            </w:r>
          </w:p>
          <w:p w14:paraId="7ACF32E9"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79E10B41" w14:textId="77777777"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utagenic action</w:t>
            </w:r>
          </w:p>
        </w:tc>
      </w:tr>
      <w:tr w:rsidR="002D0A3E" w:rsidRPr="001301D4" w14:paraId="0F2834D3" w14:textId="77777777" w:rsidTr="00E31CB4">
        <w:trPr>
          <w:trHeight w:val="237"/>
          <w:jc w:val="center"/>
        </w:trPr>
        <w:tc>
          <w:tcPr>
            <w:tcW w:w="3427" w:type="dxa"/>
            <w:vAlign w:val="center"/>
          </w:tcPr>
          <w:p w14:paraId="43568293" w14:textId="77777777" w:rsidR="002D0A3E" w:rsidRDefault="002D0A3E" w:rsidP="00E31CB4">
            <w:pPr>
              <w:jc w:val="center"/>
              <w:rPr>
                <w:sz w:val="20"/>
                <w:szCs w:val="20"/>
                <w:lang w:val="en-US"/>
              </w:rPr>
            </w:pPr>
            <w:r w:rsidRPr="006B7417">
              <w:rPr>
                <w:rStyle w:val="tlid-translation"/>
                <w:sz w:val="20"/>
                <w:lang w:val="en"/>
              </w:rPr>
              <w:t>6-Nitrochrysene</w:t>
            </w:r>
          </w:p>
        </w:tc>
        <w:tc>
          <w:tcPr>
            <w:tcW w:w="1735" w:type="dxa"/>
            <w:vAlign w:val="center"/>
          </w:tcPr>
          <w:p w14:paraId="68DC2BB9" w14:textId="77777777" w:rsidR="002D0A3E" w:rsidRDefault="002D0A3E" w:rsidP="00E31CB4">
            <w:pPr>
              <w:jc w:val="center"/>
              <w:rPr>
                <w:sz w:val="20"/>
                <w:szCs w:val="20"/>
                <w:lang w:val="en-US"/>
              </w:rPr>
            </w:pPr>
            <w:r>
              <w:rPr>
                <w:sz w:val="20"/>
                <w:szCs w:val="20"/>
                <w:lang w:val="en-US"/>
              </w:rPr>
              <w:t>2A</w:t>
            </w:r>
          </w:p>
        </w:tc>
        <w:tc>
          <w:tcPr>
            <w:tcW w:w="2375" w:type="dxa"/>
            <w:vAlign w:val="center"/>
          </w:tcPr>
          <w:p w14:paraId="61864EBE" w14:textId="77777777" w:rsidR="002D0A3E"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7887B67F"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0971206C" w14:textId="77777777" w:rsidR="002D0A3E"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53F5937E"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35096419" w14:textId="77777777" w:rsidTr="00E31CB4">
        <w:trPr>
          <w:trHeight w:val="237"/>
          <w:jc w:val="center"/>
        </w:trPr>
        <w:tc>
          <w:tcPr>
            <w:tcW w:w="3427" w:type="dxa"/>
            <w:vAlign w:val="center"/>
          </w:tcPr>
          <w:p w14:paraId="147F3349" w14:textId="77777777" w:rsidR="002D0A3E" w:rsidRPr="006B7417" w:rsidRDefault="002D0A3E" w:rsidP="00E31CB4">
            <w:pPr>
              <w:jc w:val="center"/>
              <w:rPr>
                <w:rStyle w:val="tlid-translation"/>
                <w:sz w:val="20"/>
                <w:lang w:val="en"/>
              </w:rPr>
            </w:pPr>
            <w:r w:rsidRPr="00DE28F7">
              <w:rPr>
                <w:rStyle w:val="tlid-translation"/>
                <w:sz w:val="20"/>
                <w:lang w:val="en"/>
              </w:rPr>
              <w:t>3-Nitrobenzanthrone</w:t>
            </w:r>
          </w:p>
        </w:tc>
        <w:tc>
          <w:tcPr>
            <w:tcW w:w="1735" w:type="dxa"/>
            <w:vAlign w:val="center"/>
          </w:tcPr>
          <w:p w14:paraId="6EDF2692" w14:textId="77777777" w:rsidR="002D0A3E" w:rsidRDefault="002D0A3E" w:rsidP="00E31CB4">
            <w:pPr>
              <w:jc w:val="center"/>
              <w:rPr>
                <w:sz w:val="20"/>
                <w:szCs w:val="20"/>
                <w:lang w:val="en-US"/>
              </w:rPr>
            </w:pPr>
            <w:r>
              <w:rPr>
                <w:sz w:val="20"/>
                <w:szCs w:val="20"/>
                <w:lang w:val="en-US"/>
              </w:rPr>
              <w:t>2B</w:t>
            </w:r>
          </w:p>
        </w:tc>
        <w:tc>
          <w:tcPr>
            <w:tcW w:w="2375" w:type="dxa"/>
            <w:vAlign w:val="center"/>
          </w:tcPr>
          <w:p w14:paraId="01D7B1F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4AD22A9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BB9AE7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D67E00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5943DAC" w14:textId="77777777" w:rsidTr="00E31CB4">
        <w:trPr>
          <w:trHeight w:val="237"/>
          <w:jc w:val="center"/>
        </w:trPr>
        <w:tc>
          <w:tcPr>
            <w:tcW w:w="3427" w:type="dxa"/>
            <w:vAlign w:val="center"/>
          </w:tcPr>
          <w:p w14:paraId="4451F5D6" w14:textId="77777777" w:rsidR="002D0A3E" w:rsidRPr="001301D4" w:rsidRDefault="002D0A3E" w:rsidP="00E31CB4">
            <w:pPr>
              <w:jc w:val="center"/>
              <w:rPr>
                <w:sz w:val="20"/>
                <w:szCs w:val="20"/>
                <w:lang w:val="en-US"/>
              </w:rPr>
            </w:pPr>
            <w:r w:rsidRPr="001301D4">
              <w:rPr>
                <w:sz w:val="20"/>
                <w:szCs w:val="20"/>
                <w:lang w:val="en-US"/>
              </w:rPr>
              <w:t>Pb</w:t>
            </w:r>
          </w:p>
        </w:tc>
        <w:tc>
          <w:tcPr>
            <w:tcW w:w="1735" w:type="dxa"/>
            <w:vAlign w:val="center"/>
          </w:tcPr>
          <w:p w14:paraId="1750FC05"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8E1072A"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0BDC845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5CDCC4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6322B55B" w14:textId="77777777" w:rsidR="002D0A3E" w:rsidRPr="001301D4" w:rsidRDefault="002D0A3E" w:rsidP="00E31CB4">
            <w:pPr>
              <w:jc w:val="center"/>
              <w:rPr>
                <w:sz w:val="20"/>
                <w:szCs w:val="20"/>
                <w:lang w:val="en-US"/>
              </w:rPr>
            </w:pPr>
            <w:r>
              <w:rPr>
                <w:sz w:val="20"/>
                <w:szCs w:val="20"/>
                <w:lang w:val="en-US"/>
              </w:rPr>
              <w:t>-</w:t>
            </w:r>
          </w:p>
        </w:tc>
      </w:tr>
      <w:tr w:rsidR="002D0A3E" w:rsidRPr="001301D4" w14:paraId="36043481" w14:textId="77777777" w:rsidTr="00E31CB4">
        <w:trPr>
          <w:trHeight w:val="237"/>
          <w:jc w:val="center"/>
        </w:trPr>
        <w:tc>
          <w:tcPr>
            <w:tcW w:w="3427" w:type="dxa"/>
            <w:vAlign w:val="center"/>
          </w:tcPr>
          <w:p w14:paraId="630ED29D" w14:textId="77777777" w:rsidR="002D0A3E" w:rsidRPr="001301D4" w:rsidRDefault="002D0A3E" w:rsidP="00E31CB4">
            <w:pPr>
              <w:jc w:val="center"/>
              <w:rPr>
                <w:sz w:val="20"/>
                <w:szCs w:val="20"/>
                <w:lang w:val="en-US"/>
              </w:rPr>
            </w:pPr>
            <w:r w:rsidRPr="001301D4">
              <w:rPr>
                <w:sz w:val="20"/>
                <w:szCs w:val="20"/>
                <w:lang w:val="en-US"/>
              </w:rPr>
              <w:t>Fe</w:t>
            </w:r>
          </w:p>
        </w:tc>
        <w:tc>
          <w:tcPr>
            <w:tcW w:w="1735" w:type="dxa"/>
            <w:vAlign w:val="center"/>
          </w:tcPr>
          <w:p w14:paraId="4AB2B6CA"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451B307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3F1FDB5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42F623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68D7B33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6AA1D7A7" w14:textId="77777777" w:rsidTr="00E31CB4">
        <w:trPr>
          <w:trHeight w:val="237"/>
          <w:jc w:val="center"/>
        </w:trPr>
        <w:tc>
          <w:tcPr>
            <w:tcW w:w="3427" w:type="dxa"/>
            <w:vAlign w:val="center"/>
          </w:tcPr>
          <w:p w14:paraId="5A5F10AE" w14:textId="77777777" w:rsidR="002D0A3E" w:rsidRPr="001301D4" w:rsidRDefault="002D0A3E" w:rsidP="00E31CB4">
            <w:pPr>
              <w:jc w:val="center"/>
              <w:rPr>
                <w:sz w:val="20"/>
                <w:szCs w:val="20"/>
                <w:lang w:val="en-US"/>
              </w:rPr>
            </w:pPr>
            <w:r w:rsidRPr="001301D4">
              <w:rPr>
                <w:sz w:val="20"/>
                <w:szCs w:val="20"/>
                <w:lang w:val="en-US"/>
              </w:rPr>
              <w:t>Zn</w:t>
            </w:r>
          </w:p>
        </w:tc>
        <w:tc>
          <w:tcPr>
            <w:tcW w:w="1735" w:type="dxa"/>
            <w:vAlign w:val="center"/>
          </w:tcPr>
          <w:p w14:paraId="0C0FB88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5227F5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1F4C3A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0248B1"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20AB672C" w14:textId="77777777" w:rsidR="002D0A3E" w:rsidRPr="001301D4" w:rsidRDefault="002D0A3E" w:rsidP="00E31CB4">
            <w:pPr>
              <w:jc w:val="center"/>
              <w:rPr>
                <w:sz w:val="20"/>
                <w:szCs w:val="20"/>
                <w:lang w:val="en-US"/>
              </w:rPr>
            </w:pPr>
            <w:r>
              <w:rPr>
                <w:sz w:val="20"/>
                <w:szCs w:val="20"/>
                <w:lang w:val="en-US"/>
              </w:rPr>
              <w:t>-</w:t>
            </w:r>
          </w:p>
        </w:tc>
      </w:tr>
      <w:tr w:rsidR="002D0A3E" w:rsidRPr="001301D4" w14:paraId="05A2CC06" w14:textId="77777777" w:rsidTr="00E31CB4">
        <w:trPr>
          <w:trHeight w:val="237"/>
          <w:jc w:val="center"/>
        </w:trPr>
        <w:tc>
          <w:tcPr>
            <w:tcW w:w="3427" w:type="dxa"/>
            <w:vAlign w:val="center"/>
          </w:tcPr>
          <w:p w14:paraId="5DDB053F" w14:textId="77777777" w:rsidR="002D0A3E" w:rsidRPr="001301D4" w:rsidRDefault="002D0A3E" w:rsidP="00E31CB4">
            <w:pPr>
              <w:jc w:val="center"/>
              <w:rPr>
                <w:sz w:val="20"/>
                <w:szCs w:val="20"/>
                <w:lang w:val="en-US"/>
              </w:rPr>
            </w:pPr>
            <w:r w:rsidRPr="001301D4">
              <w:rPr>
                <w:sz w:val="20"/>
                <w:szCs w:val="20"/>
                <w:lang w:val="en-US"/>
              </w:rPr>
              <w:t>Al</w:t>
            </w:r>
          </w:p>
        </w:tc>
        <w:tc>
          <w:tcPr>
            <w:tcW w:w="1735" w:type="dxa"/>
            <w:vAlign w:val="center"/>
          </w:tcPr>
          <w:p w14:paraId="36652B1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6232C5B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0D86F8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1A3A4FC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4A143E3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5D9C9504" w14:textId="77777777" w:rsidTr="00E31CB4">
        <w:trPr>
          <w:trHeight w:val="237"/>
          <w:jc w:val="center"/>
        </w:trPr>
        <w:tc>
          <w:tcPr>
            <w:tcW w:w="3427" w:type="dxa"/>
            <w:vAlign w:val="center"/>
          </w:tcPr>
          <w:p w14:paraId="5179BD13" w14:textId="77777777" w:rsidR="002D0A3E" w:rsidRPr="001301D4" w:rsidRDefault="002D0A3E" w:rsidP="00E31CB4">
            <w:pPr>
              <w:jc w:val="center"/>
              <w:rPr>
                <w:sz w:val="20"/>
                <w:szCs w:val="20"/>
                <w:lang w:val="en-US"/>
              </w:rPr>
            </w:pPr>
            <w:r w:rsidRPr="001301D4">
              <w:rPr>
                <w:sz w:val="20"/>
                <w:szCs w:val="20"/>
                <w:lang w:val="en-US"/>
              </w:rPr>
              <w:t>Ba</w:t>
            </w:r>
          </w:p>
        </w:tc>
        <w:tc>
          <w:tcPr>
            <w:tcW w:w="1735" w:type="dxa"/>
            <w:vAlign w:val="center"/>
          </w:tcPr>
          <w:p w14:paraId="465752E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F1428F5" w14:textId="77777777" w:rsidR="002D0A3E" w:rsidRPr="001301D4" w:rsidRDefault="002D0A3E" w:rsidP="00E31CB4">
            <w:pPr>
              <w:jc w:val="center"/>
              <w:rPr>
                <w:sz w:val="20"/>
                <w:szCs w:val="20"/>
                <w:lang w:val="en-US"/>
              </w:rPr>
            </w:pPr>
            <w:proofErr w:type="spellStart"/>
            <w:r>
              <w:rPr>
                <w:sz w:val="20"/>
                <w:szCs w:val="20"/>
                <w:lang w:val="en-US"/>
              </w:rPr>
              <w:t>InI</w:t>
            </w:r>
            <w:proofErr w:type="spellEnd"/>
          </w:p>
        </w:tc>
        <w:tc>
          <w:tcPr>
            <w:tcW w:w="1772" w:type="dxa"/>
            <w:vAlign w:val="center"/>
          </w:tcPr>
          <w:p w14:paraId="63740BF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5FB7E62" w14:textId="77777777" w:rsidR="002D0A3E" w:rsidRPr="001301D4" w:rsidRDefault="002D0A3E" w:rsidP="00E31CB4">
            <w:pPr>
              <w:jc w:val="center"/>
              <w:rPr>
                <w:sz w:val="20"/>
                <w:szCs w:val="20"/>
                <w:lang w:val="en-US"/>
              </w:rPr>
            </w:pPr>
            <w:r>
              <w:rPr>
                <w:sz w:val="20"/>
                <w:szCs w:val="20"/>
                <w:lang w:val="en-US"/>
              </w:rPr>
              <w:t>NH</w:t>
            </w:r>
          </w:p>
        </w:tc>
        <w:tc>
          <w:tcPr>
            <w:tcW w:w="1996" w:type="dxa"/>
            <w:vAlign w:val="center"/>
          </w:tcPr>
          <w:p w14:paraId="4C2C6146" w14:textId="77777777" w:rsidR="002D0A3E" w:rsidRPr="001301D4" w:rsidRDefault="002D0A3E" w:rsidP="00E31CB4">
            <w:pPr>
              <w:jc w:val="center"/>
              <w:rPr>
                <w:sz w:val="20"/>
                <w:szCs w:val="20"/>
                <w:lang w:val="en-US"/>
              </w:rPr>
            </w:pPr>
            <w:r>
              <w:rPr>
                <w:sz w:val="20"/>
                <w:szCs w:val="20"/>
                <w:lang w:val="en-US"/>
              </w:rPr>
              <w:t>-</w:t>
            </w:r>
          </w:p>
        </w:tc>
      </w:tr>
      <w:tr w:rsidR="002D0A3E" w:rsidRPr="001301D4" w14:paraId="77A6634B" w14:textId="77777777" w:rsidTr="00E31CB4">
        <w:trPr>
          <w:trHeight w:val="237"/>
          <w:jc w:val="center"/>
        </w:trPr>
        <w:tc>
          <w:tcPr>
            <w:tcW w:w="3427" w:type="dxa"/>
            <w:vAlign w:val="center"/>
          </w:tcPr>
          <w:p w14:paraId="5B0DAB72" w14:textId="77777777" w:rsidR="002D0A3E" w:rsidRPr="001301D4" w:rsidRDefault="002D0A3E" w:rsidP="00E31CB4">
            <w:pPr>
              <w:jc w:val="center"/>
              <w:rPr>
                <w:sz w:val="20"/>
                <w:szCs w:val="20"/>
                <w:lang w:val="en-US"/>
              </w:rPr>
            </w:pPr>
            <w:r w:rsidRPr="001301D4">
              <w:rPr>
                <w:sz w:val="20"/>
                <w:szCs w:val="20"/>
                <w:lang w:val="en-US"/>
              </w:rPr>
              <w:t>Cu</w:t>
            </w:r>
          </w:p>
        </w:tc>
        <w:tc>
          <w:tcPr>
            <w:tcW w:w="1735" w:type="dxa"/>
            <w:vAlign w:val="center"/>
          </w:tcPr>
          <w:p w14:paraId="36770AF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0FEC2AFB"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3987B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41881F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B3E1487" w14:textId="77777777" w:rsidR="002D0A3E" w:rsidRPr="001301D4" w:rsidRDefault="002D0A3E" w:rsidP="00E31CB4">
            <w:pPr>
              <w:jc w:val="center"/>
              <w:rPr>
                <w:sz w:val="20"/>
                <w:szCs w:val="20"/>
                <w:lang w:val="en-US"/>
              </w:rPr>
            </w:pPr>
            <w:r>
              <w:rPr>
                <w:sz w:val="20"/>
                <w:szCs w:val="20"/>
                <w:lang w:val="en-US"/>
              </w:rPr>
              <w:t>-</w:t>
            </w:r>
          </w:p>
        </w:tc>
      </w:tr>
      <w:tr w:rsidR="002D0A3E" w:rsidRPr="001301D4" w14:paraId="2CEC742B" w14:textId="77777777" w:rsidTr="00E31CB4">
        <w:trPr>
          <w:trHeight w:val="237"/>
          <w:jc w:val="center"/>
        </w:trPr>
        <w:tc>
          <w:tcPr>
            <w:tcW w:w="3427" w:type="dxa"/>
            <w:vAlign w:val="center"/>
          </w:tcPr>
          <w:p w14:paraId="453C35CC" w14:textId="77777777" w:rsidR="002D0A3E" w:rsidRPr="001301D4" w:rsidRDefault="002D0A3E" w:rsidP="00E31CB4">
            <w:pPr>
              <w:jc w:val="center"/>
              <w:rPr>
                <w:sz w:val="20"/>
                <w:szCs w:val="20"/>
                <w:lang w:val="en-US"/>
              </w:rPr>
            </w:pPr>
            <w:proofErr w:type="gramStart"/>
            <w:r w:rsidRPr="001301D4">
              <w:rPr>
                <w:sz w:val="20"/>
                <w:szCs w:val="20"/>
                <w:lang w:val="en-US"/>
              </w:rPr>
              <w:t>Cr(</w:t>
            </w:r>
            <w:proofErr w:type="gramEnd"/>
            <w:r w:rsidRPr="001301D4">
              <w:rPr>
                <w:sz w:val="20"/>
                <w:szCs w:val="20"/>
                <w:lang w:val="en-US"/>
              </w:rPr>
              <w:t>III)</w:t>
            </w:r>
          </w:p>
        </w:tc>
        <w:tc>
          <w:tcPr>
            <w:tcW w:w="1735" w:type="dxa"/>
            <w:vAlign w:val="center"/>
          </w:tcPr>
          <w:p w14:paraId="31E8AF3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695F412" w14:textId="77777777" w:rsidR="002D0A3E" w:rsidRPr="001301D4" w:rsidRDefault="002D0A3E" w:rsidP="00E31CB4">
            <w:pPr>
              <w:jc w:val="center"/>
              <w:rPr>
                <w:sz w:val="20"/>
                <w:szCs w:val="20"/>
                <w:lang w:val="en-US"/>
              </w:rPr>
            </w:pPr>
            <w:proofErr w:type="spellStart"/>
            <w:r>
              <w:rPr>
                <w:sz w:val="20"/>
                <w:szCs w:val="20"/>
                <w:lang w:val="en-US"/>
              </w:rPr>
              <w:t>InI</w:t>
            </w:r>
            <w:proofErr w:type="spellEnd"/>
          </w:p>
        </w:tc>
        <w:tc>
          <w:tcPr>
            <w:tcW w:w="1772" w:type="dxa"/>
            <w:vAlign w:val="center"/>
          </w:tcPr>
          <w:p w14:paraId="01C1276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6A10DA6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2398832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2C460B7B" w14:textId="77777777" w:rsidTr="00E31CB4">
        <w:trPr>
          <w:trHeight w:val="237"/>
          <w:jc w:val="center"/>
        </w:trPr>
        <w:tc>
          <w:tcPr>
            <w:tcW w:w="3427" w:type="dxa"/>
            <w:vAlign w:val="center"/>
          </w:tcPr>
          <w:p w14:paraId="063158E9" w14:textId="77777777" w:rsidR="002D0A3E" w:rsidRPr="001301D4" w:rsidRDefault="002D0A3E" w:rsidP="00E31CB4">
            <w:pPr>
              <w:jc w:val="center"/>
              <w:rPr>
                <w:sz w:val="20"/>
                <w:szCs w:val="20"/>
                <w:lang w:val="en-US"/>
              </w:rPr>
            </w:pPr>
            <w:proofErr w:type="gramStart"/>
            <w:r w:rsidRPr="001301D4">
              <w:rPr>
                <w:sz w:val="20"/>
                <w:szCs w:val="20"/>
                <w:lang w:val="en-US"/>
              </w:rPr>
              <w:t>Cr(</w:t>
            </w:r>
            <w:proofErr w:type="gramEnd"/>
            <w:r w:rsidRPr="001301D4">
              <w:rPr>
                <w:sz w:val="20"/>
                <w:szCs w:val="20"/>
                <w:lang w:val="en-US"/>
              </w:rPr>
              <w:t>VI)</w:t>
            </w:r>
          </w:p>
        </w:tc>
        <w:tc>
          <w:tcPr>
            <w:tcW w:w="1735" w:type="dxa"/>
            <w:vAlign w:val="center"/>
          </w:tcPr>
          <w:p w14:paraId="2E2C9A78"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02EAD70"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19C04BE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12B8DF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EF230C6" w14:textId="77777777" w:rsidR="002D0A3E" w:rsidRPr="001301D4" w:rsidRDefault="002D0A3E" w:rsidP="00E31CB4">
            <w:pPr>
              <w:jc w:val="center"/>
              <w:rPr>
                <w:sz w:val="20"/>
                <w:szCs w:val="20"/>
                <w:lang w:val="en-US"/>
              </w:rPr>
            </w:pPr>
            <w:r>
              <w:rPr>
                <w:sz w:val="20"/>
                <w:szCs w:val="20"/>
                <w:lang w:val="en-US"/>
              </w:rPr>
              <w:t>-</w:t>
            </w:r>
          </w:p>
        </w:tc>
      </w:tr>
      <w:tr w:rsidR="002D0A3E" w:rsidRPr="001301D4" w14:paraId="4043E1DC" w14:textId="77777777" w:rsidTr="00E31CB4">
        <w:trPr>
          <w:trHeight w:val="237"/>
          <w:jc w:val="center"/>
        </w:trPr>
        <w:tc>
          <w:tcPr>
            <w:tcW w:w="3427" w:type="dxa"/>
            <w:vAlign w:val="center"/>
          </w:tcPr>
          <w:p w14:paraId="16334654" w14:textId="77777777" w:rsidR="002D0A3E" w:rsidRPr="001301D4" w:rsidRDefault="002D0A3E" w:rsidP="00E31CB4">
            <w:pPr>
              <w:jc w:val="center"/>
              <w:rPr>
                <w:sz w:val="20"/>
                <w:szCs w:val="20"/>
                <w:lang w:val="en-US"/>
              </w:rPr>
            </w:pPr>
            <w:r w:rsidRPr="001301D4">
              <w:rPr>
                <w:sz w:val="20"/>
                <w:szCs w:val="20"/>
                <w:lang w:val="en-US"/>
              </w:rPr>
              <w:t>Se</w:t>
            </w:r>
          </w:p>
        </w:tc>
        <w:tc>
          <w:tcPr>
            <w:tcW w:w="1735" w:type="dxa"/>
            <w:vAlign w:val="center"/>
          </w:tcPr>
          <w:p w14:paraId="481DB36C"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367904D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BB4DF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BAB273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00B658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1F8D3982" w14:textId="77777777" w:rsidTr="00E31CB4">
        <w:trPr>
          <w:trHeight w:val="237"/>
          <w:jc w:val="center"/>
        </w:trPr>
        <w:tc>
          <w:tcPr>
            <w:tcW w:w="3427" w:type="dxa"/>
            <w:vAlign w:val="center"/>
          </w:tcPr>
          <w:p w14:paraId="073C96A2" w14:textId="77777777" w:rsidR="002D0A3E" w:rsidRPr="001301D4" w:rsidRDefault="002D0A3E" w:rsidP="00E31CB4">
            <w:pPr>
              <w:jc w:val="center"/>
              <w:rPr>
                <w:sz w:val="20"/>
                <w:szCs w:val="20"/>
                <w:lang w:val="en-US"/>
              </w:rPr>
            </w:pPr>
            <w:r w:rsidRPr="001301D4">
              <w:rPr>
                <w:sz w:val="20"/>
                <w:szCs w:val="20"/>
                <w:lang w:val="en-US"/>
              </w:rPr>
              <w:t>Ag</w:t>
            </w:r>
          </w:p>
        </w:tc>
        <w:tc>
          <w:tcPr>
            <w:tcW w:w="1735" w:type="dxa"/>
            <w:vAlign w:val="center"/>
          </w:tcPr>
          <w:p w14:paraId="3A6B72E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4725098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EA42B2"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00DA6A5"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6BEC4B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67AC4CE" w14:textId="77777777" w:rsidTr="00E31CB4">
        <w:trPr>
          <w:trHeight w:val="237"/>
          <w:jc w:val="center"/>
        </w:trPr>
        <w:tc>
          <w:tcPr>
            <w:tcW w:w="3427" w:type="dxa"/>
            <w:vAlign w:val="center"/>
          </w:tcPr>
          <w:p w14:paraId="07E3FD55" w14:textId="77777777" w:rsidR="002D0A3E" w:rsidRPr="001301D4" w:rsidRDefault="002D0A3E" w:rsidP="00E31CB4">
            <w:pPr>
              <w:jc w:val="center"/>
              <w:rPr>
                <w:sz w:val="20"/>
                <w:szCs w:val="20"/>
                <w:lang w:val="en-US"/>
              </w:rPr>
            </w:pPr>
            <w:r w:rsidRPr="001301D4">
              <w:rPr>
                <w:sz w:val="20"/>
                <w:szCs w:val="20"/>
                <w:lang w:val="en-US"/>
              </w:rPr>
              <w:t>Sb</w:t>
            </w:r>
          </w:p>
        </w:tc>
        <w:tc>
          <w:tcPr>
            <w:tcW w:w="1735" w:type="dxa"/>
            <w:vAlign w:val="center"/>
          </w:tcPr>
          <w:p w14:paraId="507A55D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003BAFD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0CD4737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D5E58D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783630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9E0DD09" w14:textId="77777777" w:rsidTr="00E31CB4">
        <w:trPr>
          <w:trHeight w:val="237"/>
          <w:jc w:val="center"/>
        </w:trPr>
        <w:tc>
          <w:tcPr>
            <w:tcW w:w="3427" w:type="dxa"/>
            <w:vAlign w:val="center"/>
          </w:tcPr>
          <w:p w14:paraId="6EDCF4B1" w14:textId="77777777" w:rsidR="002D0A3E" w:rsidRPr="001301D4" w:rsidRDefault="002D0A3E" w:rsidP="00E31CB4">
            <w:pPr>
              <w:jc w:val="center"/>
              <w:rPr>
                <w:sz w:val="20"/>
                <w:szCs w:val="20"/>
                <w:lang w:val="en-US"/>
              </w:rPr>
            </w:pPr>
            <w:r w:rsidRPr="001301D4">
              <w:rPr>
                <w:sz w:val="20"/>
                <w:szCs w:val="20"/>
                <w:lang w:val="en-US"/>
              </w:rPr>
              <w:t>U</w:t>
            </w:r>
          </w:p>
        </w:tc>
        <w:tc>
          <w:tcPr>
            <w:tcW w:w="1735" w:type="dxa"/>
            <w:vAlign w:val="center"/>
          </w:tcPr>
          <w:p w14:paraId="2DA40CA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09875C1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28E4688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5D8B914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4E52645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07A2C21E" w14:textId="77777777" w:rsidTr="00E31CB4">
        <w:trPr>
          <w:trHeight w:val="237"/>
          <w:jc w:val="center"/>
        </w:trPr>
        <w:tc>
          <w:tcPr>
            <w:tcW w:w="3427" w:type="dxa"/>
            <w:vAlign w:val="center"/>
          </w:tcPr>
          <w:p w14:paraId="528C8446" w14:textId="77777777" w:rsidR="002D0A3E" w:rsidRPr="001301D4" w:rsidRDefault="002D0A3E" w:rsidP="00E31CB4">
            <w:pPr>
              <w:jc w:val="center"/>
              <w:rPr>
                <w:sz w:val="20"/>
                <w:szCs w:val="20"/>
                <w:lang w:val="en-US"/>
              </w:rPr>
            </w:pPr>
            <w:r w:rsidRPr="001301D4">
              <w:rPr>
                <w:sz w:val="20"/>
                <w:szCs w:val="20"/>
                <w:lang w:val="en-US"/>
              </w:rPr>
              <w:t>Mn</w:t>
            </w:r>
          </w:p>
        </w:tc>
        <w:tc>
          <w:tcPr>
            <w:tcW w:w="1735" w:type="dxa"/>
            <w:vAlign w:val="center"/>
          </w:tcPr>
          <w:p w14:paraId="73BB61B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76A1C0F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673AE6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EF6589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BB19B6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2C578298" w14:textId="77777777" w:rsidTr="00E31CB4">
        <w:trPr>
          <w:trHeight w:val="237"/>
          <w:jc w:val="center"/>
        </w:trPr>
        <w:tc>
          <w:tcPr>
            <w:tcW w:w="3427" w:type="dxa"/>
            <w:vAlign w:val="center"/>
          </w:tcPr>
          <w:p w14:paraId="09FD9F44" w14:textId="77777777" w:rsidR="002D0A3E" w:rsidRPr="001301D4" w:rsidRDefault="002D0A3E" w:rsidP="00E31CB4">
            <w:pPr>
              <w:jc w:val="center"/>
              <w:rPr>
                <w:sz w:val="20"/>
                <w:szCs w:val="20"/>
                <w:lang w:val="en-US"/>
              </w:rPr>
            </w:pPr>
            <w:r w:rsidRPr="001301D4">
              <w:rPr>
                <w:sz w:val="20"/>
                <w:szCs w:val="20"/>
                <w:lang w:val="en-US"/>
              </w:rPr>
              <w:t>Cd</w:t>
            </w:r>
          </w:p>
        </w:tc>
        <w:tc>
          <w:tcPr>
            <w:tcW w:w="1735" w:type="dxa"/>
            <w:vAlign w:val="center"/>
          </w:tcPr>
          <w:p w14:paraId="61D3A72D"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FC16163" w14:textId="77777777" w:rsidR="002D0A3E" w:rsidRPr="001301D4" w:rsidRDefault="002D0A3E" w:rsidP="00E31CB4">
            <w:pPr>
              <w:jc w:val="center"/>
              <w:rPr>
                <w:sz w:val="20"/>
                <w:szCs w:val="20"/>
                <w:lang w:val="en-US"/>
              </w:rPr>
            </w:pPr>
            <w:r>
              <w:rPr>
                <w:sz w:val="20"/>
                <w:szCs w:val="20"/>
                <w:lang w:val="en-US"/>
              </w:rPr>
              <w:t>B1</w:t>
            </w:r>
          </w:p>
        </w:tc>
        <w:tc>
          <w:tcPr>
            <w:tcW w:w="1772" w:type="dxa"/>
            <w:vAlign w:val="center"/>
          </w:tcPr>
          <w:p w14:paraId="08C1C5F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CD56F81" w14:textId="77777777" w:rsidR="002D0A3E" w:rsidRPr="001301D4" w:rsidRDefault="002D0A3E" w:rsidP="00E31CB4">
            <w:pPr>
              <w:jc w:val="center"/>
              <w:rPr>
                <w:sz w:val="20"/>
                <w:szCs w:val="20"/>
                <w:lang w:val="en-US"/>
              </w:rPr>
            </w:pPr>
            <w:r>
              <w:rPr>
                <w:sz w:val="20"/>
                <w:szCs w:val="20"/>
                <w:lang w:val="en-US"/>
              </w:rPr>
              <w:t>B1</w:t>
            </w:r>
          </w:p>
        </w:tc>
        <w:tc>
          <w:tcPr>
            <w:tcW w:w="1996" w:type="dxa"/>
            <w:vAlign w:val="center"/>
          </w:tcPr>
          <w:p w14:paraId="73234D40" w14:textId="77777777" w:rsidR="002D0A3E" w:rsidRPr="001301D4" w:rsidRDefault="002D0A3E" w:rsidP="00E31CB4">
            <w:pPr>
              <w:jc w:val="center"/>
              <w:rPr>
                <w:sz w:val="20"/>
                <w:szCs w:val="20"/>
                <w:lang w:val="en-US"/>
              </w:rPr>
            </w:pPr>
            <w:r>
              <w:rPr>
                <w:sz w:val="20"/>
                <w:szCs w:val="20"/>
                <w:lang w:val="en-US"/>
              </w:rPr>
              <w:t>-</w:t>
            </w:r>
          </w:p>
        </w:tc>
      </w:tr>
      <w:tr w:rsidR="002D0A3E" w:rsidRPr="001301D4" w14:paraId="088B3C55" w14:textId="77777777" w:rsidTr="00E31CB4">
        <w:trPr>
          <w:trHeight w:val="237"/>
          <w:jc w:val="center"/>
        </w:trPr>
        <w:tc>
          <w:tcPr>
            <w:tcW w:w="3427" w:type="dxa"/>
            <w:vAlign w:val="center"/>
          </w:tcPr>
          <w:p w14:paraId="3439BBE3" w14:textId="77777777" w:rsidR="002D0A3E" w:rsidRPr="001301D4" w:rsidRDefault="002D0A3E" w:rsidP="00E31CB4">
            <w:pPr>
              <w:jc w:val="center"/>
              <w:rPr>
                <w:sz w:val="20"/>
                <w:szCs w:val="20"/>
                <w:lang w:val="en-US"/>
              </w:rPr>
            </w:pPr>
            <w:r w:rsidRPr="001301D4">
              <w:rPr>
                <w:sz w:val="20"/>
                <w:szCs w:val="20"/>
                <w:lang w:val="en-US"/>
              </w:rPr>
              <w:t>As</w:t>
            </w:r>
          </w:p>
        </w:tc>
        <w:tc>
          <w:tcPr>
            <w:tcW w:w="1735" w:type="dxa"/>
            <w:vAlign w:val="center"/>
          </w:tcPr>
          <w:p w14:paraId="25E9D5EC"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6C08C23"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73CCE68A"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16B53572" w14:textId="77777777" w:rsidR="002D0A3E" w:rsidRPr="001301D4" w:rsidRDefault="002D0A3E" w:rsidP="00E31CB4">
            <w:pPr>
              <w:jc w:val="center"/>
              <w:rPr>
                <w:sz w:val="20"/>
                <w:szCs w:val="20"/>
                <w:lang w:val="en-US"/>
              </w:rPr>
            </w:pPr>
            <w:r>
              <w:rPr>
                <w:sz w:val="20"/>
                <w:szCs w:val="20"/>
                <w:lang w:val="en-US"/>
              </w:rPr>
              <w:t>A</w:t>
            </w:r>
          </w:p>
        </w:tc>
        <w:tc>
          <w:tcPr>
            <w:tcW w:w="1996" w:type="dxa"/>
            <w:vAlign w:val="center"/>
          </w:tcPr>
          <w:p w14:paraId="40D00CE3" w14:textId="77777777" w:rsidR="002D0A3E" w:rsidRPr="001301D4" w:rsidRDefault="002D0A3E" w:rsidP="00E31CB4">
            <w:pPr>
              <w:jc w:val="center"/>
              <w:rPr>
                <w:sz w:val="20"/>
                <w:szCs w:val="20"/>
                <w:lang w:val="en-US"/>
              </w:rPr>
            </w:pPr>
            <w:r>
              <w:rPr>
                <w:sz w:val="20"/>
                <w:szCs w:val="20"/>
                <w:lang w:val="en-US"/>
              </w:rPr>
              <w:t>-</w:t>
            </w:r>
          </w:p>
        </w:tc>
      </w:tr>
      <w:tr w:rsidR="002D0A3E" w:rsidRPr="001301D4" w14:paraId="174D94EF" w14:textId="77777777" w:rsidTr="00E31CB4">
        <w:trPr>
          <w:trHeight w:val="237"/>
          <w:jc w:val="center"/>
        </w:trPr>
        <w:tc>
          <w:tcPr>
            <w:tcW w:w="3427" w:type="dxa"/>
            <w:vAlign w:val="center"/>
          </w:tcPr>
          <w:p w14:paraId="60963084" w14:textId="77777777" w:rsidR="002D0A3E" w:rsidRPr="001301D4" w:rsidRDefault="002D0A3E" w:rsidP="00E31CB4">
            <w:pPr>
              <w:jc w:val="center"/>
              <w:rPr>
                <w:sz w:val="20"/>
                <w:szCs w:val="20"/>
                <w:lang w:val="en-US"/>
              </w:rPr>
            </w:pPr>
            <w:r w:rsidRPr="001301D4">
              <w:rPr>
                <w:sz w:val="20"/>
                <w:szCs w:val="20"/>
                <w:lang w:val="en-US"/>
              </w:rPr>
              <w:t>Co</w:t>
            </w:r>
          </w:p>
        </w:tc>
        <w:tc>
          <w:tcPr>
            <w:tcW w:w="1735" w:type="dxa"/>
            <w:vAlign w:val="center"/>
          </w:tcPr>
          <w:p w14:paraId="7CD0152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55C8C49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122B016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16E2259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7CC7C7E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5917BEA0" w14:textId="77777777" w:rsidTr="00E31CB4">
        <w:trPr>
          <w:trHeight w:val="237"/>
          <w:jc w:val="center"/>
        </w:trPr>
        <w:tc>
          <w:tcPr>
            <w:tcW w:w="3427" w:type="dxa"/>
            <w:vAlign w:val="center"/>
          </w:tcPr>
          <w:p w14:paraId="16575364" w14:textId="77777777" w:rsidR="002D0A3E" w:rsidRPr="001301D4" w:rsidRDefault="002D0A3E" w:rsidP="00E31CB4">
            <w:pPr>
              <w:jc w:val="center"/>
              <w:rPr>
                <w:sz w:val="20"/>
                <w:szCs w:val="20"/>
                <w:lang w:val="en-US"/>
              </w:rPr>
            </w:pPr>
            <w:r w:rsidRPr="001301D4">
              <w:rPr>
                <w:sz w:val="20"/>
                <w:szCs w:val="20"/>
                <w:lang w:val="en-US"/>
              </w:rPr>
              <w:t>Hg</w:t>
            </w:r>
          </w:p>
        </w:tc>
        <w:tc>
          <w:tcPr>
            <w:tcW w:w="1735" w:type="dxa"/>
            <w:vAlign w:val="center"/>
          </w:tcPr>
          <w:p w14:paraId="2F26F08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E562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1F32B1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8C9D32C"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31B71E72" w14:textId="77777777" w:rsidR="002D0A3E" w:rsidRPr="001301D4" w:rsidRDefault="002D0A3E" w:rsidP="00E31CB4">
            <w:pPr>
              <w:jc w:val="center"/>
              <w:rPr>
                <w:sz w:val="20"/>
                <w:szCs w:val="20"/>
                <w:lang w:val="en-US"/>
              </w:rPr>
            </w:pPr>
            <w:r>
              <w:rPr>
                <w:sz w:val="20"/>
                <w:szCs w:val="20"/>
                <w:lang w:val="en-US"/>
              </w:rPr>
              <w:t>-</w:t>
            </w:r>
          </w:p>
        </w:tc>
      </w:tr>
      <w:tr w:rsidR="002D0A3E" w:rsidRPr="001301D4" w14:paraId="0756AA56" w14:textId="77777777" w:rsidTr="00E31CB4">
        <w:trPr>
          <w:trHeight w:val="237"/>
          <w:jc w:val="center"/>
        </w:trPr>
        <w:tc>
          <w:tcPr>
            <w:tcW w:w="3427" w:type="dxa"/>
            <w:vAlign w:val="center"/>
          </w:tcPr>
          <w:p w14:paraId="7EF8D757" w14:textId="77777777" w:rsidR="002D0A3E" w:rsidRPr="001301D4" w:rsidRDefault="002D0A3E" w:rsidP="00E31CB4">
            <w:pPr>
              <w:jc w:val="center"/>
              <w:rPr>
                <w:sz w:val="20"/>
                <w:szCs w:val="20"/>
                <w:lang w:val="en-US"/>
              </w:rPr>
            </w:pPr>
            <w:r w:rsidRPr="001301D4">
              <w:rPr>
                <w:sz w:val="20"/>
                <w:szCs w:val="20"/>
                <w:lang w:val="en-US"/>
              </w:rPr>
              <w:t>Ni</w:t>
            </w:r>
          </w:p>
        </w:tc>
        <w:tc>
          <w:tcPr>
            <w:tcW w:w="1735" w:type="dxa"/>
            <w:vAlign w:val="center"/>
          </w:tcPr>
          <w:p w14:paraId="2B6A0EEE"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ECB90B6"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027B5E3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1D99A53"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24024D2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6244BE43" w14:textId="77777777" w:rsidTr="00E31CB4">
        <w:trPr>
          <w:trHeight w:val="237"/>
          <w:jc w:val="center"/>
        </w:trPr>
        <w:tc>
          <w:tcPr>
            <w:tcW w:w="3427" w:type="dxa"/>
            <w:vAlign w:val="center"/>
          </w:tcPr>
          <w:p w14:paraId="22D15E90" w14:textId="77777777" w:rsidR="002D0A3E" w:rsidRPr="001301D4" w:rsidRDefault="002D0A3E" w:rsidP="00E31CB4">
            <w:pPr>
              <w:jc w:val="center"/>
              <w:rPr>
                <w:sz w:val="20"/>
                <w:szCs w:val="20"/>
                <w:lang w:val="en-US"/>
              </w:rPr>
            </w:pPr>
            <w:r w:rsidRPr="001301D4">
              <w:rPr>
                <w:sz w:val="20"/>
                <w:szCs w:val="20"/>
                <w:lang w:val="en-US"/>
              </w:rPr>
              <w:t>V</w:t>
            </w:r>
          </w:p>
        </w:tc>
        <w:tc>
          <w:tcPr>
            <w:tcW w:w="1735" w:type="dxa"/>
            <w:vAlign w:val="center"/>
          </w:tcPr>
          <w:p w14:paraId="5525926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D6F50D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27C270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FF163B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6A8A9A0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3C5D7E9" w14:textId="77777777" w:rsidTr="00E31CB4">
        <w:trPr>
          <w:trHeight w:val="237"/>
          <w:jc w:val="center"/>
        </w:trPr>
        <w:tc>
          <w:tcPr>
            <w:tcW w:w="3427" w:type="dxa"/>
            <w:vAlign w:val="center"/>
          </w:tcPr>
          <w:p w14:paraId="0243EC81" w14:textId="77777777" w:rsidR="002D0A3E" w:rsidRPr="001301D4" w:rsidRDefault="002D0A3E" w:rsidP="00E31CB4">
            <w:pPr>
              <w:jc w:val="center"/>
              <w:rPr>
                <w:sz w:val="20"/>
                <w:szCs w:val="20"/>
                <w:lang w:val="en-US"/>
              </w:rPr>
            </w:pPr>
            <w:r>
              <w:rPr>
                <w:sz w:val="20"/>
                <w:szCs w:val="20"/>
                <w:lang w:val="en-US"/>
              </w:rPr>
              <w:t>Li</w:t>
            </w:r>
          </w:p>
        </w:tc>
        <w:tc>
          <w:tcPr>
            <w:tcW w:w="1735" w:type="dxa"/>
            <w:vAlign w:val="center"/>
          </w:tcPr>
          <w:p w14:paraId="02D4D46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39E4339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029C8BC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AAB5EF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2B67AF8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5A79C2" w:rsidRPr="001301D4" w14:paraId="09375BCD" w14:textId="77777777" w:rsidTr="00E31CB4">
        <w:trPr>
          <w:trHeight w:val="237"/>
          <w:jc w:val="center"/>
        </w:trPr>
        <w:tc>
          <w:tcPr>
            <w:tcW w:w="3427" w:type="dxa"/>
            <w:vAlign w:val="center"/>
          </w:tcPr>
          <w:p w14:paraId="3AFAE3BF" w14:textId="1E833E84" w:rsidR="005A79C2" w:rsidRDefault="005A79C2" w:rsidP="005A79C2">
            <w:pPr>
              <w:jc w:val="center"/>
              <w:rPr>
                <w:sz w:val="20"/>
                <w:szCs w:val="20"/>
                <w:lang w:val="en-US"/>
              </w:rPr>
            </w:pPr>
            <w:r>
              <w:rPr>
                <w:sz w:val="20"/>
                <w:szCs w:val="20"/>
                <w:lang w:val="en-US"/>
              </w:rPr>
              <w:t>Br</w:t>
            </w:r>
          </w:p>
        </w:tc>
        <w:tc>
          <w:tcPr>
            <w:tcW w:w="1735" w:type="dxa"/>
            <w:vAlign w:val="center"/>
          </w:tcPr>
          <w:p w14:paraId="45FFE5BC" w14:textId="71688049" w:rsidR="005A79C2" w:rsidRDefault="005A79C2" w:rsidP="005A79C2">
            <w:pPr>
              <w:jc w:val="center"/>
              <w:rPr>
                <w:sz w:val="20"/>
                <w:szCs w:val="20"/>
                <w:lang w:val="en-US"/>
              </w:rPr>
            </w:pPr>
            <w:proofErr w:type="spellStart"/>
            <w:r>
              <w:rPr>
                <w:sz w:val="20"/>
                <w:szCs w:val="20"/>
                <w:lang w:val="en-US"/>
              </w:rPr>
              <w:t>n.a.</w:t>
            </w:r>
            <w:proofErr w:type="spellEnd"/>
          </w:p>
        </w:tc>
        <w:tc>
          <w:tcPr>
            <w:tcW w:w="2375" w:type="dxa"/>
            <w:vAlign w:val="center"/>
          </w:tcPr>
          <w:p w14:paraId="051D44DA" w14:textId="510E5FDD" w:rsidR="005A79C2" w:rsidRDefault="005A79C2" w:rsidP="005A79C2">
            <w:pPr>
              <w:jc w:val="center"/>
              <w:rPr>
                <w:sz w:val="20"/>
                <w:szCs w:val="20"/>
                <w:lang w:val="en-US"/>
              </w:rPr>
            </w:pPr>
            <w:proofErr w:type="spellStart"/>
            <w:r>
              <w:rPr>
                <w:sz w:val="20"/>
                <w:szCs w:val="20"/>
                <w:lang w:val="en-US"/>
              </w:rPr>
              <w:t>n.a.</w:t>
            </w:r>
            <w:proofErr w:type="spellEnd"/>
          </w:p>
        </w:tc>
        <w:tc>
          <w:tcPr>
            <w:tcW w:w="1772" w:type="dxa"/>
            <w:vAlign w:val="center"/>
          </w:tcPr>
          <w:p w14:paraId="4EE713B8" w14:textId="2F807821" w:rsidR="005A79C2" w:rsidRDefault="005A79C2" w:rsidP="005A79C2">
            <w:pPr>
              <w:jc w:val="center"/>
              <w:rPr>
                <w:sz w:val="20"/>
                <w:szCs w:val="20"/>
                <w:lang w:val="en-US"/>
              </w:rPr>
            </w:pPr>
            <w:proofErr w:type="spellStart"/>
            <w:r>
              <w:rPr>
                <w:sz w:val="20"/>
                <w:szCs w:val="20"/>
                <w:lang w:val="en-US"/>
              </w:rPr>
              <w:t>n.a.</w:t>
            </w:r>
            <w:proofErr w:type="spellEnd"/>
          </w:p>
        </w:tc>
        <w:tc>
          <w:tcPr>
            <w:tcW w:w="2500" w:type="dxa"/>
            <w:vAlign w:val="center"/>
          </w:tcPr>
          <w:p w14:paraId="11EC6059" w14:textId="6E8D5178" w:rsidR="005A79C2" w:rsidRDefault="005A79C2" w:rsidP="005A79C2">
            <w:pPr>
              <w:jc w:val="center"/>
              <w:rPr>
                <w:sz w:val="20"/>
                <w:szCs w:val="20"/>
                <w:lang w:val="en-US"/>
              </w:rPr>
            </w:pPr>
            <w:proofErr w:type="spellStart"/>
            <w:r>
              <w:rPr>
                <w:sz w:val="20"/>
                <w:szCs w:val="20"/>
                <w:lang w:val="en-US"/>
              </w:rPr>
              <w:t>n.a.</w:t>
            </w:r>
            <w:proofErr w:type="spellEnd"/>
          </w:p>
        </w:tc>
        <w:tc>
          <w:tcPr>
            <w:tcW w:w="1996" w:type="dxa"/>
            <w:vAlign w:val="center"/>
          </w:tcPr>
          <w:p w14:paraId="3438FC64" w14:textId="3E7B4D5F" w:rsidR="005A79C2" w:rsidRDefault="005A79C2" w:rsidP="005A79C2">
            <w:pPr>
              <w:jc w:val="center"/>
              <w:rPr>
                <w:sz w:val="20"/>
                <w:szCs w:val="20"/>
                <w:lang w:val="en-US"/>
              </w:rPr>
            </w:pPr>
            <w:proofErr w:type="spellStart"/>
            <w:r>
              <w:rPr>
                <w:sz w:val="20"/>
                <w:szCs w:val="20"/>
                <w:lang w:val="en-US"/>
              </w:rPr>
              <w:t>n.a.</w:t>
            </w:r>
            <w:proofErr w:type="spellEnd"/>
          </w:p>
        </w:tc>
      </w:tr>
    </w:tbl>
    <w:p w14:paraId="17F8E7E1" w14:textId="05D39A37" w:rsidR="002D0A3E" w:rsidRDefault="002D0A3E" w:rsidP="00067A80">
      <w:pPr>
        <w:tabs>
          <w:tab w:val="left" w:pos="1425"/>
          <w:tab w:val="center" w:pos="6979"/>
          <w:tab w:val="left" w:pos="14601"/>
        </w:tabs>
        <w:spacing w:line="276" w:lineRule="auto"/>
        <w:ind w:left="851" w:right="797"/>
        <w:jc w:val="both"/>
        <w:rPr>
          <w:rStyle w:val="tlid-translation"/>
          <w:sz w:val="20"/>
          <w:lang w:val="en"/>
        </w:rPr>
      </w:pPr>
      <w:proofErr w:type="spellStart"/>
      <w:r>
        <w:rPr>
          <w:sz w:val="20"/>
          <w:szCs w:val="20"/>
          <w:lang w:val="en-US"/>
        </w:rPr>
        <w:t>n.a.</w:t>
      </w:r>
      <w:proofErr w:type="spellEnd"/>
      <w:r>
        <w:rPr>
          <w:sz w:val="20"/>
          <w:szCs w:val="20"/>
          <w:lang w:val="en-US"/>
        </w:rPr>
        <w:t xml:space="preserve"> – No available; - </w:t>
      </w:r>
      <w:r w:rsidR="00765852">
        <w:rPr>
          <w:sz w:val="20"/>
          <w:szCs w:val="20"/>
          <w:lang w:val="en-US"/>
        </w:rPr>
        <w:t>–</w:t>
      </w:r>
      <w:r>
        <w:rPr>
          <w:sz w:val="20"/>
          <w:szCs w:val="20"/>
          <w:lang w:val="en-US"/>
        </w:rPr>
        <w:t xml:space="preserve"> </w:t>
      </w:r>
      <w:r w:rsidRPr="00984C41">
        <w:rPr>
          <w:rStyle w:val="tlid-translation"/>
          <w:sz w:val="20"/>
          <w:lang w:val="en"/>
        </w:rPr>
        <w:t>No mutagenic action</w:t>
      </w:r>
      <w:r>
        <w:rPr>
          <w:rStyle w:val="tlid-translation"/>
          <w:sz w:val="20"/>
          <w:lang w:val="en"/>
        </w:rPr>
        <w:t xml:space="preserve">; M - </w:t>
      </w:r>
      <w:r w:rsidRPr="003E5DF8">
        <w:rPr>
          <w:rStyle w:val="tlid-translation"/>
          <w:sz w:val="20"/>
          <w:lang w:val="en"/>
        </w:rPr>
        <w:t>mutagenic and early life data lacking</w:t>
      </w:r>
      <w:r>
        <w:rPr>
          <w:rStyle w:val="tlid-translation"/>
          <w:sz w:val="20"/>
          <w:lang w:val="en"/>
        </w:rPr>
        <w:t>; M</w:t>
      </w:r>
      <w:r w:rsidRPr="00B2689C">
        <w:rPr>
          <w:rStyle w:val="tlid-translation"/>
          <w:sz w:val="20"/>
          <w:lang w:val="en"/>
        </w:rPr>
        <w:t>-</w:t>
      </w:r>
      <w:proofErr w:type="spellStart"/>
      <w:r w:rsidRPr="00B2689C">
        <w:rPr>
          <w:rStyle w:val="tlid-translation"/>
          <w:sz w:val="20"/>
          <w:lang w:val="en"/>
        </w:rPr>
        <w:t>rpf</w:t>
      </w:r>
      <w:proofErr w:type="spellEnd"/>
      <w:r w:rsidRPr="00B2689C">
        <w:rPr>
          <w:rStyle w:val="tlid-translation"/>
          <w:sz w:val="20"/>
          <w:lang w:val="en"/>
        </w:rPr>
        <w:t xml:space="preserve"> = relative potency factors were used to derive unit risk values based on the cancer risk of benzo[</w:t>
      </w:r>
      <w:r w:rsidRPr="00B2689C">
        <w:rPr>
          <w:rStyle w:val="tlid-translation"/>
          <w:i/>
          <w:sz w:val="20"/>
          <w:lang w:val="en"/>
        </w:rPr>
        <w:t>a</w:t>
      </w:r>
      <w:r w:rsidRPr="00B2689C">
        <w:rPr>
          <w:rStyle w:val="tlid-translation"/>
          <w:sz w:val="20"/>
          <w:lang w:val="en"/>
        </w:rPr>
        <w:t>]pyrene as the index chemical. In both cases, age-dependent adjustment factors should be applied when assessing risk</w:t>
      </w:r>
      <w:r>
        <w:rPr>
          <w:rStyle w:val="tlid-translation"/>
          <w:sz w:val="20"/>
          <w:lang w:val="en"/>
        </w:rPr>
        <w:t xml:space="preserve"> for ages younger than 16 years.</w:t>
      </w:r>
    </w:p>
    <w:p w14:paraId="42E45B3C" w14:textId="77777777"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IARC</w:t>
      </w:r>
      <w:r>
        <w:rPr>
          <w:rStyle w:val="tlid-translation"/>
          <w:sz w:val="20"/>
          <w:lang w:val="en"/>
        </w:rPr>
        <w:t xml:space="preserve"> classification: </w:t>
      </w:r>
      <w:r w:rsidRPr="00F9478E">
        <w:rPr>
          <w:rStyle w:val="tlid-translation"/>
          <w:b/>
          <w:bCs/>
          <w:sz w:val="20"/>
          <w:lang w:val="en"/>
        </w:rPr>
        <w:t>1</w:t>
      </w:r>
      <w:r w:rsidRPr="003F53E8">
        <w:rPr>
          <w:rStyle w:val="tlid-translation"/>
          <w:sz w:val="20"/>
          <w:lang w:val="en"/>
        </w:rPr>
        <w:t xml:space="preserve"> = carcinogenic;</w:t>
      </w:r>
      <w:r w:rsidRPr="00F9478E">
        <w:rPr>
          <w:rStyle w:val="tlid-translation"/>
          <w:b/>
          <w:bCs/>
          <w:sz w:val="20"/>
          <w:lang w:val="en"/>
        </w:rPr>
        <w:t xml:space="preserve"> 2A</w:t>
      </w:r>
      <w:r w:rsidRPr="003F53E8">
        <w:rPr>
          <w:rStyle w:val="tlid-translation"/>
          <w:sz w:val="20"/>
          <w:lang w:val="en"/>
        </w:rPr>
        <w:t xml:space="preserve"> = probably carcinogenic; </w:t>
      </w:r>
      <w:r w:rsidRPr="00F9478E">
        <w:rPr>
          <w:rStyle w:val="tlid-translation"/>
          <w:b/>
          <w:bCs/>
          <w:sz w:val="20"/>
          <w:lang w:val="en"/>
        </w:rPr>
        <w:t>2B</w:t>
      </w:r>
      <w:r w:rsidRPr="003F53E8">
        <w:rPr>
          <w:rStyle w:val="tlid-translation"/>
          <w:sz w:val="20"/>
          <w:lang w:val="en"/>
        </w:rPr>
        <w:t xml:space="preserve"> = possibly carcinogenic; </w:t>
      </w:r>
      <w:r w:rsidRPr="00F9478E">
        <w:rPr>
          <w:rStyle w:val="tlid-translation"/>
          <w:b/>
          <w:bCs/>
          <w:sz w:val="20"/>
          <w:lang w:val="en"/>
        </w:rPr>
        <w:t>3</w:t>
      </w:r>
      <w:r w:rsidRPr="003F53E8">
        <w:rPr>
          <w:rStyle w:val="tlid-translation"/>
          <w:sz w:val="20"/>
          <w:lang w:val="en"/>
        </w:rPr>
        <w:t xml:space="preserve"> = not classifiable</w:t>
      </w:r>
      <w:r>
        <w:rPr>
          <w:rStyle w:val="tlid-translation"/>
          <w:sz w:val="20"/>
          <w:lang w:val="en"/>
        </w:rPr>
        <w:t xml:space="preserve">; </w:t>
      </w:r>
      <w:r w:rsidRPr="00F9478E">
        <w:rPr>
          <w:rStyle w:val="tlid-translation"/>
          <w:b/>
          <w:bCs/>
          <w:sz w:val="20"/>
          <w:lang w:val="en"/>
        </w:rPr>
        <w:t>4</w:t>
      </w:r>
      <w:r>
        <w:rPr>
          <w:rStyle w:val="tlid-translation"/>
          <w:sz w:val="20"/>
          <w:lang w:val="en"/>
        </w:rPr>
        <w:t xml:space="preserve"> = probably not carcinogenic;</w:t>
      </w:r>
    </w:p>
    <w:p w14:paraId="1F60AEAC" w14:textId="77777777" w:rsidR="00F9478E" w:rsidRDefault="002D0A3E" w:rsidP="00F9478E">
      <w:pPr>
        <w:tabs>
          <w:tab w:val="left" w:pos="1425"/>
          <w:tab w:val="center" w:pos="6979"/>
        </w:tabs>
        <w:spacing w:after="0" w:line="276" w:lineRule="auto"/>
        <w:ind w:left="851" w:right="797"/>
        <w:rPr>
          <w:rStyle w:val="tlid-translation"/>
          <w:sz w:val="20"/>
          <w:lang w:val="en"/>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Agency","id":"ITEM-1","issued":{"date-parts":[["2005"]]},"title":"Guidelines for Carcinogen Risk Assessment","type":"report"},"suppress-author":1,"uris":["http://www.mendeley.com/documents/?uuid=a06aa61a-bea3-44fb-a2a4-74475e8d4b5d"]}],"mendeley":{"formattedCitation":"(2005b)","plainTextFormattedCitation":"(2005b)","previouslyFormattedCitation":"(2005b)"},"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(2005b)</w:t>
      </w:r>
      <w:r>
        <w:rPr>
          <w:rStyle w:val="tlid-translation"/>
          <w:sz w:val="20"/>
          <w:lang w:val="en"/>
        </w:rPr>
        <w:fldChar w:fldCharType="end"/>
      </w:r>
      <w:r>
        <w:rPr>
          <w:rStyle w:val="tlid-translation"/>
          <w:sz w:val="20"/>
          <w:lang w:val="en"/>
        </w:rPr>
        <w:t xml:space="preserve"> classification: </w:t>
      </w:r>
      <w:r w:rsidRPr="00F9478E">
        <w:rPr>
          <w:rStyle w:val="tlid-translation"/>
          <w:b/>
          <w:bCs/>
          <w:sz w:val="20"/>
          <w:lang w:val="en"/>
        </w:rPr>
        <w:t>CH</w:t>
      </w:r>
      <w:r w:rsidRPr="003F53E8">
        <w:rPr>
          <w:rStyle w:val="tlid-translation"/>
          <w:sz w:val="20"/>
          <w:lang w:val="en"/>
        </w:rPr>
        <w:t xml:space="preserve"> = carcinogenic to humans; </w:t>
      </w:r>
      <w:r w:rsidRPr="00F9478E">
        <w:rPr>
          <w:rStyle w:val="tlid-translation"/>
          <w:b/>
          <w:bCs/>
          <w:sz w:val="20"/>
          <w:lang w:val="en"/>
        </w:rPr>
        <w:t xml:space="preserve">LH </w:t>
      </w:r>
      <w:r w:rsidRPr="003F53E8">
        <w:rPr>
          <w:rStyle w:val="tlid-translation"/>
          <w:sz w:val="20"/>
          <w:lang w:val="en"/>
        </w:rPr>
        <w:t xml:space="preserve">= likely to be carcinogenic; </w:t>
      </w:r>
      <w:r w:rsidRPr="00F9478E">
        <w:rPr>
          <w:rStyle w:val="tlid-translation"/>
          <w:b/>
          <w:bCs/>
          <w:sz w:val="20"/>
          <w:lang w:val="en"/>
        </w:rPr>
        <w:t>SE</w:t>
      </w:r>
      <w:r w:rsidRPr="003F53E8">
        <w:rPr>
          <w:rStyle w:val="tlid-translation"/>
          <w:sz w:val="20"/>
          <w:lang w:val="en"/>
        </w:rPr>
        <w:t xml:space="preserve"> = suggestive evidence of carcinogenic potential; </w:t>
      </w:r>
    </w:p>
    <w:p w14:paraId="4D8CE4FD" w14:textId="4FFFB21C" w:rsidR="002D0A3E" w:rsidRDefault="002D0A3E" w:rsidP="00FC4FD7">
      <w:pPr>
        <w:tabs>
          <w:tab w:val="left" w:pos="1425"/>
          <w:tab w:val="center" w:pos="6979"/>
        </w:tabs>
        <w:spacing w:line="276" w:lineRule="auto"/>
        <w:ind w:left="851" w:right="797"/>
        <w:rPr>
          <w:rStyle w:val="tlid-translation"/>
          <w:sz w:val="20"/>
          <w:lang w:val="en"/>
        </w:rPr>
      </w:pPr>
      <w:proofErr w:type="spellStart"/>
      <w:r w:rsidRPr="00F9478E">
        <w:rPr>
          <w:rStyle w:val="tlid-translation"/>
          <w:b/>
          <w:bCs/>
          <w:sz w:val="20"/>
          <w:lang w:val="en"/>
        </w:rPr>
        <w:t>InI</w:t>
      </w:r>
      <w:proofErr w:type="spellEnd"/>
      <w:r w:rsidRPr="00F9478E">
        <w:rPr>
          <w:rStyle w:val="tlid-translation"/>
          <w:b/>
          <w:bCs/>
          <w:sz w:val="20"/>
          <w:lang w:val="en"/>
        </w:rPr>
        <w:t xml:space="preserve"> </w:t>
      </w:r>
      <w:r w:rsidRPr="003F53E8">
        <w:rPr>
          <w:rStyle w:val="tlid-translation"/>
          <w:sz w:val="20"/>
          <w:lang w:val="en"/>
        </w:rPr>
        <w:t xml:space="preserve">= inadequate information to assess carcinogenic potential; </w:t>
      </w:r>
      <w:r w:rsidRPr="00F9478E">
        <w:rPr>
          <w:rStyle w:val="tlid-translation"/>
          <w:b/>
          <w:bCs/>
          <w:sz w:val="20"/>
          <w:lang w:val="en"/>
        </w:rPr>
        <w:t>NH</w:t>
      </w:r>
      <w:r w:rsidRPr="003F53E8">
        <w:rPr>
          <w:rStyle w:val="tlid-translation"/>
          <w:sz w:val="20"/>
          <w:lang w:val="en"/>
        </w:rPr>
        <w:t xml:space="preserve"> </w:t>
      </w:r>
      <w:r>
        <w:rPr>
          <w:rStyle w:val="tlid-translation"/>
          <w:sz w:val="20"/>
          <w:lang w:val="en"/>
        </w:rPr>
        <w:t>= not likely to be carcinogenic</w:t>
      </w:r>
    </w:p>
    <w:p w14:paraId="405B7A43" w14:textId="77777777" w:rsidR="00FC4FD7" w:rsidRDefault="002D0A3E" w:rsidP="00FC4FD7">
      <w:pPr>
        <w:tabs>
          <w:tab w:val="left" w:pos="1425"/>
          <w:tab w:val="center" w:pos="6979"/>
        </w:tabs>
        <w:spacing w:after="0" w:line="276" w:lineRule="auto"/>
        <w:ind w:left="851" w:right="797"/>
        <w:rPr>
          <w:sz w:val="20"/>
          <w:szCs w:val="20"/>
          <w:lang w:val="en-US"/>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Agency","id":"ITEM-1","issued":{"date-parts":[["1986"]]},"title":"Guidelines for Carcinogen Risk Assessment","type":"report"},"suppress-author":1,"uris":["http://www.mendeley.com/documents/?uuid=9970a1a1-eed0-4c99-affd-e3a7e202986e"]}],"mendeley":{"formattedCitation":"(1986)","plainTextFormattedCitation":"(1986)","previouslyFormattedCitation":"(1986)"},"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(1986)</w:t>
      </w:r>
      <w:r>
        <w:rPr>
          <w:rStyle w:val="tlid-translation"/>
          <w:sz w:val="20"/>
          <w:lang w:val="en"/>
        </w:rPr>
        <w:fldChar w:fldCharType="end"/>
      </w:r>
      <w:r>
        <w:rPr>
          <w:rStyle w:val="tlid-translation"/>
          <w:sz w:val="20"/>
          <w:lang w:val="en"/>
        </w:rPr>
        <w:t xml:space="preserve"> classification: </w:t>
      </w:r>
      <w:r w:rsidRPr="00F9478E">
        <w:rPr>
          <w:b/>
          <w:bCs/>
          <w:sz w:val="20"/>
          <w:szCs w:val="20"/>
          <w:lang w:val="en-US"/>
        </w:rPr>
        <w:t>A</w:t>
      </w:r>
      <w:r w:rsidRPr="003F53E8">
        <w:rPr>
          <w:sz w:val="20"/>
          <w:szCs w:val="20"/>
          <w:lang w:val="en-US"/>
        </w:rPr>
        <w:t xml:space="preserve"> = human carcinogen; </w:t>
      </w:r>
      <w:r w:rsidRPr="00F9478E">
        <w:rPr>
          <w:b/>
          <w:bCs/>
          <w:sz w:val="20"/>
          <w:szCs w:val="20"/>
          <w:lang w:val="en-US"/>
        </w:rPr>
        <w:t>B1</w:t>
      </w:r>
      <w:r w:rsidRPr="003F53E8">
        <w:rPr>
          <w:sz w:val="20"/>
          <w:szCs w:val="20"/>
          <w:lang w:val="en-US"/>
        </w:rPr>
        <w:t xml:space="preserve"> = probable carcinogen, limited human evidence;</w:t>
      </w:r>
      <w:r w:rsidRPr="00F9478E">
        <w:rPr>
          <w:b/>
          <w:bCs/>
          <w:sz w:val="20"/>
          <w:szCs w:val="20"/>
          <w:lang w:val="en-US"/>
        </w:rPr>
        <w:t xml:space="preserve"> B2</w:t>
      </w:r>
      <w:r w:rsidRPr="003F53E8">
        <w:rPr>
          <w:sz w:val="20"/>
          <w:szCs w:val="20"/>
          <w:lang w:val="en-US"/>
        </w:rPr>
        <w:t xml:space="preserve"> = probable carcinogen, sufficient evidence in animals; </w:t>
      </w:r>
    </w:p>
    <w:p w14:paraId="31398FBC" w14:textId="20282D38" w:rsidR="002D0A3E" w:rsidRPr="00984C41" w:rsidRDefault="002D0A3E" w:rsidP="00FC4FD7">
      <w:pPr>
        <w:tabs>
          <w:tab w:val="left" w:pos="1425"/>
          <w:tab w:val="center" w:pos="6979"/>
        </w:tabs>
        <w:spacing w:line="240" w:lineRule="auto"/>
        <w:ind w:left="851" w:right="797"/>
        <w:rPr>
          <w:sz w:val="20"/>
          <w:szCs w:val="20"/>
          <w:lang w:val="en-US"/>
        </w:rPr>
      </w:pPr>
      <w:r w:rsidRPr="00F9478E">
        <w:rPr>
          <w:b/>
          <w:bCs/>
          <w:sz w:val="20"/>
          <w:szCs w:val="20"/>
          <w:lang w:val="en-US"/>
        </w:rPr>
        <w:t>C</w:t>
      </w:r>
      <w:r w:rsidRPr="003F53E8">
        <w:rPr>
          <w:sz w:val="20"/>
          <w:szCs w:val="20"/>
          <w:lang w:val="en-US"/>
        </w:rPr>
        <w:t xml:space="preserve"> = possible human carcinogen; </w:t>
      </w:r>
      <w:r w:rsidRPr="00F9478E">
        <w:rPr>
          <w:b/>
          <w:bCs/>
          <w:sz w:val="20"/>
          <w:szCs w:val="20"/>
          <w:lang w:val="en-US"/>
        </w:rPr>
        <w:t>D</w:t>
      </w:r>
      <w:r w:rsidRPr="003F53E8">
        <w:rPr>
          <w:sz w:val="20"/>
          <w:szCs w:val="20"/>
          <w:lang w:val="en-US"/>
        </w:rPr>
        <w:t xml:space="preserve"> = not classifiable; </w:t>
      </w:r>
      <w:r w:rsidRPr="00F9478E">
        <w:rPr>
          <w:b/>
          <w:bCs/>
          <w:sz w:val="20"/>
          <w:szCs w:val="20"/>
          <w:lang w:val="en-US"/>
        </w:rPr>
        <w:t>E</w:t>
      </w:r>
      <w:r w:rsidRPr="003F53E8">
        <w:rPr>
          <w:sz w:val="20"/>
          <w:szCs w:val="20"/>
          <w:lang w:val="en-US"/>
        </w:rPr>
        <w:t xml:space="preserve"> =</w:t>
      </w:r>
      <w:r>
        <w:rPr>
          <w:sz w:val="20"/>
          <w:szCs w:val="20"/>
          <w:lang w:val="en-US"/>
        </w:rPr>
        <w:t xml:space="preserve"> evidence of non-carcinogenicity.</w:t>
      </w:r>
      <w:r w:rsidRPr="00984C41">
        <w:rPr>
          <w:sz w:val="20"/>
          <w:szCs w:val="20"/>
          <w:lang w:val="en-US"/>
        </w:rPr>
        <w:tab/>
      </w:r>
    </w:p>
    <w:p w14:paraId="084BE043" w14:textId="77777777" w:rsidR="002D0A3E" w:rsidRPr="00984C41" w:rsidRDefault="002D0A3E" w:rsidP="002D0A3E">
      <w:pPr>
        <w:rPr>
          <w:sz w:val="36"/>
          <w:lang w:val="en-US"/>
        </w:rPr>
        <w:sectPr w:rsidR="002D0A3E" w:rsidRPr="00984C41" w:rsidSect="00CC68E6">
          <w:type w:val="continuous"/>
          <w:pgSz w:w="16838" w:h="11906" w:orient="landscape"/>
          <w:pgMar w:top="720" w:right="720" w:bottom="720" w:left="720" w:header="709" w:footer="709" w:gutter="0"/>
          <w:cols w:space="708"/>
          <w:docGrid w:linePitch="360"/>
        </w:sectPr>
      </w:pPr>
    </w:p>
    <w:p w14:paraId="61E73052" w14:textId="77777777" w:rsidR="00946F8A" w:rsidRDefault="00946F8A" w:rsidP="00946F8A">
      <w:pPr>
        <w:jc w:val="center"/>
        <w:rPr>
          <w:rFonts w:eastAsia="Times New Roman"/>
          <w:b/>
          <w:kern w:val="36"/>
          <w:sz w:val="36"/>
          <w:szCs w:val="36"/>
          <w:lang w:val="en-US" w:eastAsia="pt-BR"/>
        </w:rPr>
      </w:pPr>
    </w:p>
    <w:p w14:paraId="7D35ACA7" w14:textId="77777777" w:rsidR="00946F8A" w:rsidRDefault="00946F8A" w:rsidP="00946F8A">
      <w:pPr>
        <w:jc w:val="center"/>
        <w:rPr>
          <w:rFonts w:eastAsia="Times New Roman"/>
          <w:b/>
          <w:kern w:val="36"/>
          <w:sz w:val="36"/>
          <w:szCs w:val="36"/>
          <w:lang w:val="en-US" w:eastAsia="pt-BR"/>
        </w:rPr>
      </w:pPr>
    </w:p>
    <w:p w14:paraId="0F2D6DF8" w14:textId="77777777" w:rsidR="00946F8A" w:rsidRDefault="00946F8A" w:rsidP="00946F8A">
      <w:pPr>
        <w:jc w:val="center"/>
        <w:rPr>
          <w:rFonts w:eastAsia="Times New Roman"/>
          <w:b/>
          <w:kern w:val="36"/>
          <w:sz w:val="36"/>
          <w:szCs w:val="36"/>
          <w:lang w:val="en-US" w:eastAsia="pt-BR"/>
        </w:rPr>
      </w:pPr>
    </w:p>
    <w:p w14:paraId="5CE07AC4" w14:textId="77777777" w:rsidR="00946F8A" w:rsidRDefault="00946F8A" w:rsidP="00946F8A">
      <w:pPr>
        <w:jc w:val="center"/>
        <w:rPr>
          <w:rFonts w:eastAsia="Times New Roman"/>
          <w:b/>
          <w:kern w:val="36"/>
          <w:sz w:val="36"/>
          <w:szCs w:val="36"/>
          <w:lang w:val="en-US" w:eastAsia="pt-BR"/>
        </w:rPr>
      </w:pPr>
    </w:p>
    <w:p w14:paraId="2AD28978" w14:textId="77777777" w:rsidR="00946F8A" w:rsidRDefault="00946F8A" w:rsidP="00946F8A">
      <w:pPr>
        <w:jc w:val="center"/>
        <w:rPr>
          <w:rFonts w:eastAsia="Times New Roman"/>
          <w:b/>
          <w:kern w:val="36"/>
          <w:sz w:val="36"/>
          <w:szCs w:val="36"/>
          <w:lang w:val="en-US" w:eastAsia="pt-BR"/>
        </w:rPr>
      </w:pPr>
    </w:p>
    <w:p w14:paraId="69F09962" w14:textId="77777777" w:rsidR="00946F8A" w:rsidRDefault="00946F8A" w:rsidP="00946F8A">
      <w:pPr>
        <w:jc w:val="center"/>
        <w:rPr>
          <w:rFonts w:eastAsia="Times New Roman"/>
          <w:b/>
          <w:kern w:val="36"/>
          <w:sz w:val="36"/>
          <w:szCs w:val="36"/>
          <w:lang w:val="en-US" w:eastAsia="pt-BR"/>
        </w:rPr>
      </w:pPr>
    </w:p>
    <w:p w14:paraId="4E3927CE" w14:textId="77777777" w:rsidR="00946F8A" w:rsidRDefault="00946F8A" w:rsidP="00946F8A">
      <w:pPr>
        <w:jc w:val="center"/>
        <w:rPr>
          <w:rFonts w:eastAsia="Times New Roman"/>
          <w:b/>
          <w:kern w:val="36"/>
          <w:sz w:val="36"/>
          <w:szCs w:val="36"/>
          <w:lang w:val="en-US" w:eastAsia="pt-BR"/>
        </w:rPr>
      </w:pPr>
    </w:p>
    <w:p w14:paraId="01B8F690" w14:textId="77777777" w:rsidR="00946F8A" w:rsidRDefault="00946F8A" w:rsidP="00946F8A">
      <w:pPr>
        <w:jc w:val="center"/>
        <w:rPr>
          <w:rFonts w:eastAsia="Times New Roman"/>
          <w:b/>
          <w:kern w:val="36"/>
          <w:sz w:val="36"/>
          <w:szCs w:val="36"/>
          <w:lang w:val="en-US" w:eastAsia="pt-BR"/>
        </w:rPr>
      </w:pPr>
    </w:p>
    <w:p w14:paraId="2FD794EE" w14:textId="77777777" w:rsidR="00946F8A" w:rsidRDefault="00946F8A" w:rsidP="00946F8A">
      <w:pPr>
        <w:jc w:val="center"/>
        <w:rPr>
          <w:rFonts w:eastAsia="Times New Roman"/>
          <w:b/>
          <w:kern w:val="36"/>
          <w:sz w:val="36"/>
          <w:szCs w:val="36"/>
          <w:lang w:val="en-US" w:eastAsia="pt-BR"/>
        </w:rPr>
      </w:pPr>
    </w:p>
    <w:p w14:paraId="7C794527" w14:textId="77777777" w:rsidR="00946F8A" w:rsidRDefault="00946F8A" w:rsidP="00946F8A">
      <w:pPr>
        <w:jc w:val="center"/>
        <w:rPr>
          <w:rFonts w:eastAsia="Times New Roman"/>
          <w:b/>
          <w:kern w:val="36"/>
          <w:sz w:val="36"/>
          <w:szCs w:val="36"/>
          <w:lang w:val="en-US" w:eastAsia="pt-BR"/>
        </w:rPr>
      </w:pPr>
    </w:p>
    <w:p w14:paraId="535EE014" w14:textId="77777777" w:rsidR="00946F8A" w:rsidRDefault="00946F8A" w:rsidP="00946F8A">
      <w:pPr>
        <w:jc w:val="center"/>
        <w:rPr>
          <w:rFonts w:eastAsia="Times New Roman"/>
          <w:b/>
          <w:kern w:val="36"/>
          <w:sz w:val="36"/>
          <w:szCs w:val="36"/>
          <w:lang w:val="en-US" w:eastAsia="pt-BR"/>
        </w:rPr>
      </w:pPr>
    </w:p>
    <w:p w14:paraId="79C7434B" w14:textId="03EF937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RADIOLOGICAL RISK</w:t>
      </w:r>
    </w:p>
    <w:p w14:paraId="6C6D80E4"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17DE327D" w14:textId="77777777" w:rsidR="00636BD6" w:rsidRDefault="00636BD6" w:rsidP="00636BD6">
      <w:pPr>
        <w:spacing w:after="60" w:line="276" w:lineRule="auto"/>
        <w:ind w:firstLine="284"/>
        <w:jc w:val="both"/>
        <w:rPr>
          <w:sz w:val="28"/>
          <w:lang w:val="en-US"/>
        </w:rPr>
        <w:sectPr w:rsidR="00636BD6" w:rsidSect="00CC68E6">
          <w:type w:val="continuous"/>
          <w:pgSz w:w="11906" w:h="16838"/>
          <w:pgMar w:top="720" w:right="720" w:bottom="720" w:left="720" w:header="708" w:footer="708" w:gutter="0"/>
          <w:cols w:space="708"/>
          <w:docGrid w:linePitch="360"/>
        </w:sectPr>
      </w:pPr>
    </w:p>
    <w:p w14:paraId="1E386651" w14:textId="05B53C2C" w:rsidR="00636BD6" w:rsidRPr="00636BD6" w:rsidRDefault="00636BD6" w:rsidP="00636BD6">
      <w:pPr>
        <w:spacing w:after="60" w:line="276" w:lineRule="auto"/>
        <w:ind w:firstLine="284"/>
        <w:jc w:val="both"/>
        <w:rPr>
          <w:sz w:val="28"/>
          <w:lang w:val="en-US"/>
        </w:rPr>
      </w:pPr>
      <w:r w:rsidRPr="00636BD6">
        <w:rPr>
          <w:sz w:val="28"/>
          <w:lang w:val="en-US"/>
        </w:rPr>
        <w:lastRenderedPageBreak/>
        <w:t xml:space="preserve">The implementation of the </w:t>
      </w:r>
      <w:proofErr w:type="spellStart"/>
      <w:r w:rsidRPr="00636BD6">
        <w:rPr>
          <w:b/>
          <w:bCs/>
          <w:i/>
          <w:iCs/>
          <w:sz w:val="28"/>
          <w:lang w:val="en-US"/>
        </w:rPr>
        <w:t>Radio_risk</w:t>
      </w:r>
      <w:proofErr w:type="spellEnd"/>
      <w:r w:rsidRPr="00636BD6">
        <w:rPr>
          <w:sz w:val="28"/>
          <w:lang w:val="en-US"/>
        </w:rPr>
        <w:t xml:space="preserve"> subroutine in </w:t>
      </w:r>
      <w:proofErr w:type="spellStart"/>
      <w:r w:rsidR="003F31FE">
        <w:rPr>
          <w:sz w:val="28"/>
          <w:lang w:val="en-US"/>
        </w:rPr>
        <w:t>HERisk</w:t>
      </w:r>
      <w:proofErr w:type="spellEnd"/>
      <w:r w:rsidRPr="00636BD6">
        <w:rPr>
          <w:sz w:val="28"/>
          <w:lang w:val="en-US"/>
        </w:rPr>
        <w:t xml:space="preserve"> allows </w:t>
      </w:r>
      <w:r w:rsidRPr="00636BD6">
        <w:rPr>
          <w:rStyle w:val="tlid-translation"/>
          <w:sz w:val="28"/>
          <w:lang w:val="en-US"/>
        </w:rPr>
        <w:t xml:space="preserve">to assess the radiological hazard </w:t>
      </w:r>
      <w:r w:rsidRPr="00636BD6">
        <w:rPr>
          <w:sz w:val="28"/>
          <w:lang w:val="en-US"/>
        </w:rPr>
        <w:t>associated with exposure to Naturally Occurring Radioactive Materials (NORM)</w:t>
      </w:r>
      <w:r w:rsidRPr="00636BD6">
        <w:rPr>
          <w:rStyle w:val="tlid-translation"/>
          <w:sz w:val="28"/>
          <w:lang w:val="en-US"/>
        </w:rPr>
        <w:t xml:space="preserve">. Natural radiation sources constitute almost 80% of the collective radiation exposure of the world population. Pointedly, terrestrial background radiation due to </w:t>
      </w:r>
      <w:r w:rsidRPr="00636BD6">
        <w:rPr>
          <w:sz w:val="28"/>
          <w:lang w:val="en-US"/>
        </w:rPr>
        <w:t>natural radionuclides (</w:t>
      </w:r>
      <w:r w:rsidRPr="00636BD6">
        <w:rPr>
          <w:sz w:val="28"/>
          <w:vertAlign w:val="superscript"/>
          <w:lang w:val="en-US"/>
        </w:rPr>
        <w:t>238</w:t>
      </w:r>
      <w:r w:rsidRPr="00636BD6">
        <w:rPr>
          <w:sz w:val="28"/>
          <w:lang w:val="en-US"/>
        </w:rPr>
        <w:t xml:space="preserve">U, </w:t>
      </w:r>
      <w:r w:rsidRPr="00636BD6">
        <w:rPr>
          <w:sz w:val="28"/>
          <w:vertAlign w:val="superscript"/>
          <w:lang w:val="en-US"/>
        </w:rPr>
        <w:t>232</w:t>
      </w:r>
      <w:r w:rsidRPr="00636BD6">
        <w:rPr>
          <w:sz w:val="28"/>
          <w:lang w:val="en-US"/>
        </w:rPr>
        <w:t xml:space="preserve">Th, </w:t>
      </w:r>
      <w:r w:rsidRPr="00636BD6">
        <w:rPr>
          <w:sz w:val="28"/>
          <w:vertAlign w:val="superscript"/>
          <w:lang w:val="en-US"/>
        </w:rPr>
        <w:t>226</w:t>
      </w:r>
      <w:r w:rsidRPr="00636BD6">
        <w:rPr>
          <w:sz w:val="28"/>
          <w:lang w:val="en-US"/>
        </w:rPr>
        <w:t xml:space="preserve">Ra and </w:t>
      </w:r>
      <w:r w:rsidRPr="00636BD6">
        <w:rPr>
          <w:sz w:val="28"/>
          <w:vertAlign w:val="superscript"/>
          <w:lang w:val="en-US"/>
        </w:rPr>
        <w:t>40</w:t>
      </w:r>
      <w:r w:rsidRPr="00636BD6">
        <w:rPr>
          <w:sz w:val="28"/>
          <w:lang w:val="en-US"/>
        </w:rPr>
        <w:t xml:space="preserve">K) </w:t>
      </w:r>
      <w:r w:rsidRPr="00636BD6">
        <w:rPr>
          <w:rStyle w:val="tlid-translation"/>
          <w:sz w:val="28"/>
          <w:lang w:val="en-US"/>
        </w:rPr>
        <w:t xml:space="preserve">represents the principal external source of radiation from the human body. </w:t>
      </w:r>
    </w:p>
    <w:p w14:paraId="3FF6935A" w14:textId="5BAF91F8" w:rsidR="00946F8A" w:rsidRDefault="00636BD6" w:rsidP="00636BD6">
      <w:pPr>
        <w:ind w:firstLine="567"/>
        <w:jc w:val="both"/>
        <w:rPr>
          <w:rStyle w:val="tlid-translation"/>
          <w:sz w:val="28"/>
          <w:lang w:val="en-US"/>
        </w:rPr>
      </w:pPr>
      <w:r w:rsidRPr="00636BD6">
        <w:rPr>
          <w:rStyle w:val="tlid-translation"/>
          <w:sz w:val="28"/>
          <w:lang w:val="en-US"/>
        </w:rPr>
        <w:t xml:space="preserve">The radiological risk assessment implemented in </w:t>
      </w:r>
      <w:proofErr w:type="spellStart"/>
      <w:r w:rsidR="003F31FE">
        <w:rPr>
          <w:rStyle w:val="tlid-translation"/>
          <w:sz w:val="28"/>
          <w:lang w:val="en-US"/>
        </w:rPr>
        <w:t>HERisk</w:t>
      </w:r>
      <w:proofErr w:type="spellEnd"/>
      <w:r w:rsidRPr="00636BD6">
        <w:rPr>
          <w:rStyle w:val="tlid-translation"/>
          <w:sz w:val="28"/>
          <w:lang w:val="en-US"/>
        </w:rPr>
        <w:t xml:space="preserve"> is based on the methodologies established by the International Commission for Radiological Protection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{"citationItems":[{"id":"ITEM-1","itemData":{"author":[{"dropping-particle":"","family":"ICRP","given":"","non-dropping-particle":"","parse-names":false,"suffix":""}],"container-title":"International Commission on Radiological Protection","id":"ITEM-1","issued":{"date-parts":[["1991"]]},"title":"Reccomendations of the International Commission on Radiological Protection. ICRP publication 60. Ann. ICRP 21","type":"report"},"uris":["http://www.mendeley.com/documents/?uuid=ff996237-3c05-4f8a-98ee-daa7753d3bcc"]}],"mendeley":{"formattedCitation":"(ICRP, 1991)","plainTextFormattedCitation":"(ICRP, 1991)","previouslyFormattedCitation":"(ICRP, 1991)"},"properties":{"noteIndex":0},"schema":"https://github.com/citation-style-language/schema/raw/master/csl-citation.json"}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(ICRP, 1991)</w:t>
      </w:r>
      <w:r w:rsidRPr="00636BD6">
        <w:rPr>
          <w:rStyle w:val="tlid-translation"/>
          <w:sz w:val="28"/>
          <w:lang w:val="en"/>
        </w:rPr>
        <w:fldChar w:fldCharType="end"/>
      </w:r>
      <w:r w:rsidRPr="00636BD6">
        <w:rPr>
          <w:sz w:val="28"/>
          <w:lang w:val="en-US"/>
        </w:rPr>
        <w:t xml:space="preserve">, International Atomic Energy Agency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radiation","type":"report"},"uris":["http://www.mendeley.com/documents/?uuid=05942001-c1c2-4ef9-bb53-aac3c50a5186"]}],"mendeley":{"formattedCitation":"(IAEA, 2003)","plainTextFormattedCitation":"(IAEA, 2003)","previouslyFormattedCitation":"(IAEA, 2003)"},"properties":{"noteIndex":0},"schema":"https://github.com/citation-style-language/schema/raw/master/csl-citation.json"}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(IAEA, 2003)</w:t>
      </w:r>
      <w:r w:rsidRPr="00636BD6">
        <w:rPr>
          <w:rStyle w:val="tlid-translation"/>
          <w:sz w:val="28"/>
          <w:lang w:val="en"/>
        </w:rPr>
        <w:fldChar w:fldCharType="end"/>
      </w:r>
      <w:r w:rsidRPr="00636BD6">
        <w:rPr>
          <w:rStyle w:val="tlid-translation"/>
          <w:sz w:val="28"/>
          <w:lang w:val="en-US"/>
        </w:rPr>
        <w:t xml:space="preserve"> and the United Nations Scientific Committee on the Effects of Atomic Radiation </w:t>
      </w:r>
      <w:r w:rsidRPr="00636BD6">
        <w:rPr>
          <w:rStyle w:val="tlid-translation"/>
          <w:sz w:val="28"/>
          <w:lang w:val="en"/>
        </w:rPr>
        <w:fldChar w:fldCharType="begin" w:fldLock="1"/>
      </w:r>
      <w:r w:rsidRPr="00636BD6">
        <w:rPr>
          <w:rStyle w:val="tlid-translation"/>
          <w:sz w:val="28"/>
          <w:lang w:val="en-US"/>
        </w:rPr>
        <w:instrText>ADDIN CSL_CITATION {"citationItems":[{"id":"ITEM-1","itemData":{"ISBN":"92-1-142238-8","ISSN":"0144-8420, 1742-3406","PMID":"12229161","author":[{"dropping-particle":"","family":"UNSCEAR","given":"","non-dropping-particle":"","parse-names":false,"suffix":""}],"container-title":"United Nation Scientific Committee on the Efects of Atomic Radiation","id":"ITEM-1","issued":{"date-parts":[["2000"]]},"publisher-place":"New York","title":"Annex B: Exposure from natural sources. In: Sources and Effects of Ionizing Radiation: UNSCEAR 2000 Report to General Assembly Scientific Annexes","type":"book","volume":"I"},"uris":["http://www.mendeley.com/documents/?uuid=3bbee33e-58f9-4dac-8101-e5ea4d198eb6"]}],"mendeley":{"formattedCitation":"(UNSCEAR, 2000)","plainTextFormattedCitation":"(UNSCEAR, 2000)","previouslyFormattedCitation":"(UNSCEAR, 2000)"},"properties":{"noteIndex":0},"schema":"https://github.com/citation-style-language/schema/raw/master/csl-citation.json"}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(UNSCEAR, 2000)</w:t>
      </w:r>
      <w:r w:rsidRPr="00636BD6">
        <w:rPr>
          <w:rStyle w:val="tlid-translation"/>
          <w:sz w:val="28"/>
          <w:lang w:val="en"/>
        </w:rPr>
        <w:fldChar w:fldCharType="end"/>
      </w:r>
      <w:r w:rsidRPr="00636BD6">
        <w:rPr>
          <w:rStyle w:val="tlid-translation"/>
          <w:sz w:val="28"/>
          <w:lang w:val="en-US"/>
        </w:rPr>
        <w:t>.</w:t>
      </w:r>
      <w:r w:rsidR="00577D27">
        <w:rPr>
          <w:rStyle w:val="tlid-translation"/>
          <w:sz w:val="28"/>
          <w:lang w:val="en-US"/>
        </w:rPr>
        <w:t xml:space="preserve"> The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16</w:t>
      </w:r>
      <w:r w:rsidR="00577D27" w:rsidRPr="0017539F">
        <w:rPr>
          <w:sz w:val="28"/>
          <w:lang w:val="en-US"/>
        </w:rPr>
        <w:t>.</w:t>
      </w:r>
    </w:p>
    <w:p w14:paraId="1B730381" w14:textId="32ED0FE9" w:rsidR="00636BD6" w:rsidRPr="00636BD6" w:rsidRDefault="00636BD6" w:rsidP="00636BD6">
      <w:pPr>
        <w:spacing w:before="480" w:after="0" w:line="360" w:lineRule="auto"/>
        <w:jc w:val="center"/>
        <w:rPr>
          <w:sz w:val="28"/>
          <w:lang w:val="en"/>
        </w:rPr>
      </w:pPr>
      <w:r w:rsidRPr="00BD6F4A">
        <w:rPr>
          <w:b/>
          <w:sz w:val="28"/>
          <w:lang w:val="en-US"/>
        </w:rPr>
        <w:t>Table 1</w:t>
      </w:r>
      <w:r>
        <w:rPr>
          <w:b/>
          <w:sz w:val="28"/>
          <w:lang w:val="en-US"/>
        </w:rPr>
        <w:t>5</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proofErr w:type="spellStart"/>
      <w:r w:rsidR="003F31FE">
        <w:rPr>
          <w:rStyle w:val="tlid-translation"/>
          <w:sz w:val="28"/>
          <w:lang w:val="en"/>
        </w:rPr>
        <w:t>HERisk</w:t>
      </w:r>
      <w:proofErr w:type="spellEnd"/>
      <w:r w:rsidRPr="00BD6F4A">
        <w:rPr>
          <w:rStyle w:val="tlid-translation"/>
          <w:sz w:val="28"/>
          <w:lang w:val="en"/>
        </w:rPr>
        <w:t xml:space="preserve"> </w:t>
      </w:r>
      <w:r>
        <w:rPr>
          <w:rStyle w:val="tlid-translation"/>
          <w:sz w:val="28"/>
          <w:lang w:val="en"/>
        </w:rPr>
        <w:t>for radiological risk calculations</w:t>
      </w:r>
    </w:p>
    <w:tbl>
      <w:tblPr>
        <w:tblStyle w:val="Tabelacomgrade1"/>
        <w:tblW w:w="15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6998"/>
        <w:gridCol w:w="5103"/>
        <w:gridCol w:w="1230"/>
      </w:tblGrid>
      <w:tr w:rsidR="00636BD6" w:rsidRPr="003C1E54" w14:paraId="0AC6CACD" w14:textId="77777777" w:rsidTr="00636BD6">
        <w:trPr>
          <w:trHeight w:val="498"/>
          <w:jc w:val="center"/>
        </w:trPr>
        <w:tc>
          <w:tcPr>
            <w:tcW w:w="1749" w:type="dxa"/>
            <w:tcBorders>
              <w:top w:val="double" w:sz="4" w:space="0" w:color="auto"/>
              <w:bottom w:val="double" w:sz="4" w:space="0" w:color="auto"/>
            </w:tcBorders>
            <w:vAlign w:val="center"/>
          </w:tcPr>
          <w:p w14:paraId="4FCAB679"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998" w:type="dxa"/>
            <w:tcBorders>
              <w:top w:val="double" w:sz="4" w:space="0" w:color="auto"/>
              <w:bottom w:val="double" w:sz="4" w:space="0" w:color="auto"/>
            </w:tcBorders>
            <w:vAlign w:val="center"/>
          </w:tcPr>
          <w:p w14:paraId="2EC724F6"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28E1C583"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78630BC0" w14:textId="77777777" w:rsidR="00636BD6" w:rsidRPr="003C1E54" w:rsidRDefault="00636BD6" w:rsidP="004B5D1E">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636BD6" w:rsidRPr="00A71DBF" w14:paraId="44BF5307" w14:textId="77777777" w:rsidTr="00636BD6">
        <w:trPr>
          <w:trHeight w:val="800"/>
          <w:jc w:val="center"/>
        </w:trPr>
        <w:tc>
          <w:tcPr>
            <w:tcW w:w="1749" w:type="dxa"/>
            <w:tcBorders>
              <w:top w:val="single" w:sz="4" w:space="0" w:color="auto"/>
              <w:bottom w:val="single" w:sz="4" w:space="0" w:color="auto"/>
            </w:tcBorders>
            <w:vAlign w:val="center"/>
          </w:tcPr>
          <w:p w14:paraId="075ECC4E" w14:textId="77777777" w:rsidR="00636BD6" w:rsidRPr="00EE4C57" w:rsidRDefault="00636BD6" w:rsidP="00D877B6">
            <w:pPr>
              <w:spacing w:line="276" w:lineRule="auto"/>
              <w:jc w:val="center"/>
              <w:rPr>
                <w:rFonts w:eastAsiaTheme="minorEastAsia"/>
                <w:sz w:val="16"/>
                <w:szCs w:val="16"/>
                <w:lang w:val="en-US"/>
              </w:rPr>
            </w:pPr>
            <w:r w:rsidRPr="00EE4C57">
              <w:rPr>
                <w:sz w:val="20"/>
                <w:szCs w:val="22"/>
                <w:lang w:val="en-US"/>
              </w:rPr>
              <w:t xml:space="preserve">Specific </w:t>
            </w:r>
            <w:r>
              <w:rPr>
                <w:sz w:val="20"/>
                <w:szCs w:val="22"/>
                <w:lang w:val="en-US"/>
              </w:rPr>
              <w:t>a</w:t>
            </w:r>
            <w:r w:rsidRPr="00EE4C57">
              <w:rPr>
                <w:sz w:val="20"/>
                <w:szCs w:val="22"/>
                <w:lang w:val="en-US"/>
              </w:rPr>
              <w:t>ctivity</w:t>
            </w:r>
            <w:r w:rsidRPr="00EE4C57">
              <w:rPr>
                <w:rFonts w:eastAsiaTheme="minorEastAsia"/>
                <w:sz w:val="16"/>
                <w:szCs w:val="16"/>
                <w:lang w:val="en-US"/>
              </w:rPr>
              <w:t xml:space="preserve"> </w:t>
            </w:r>
          </w:p>
          <w:p w14:paraId="5AD077CB" w14:textId="77777777" w:rsidR="00636BD6" w:rsidRPr="00427FAB" w:rsidRDefault="00636BD6" w:rsidP="00D877B6">
            <w:pPr>
              <w:spacing w:line="276" w:lineRule="auto"/>
              <w:jc w:val="center"/>
              <w:rPr>
                <w:rStyle w:val="tlid-translation"/>
                <w:rFonts w:eastAsiaTheme="minorEastAsia"/>
                <w:b/>
                <w:bCs/>
                <w:iCs/>
                <w:sz w:val="20"/>
                <w:szCs w:val="20"/>
                <w:lang w:val="en-US"/>
              </w:rPr>
            </w:pPr>
            <w:r w:rsidRPr="00427FAB">
              <w:rPr>
                <w:rFonts w:eastAsiaTheme="minorEastAsia"/>
                <w:sz w:val="20"/>
                <w:szCs w:val="20"/>
                <w:lang w:val="en-US"/>
              </w:rPr>
              <w:t>(</w:t>
            </w:r>
            <w:proofErr w:type="spellStart"/>
            <w:r>
              <w:rPr>
                <w:rFonts w:eastAsiaTheme="minorEastAsia"/>
                <w:sz w:val="20"/>
                <w:szCs w:val="20"/>
                <w:lang w:val="en-US"/>
              </w:rPr>
              <w:t>Bq</w:t>
            </w:r>
            <w:proofErr w:type="spellEnd"/>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0A908E13" w14:textId="4041AF68" w:rsidR="00636BD6" w:rsidRPr="00EB4901" w:rsidRDefault="00636BD6" w:rsidP="00D877B6">
            <w:pPr>
              <w:spacing w:line="360" w:lineRule="auto"/>
              <w:jc w:val="center"/>
              <w:rPr>
                <w:rStyle w:val="tlid-translation"/>
                <w:color w:val="000000" w:themeColor="text1"/>
                <w:sz w:val="20"/>
                <w:szCs w:val="20"/>
                <w:vertAlign w:val="superscript"/>
                <w:lang w:val="en-US"/>
              </w:rPr>
            </w:pPr>
            <m:oMathPara>
              <m:oMath>
                <m:r>
                  <w:rPr>
                    <w:rFonts w:ascii="Cambria Math" w:hAnsi="Cambria Math"/>
                    <w:sz w:val="18"/>
                    <w:szCs w:val="18"/>
                  </w:rPr>
                  <m:t>A</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f>
                  <m:fPr>
                    <m:ctrlPr>
                      <w:rPr>
                        <w:rFonts w:ascii="Cambria Math" w:hAnsi="Cambria Math"/>
                        <w:i/>
                        <w:sz w:val="18"/>
                        <w:szCs w:val="18"/>
                      </w:rPr>
                    </m:ctrlPr>
                  </m:fPr>
                  <m:num>
                    <m:func>
                      <m:funcPr>
                        <m:ctrlPr>
                          <w:rPr>
                            <w:rFonts w:ascii="Cambria Math" w:hAnsi="Cambria Math"/>
                            <w:i/>
                            <w:sz w:val="18"/>
                            <w:szCs w:val="18"/>
                          </w:rPr>
                        </m:ctrlPr>
                      </m:funcPr>
                      <m:fName>
                        <m:r>
                          <m:rPr>
                            <m:sty m:val="p"/>
                          </m:rPr>
                          <w:rPr>
                            <w:rFonts w:ascii="Cambria Math" w:hAnsi="Cambria Math"/>
                            <w:sz w:val="18"/>
                            <w:szCs w:val="18"/>
                            <w:lang w:val="en-US"/>
                          </w:rPr>
                          <m:t>ln</m:t>
                        </m:r>
                      </m:fName>
                      <m:e>
                        <m:r>
                          <w:rPr>
                            <w:rFonts w:ascii="Cambria Math" w:hAnsi="Cambria Math"/>
                            <w:sz w:val="18"/>
                            <w:szCs w:val="18"/>
                            <w:lang w:val="en-US"/>
                          </w:rPr>
                          <m:t xml:space="preserve">2 </m:t>
                        </m:r>
                      </m:e>
                    </m:func>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A</m:t>
                        </m:r>
                      </m:sub>
                    </m:sSub>
                  </m:num>
                  <m:den>
                    <m:r>
                      <w:rPr>
                        <w:rFonts w:ascii="Cambria Math" w:hAnsi="Cambria Math"/>
                        <w:sz w:val="18"/>
                        <w:szCs w:val="18"/>
                        <w:lang w:val="en-US"/>
                      </w:rPr>
                      <m:t>MM∙</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1/2</m:t>
                        </m:r>
                      </m:sub>
                    </m:sSub>
                  </m:den>
                </m:f>
                <m:r>
                  <w:rPr>
                    <w:rFonts w:ascii="Cambria Math" w:eastAsiaTheme="minorEastAsia" w:hAnsi="Cambria Math"/>
                    <w:sz w:val="18"/>
                    <w:szCs w:val="18"/>
                    <w:lang w:val="en-US"/>
                  </w:rPr>
                  <m:t xml:space="preserve">      (27)</m:t>
                </m:r>
              </m:oMath>
            </m:oMathPara>
          </w:p>
        </w:tc>
        <w:tc>
          <w:tcPr>
            <w:tcW w:w="5103" w:type="dxa"/>
            <w:tcBorders>
              <w:top w:val="single" w:sz="4" w:space="0" w:color="auto"/>
              <w:bottom w:val="single" w:sz="4" w:space="0" w:color="auto"/>
            </w:tcBorders>
            <w:vAlign w:val="center"/>
          </w:tcPr>
          <w:p w14:paraId="66A734E2" w14:textId="77777777" w:rsidR="00636BD6" w:rsidRPr="00E55C4E" w:rsidRDefault="00636BD6" w:rsidP="00D877B6">
            <w:pPr>
              <w:spacing w:line="360" w:lineRule="auto"/>
              <w:jc w:val="center"/>
              <w:rPr>
                <w:rStyle w:val="tlid-translation"/>
                <w:color w:val="000000" w:themeColor="text1"/>
                <w:sz w:val="18"/>
                <w:szCs w:val="18"/>
                <w:lang w:val="en-US"/>
              </w:rPr>
            </w:pPr>
            <w:r>
              <w:rPr>
                <w:b/>
                <w:bCs/>
                <w:i/>
                <w:sz w:val="18"/>
                <w:szCs w:val="18"/>
                <w:lang w:val="en-US"/>
              </w:rPr>
              <w:t>N</w:t>
            </w:r>
            <w:r>
              <w:rPr>
                <w:b/>
                <w:bCs/>
                <w:i/>
                <w:sz w:val="18"/>
                <w:szCs w:val="18"/>
                <w:vertAlign w:val="subscript"/>
                <w:lang w:val="en-US"/>
              </w:rPr>
              <w:t>A</w:t>
            </w:r>
            <w:r w:rsidRPr="00E55C4E">
              <w:rPr>
                <w:sz w:val="18"/>
                <w:szCs w:val="18"/>
                <w:lang w:val="en-US"/>
              </w:rPr>
              <w:t xml:space="preserve"> = </w:t>
            </w:r>
            <w:r w:rsidRPr="00403204">
              <w:rPr>
                <w:sz w:val="18"/>
                <w:szCs w:val="20"/>
                <w:lang w:val="en-US"/>
              </w:rPr>
              <w:t>Avogadro´s number</w:t>
            </w:r>
            <w:r w:rsidRPr="00403204">
              <w:rPr>
                <w:sz w:val="12"/>
                <w:szCs w:val="12"/>
                <w:lang w:val="en-US"/>
              </w:rPr>
              <w:t xml:space="preserve"> </w:t>
            </w:r>
            <w:r w:rsidRPr="00E55C4E">
              <w:rPr>
                <w:sz w:val="18"/>
                <w:szCs w:val="18"/>
                <w:lang w:val="en-US"/>
              </w:rPr>
              <w:t>(</w:t>
            </w:r>
            <w:r>
              <w:rPr>
                <w:sz w:val="18"/>
                <w:szCs w:val="18"/>
                <w:lang w:val="en-US"/>
              </w:rPr>
              <w:t>atoms</w:t>
            </w:r>
            <w:r w:rsidRPr="00E55C4E">
              <w:rPr>
                <w:sz w:val="18"/>
                <w:szCs w:val="18"/>
                <w:lang w:val="en-US"/>
              </w:rPr>
              <w:t xml:space="preserve"> </w:t>
            </w:r>
            <w:r>
              <w:rPr>
                <w:sz w:val="18"/>
                <w:szCs w:val="18"/>
                <w:lang w:val="en-US"/>
              </w:rPr>
              <w:t>mol</w:t>
            </w:r>
            <w:r w:rsidRPr="00E55C4E">
              <w:rPr>
                <w:sz w:val="18"/>
                <w:szCs w:val="18"/>
                <w:vertAlign w:val="superscript"/>
                <w:lang w:val="en-US"/>
              </w:rPr>
              <w:t>-1</w:t>
            </w:r>
            <w:r w:rsidRPr="00E55C4E">
              <w:rPr>
                <w:sz w:val="18"/>
                <w:szCs w:val="18"/>
                <w:lang w:val="en-US"/>
              </w:rPr>
              <w:t xml:space="preserve">); </w:t>
            </w:r>
            <w:r>
              <w:rPr>
                <w:b/>
                <w:bCs/>
                <w:i/>
                <w:sz w:val="18"/>
                <w:szCs w:val="18"/>
                <w:lang w:val="en-US"/>
              </w:rPr>
              <w:t>MM</w:t>
            </w:r>
            <w:r w:rsidRPr="00E55C4E">
              <w:rPr>
                <w:sz w:val="18"/>
                <w:szCs w:val="18"/>
                <w:lang w:val="en-US"/>
              </w:rPr>
              <w:t xml:space="preserve"> = </w:t>
            </w:r>
            <w:r>
              <w:rPr>
                <w:sz w:val="18"/>
                <w:szCs w:val="18"/>
                <w:lang w:val="en-US"/>
              </w:rPr>
              <w:t>Molar mass</w:t>
            </w:r>
            <w:r w:rsidRPr="00E55C4E">
              <w:rPr>
                <w:sz w:val="18"/>
                <w:szCs w:val="18"/>
                <w:lang w:val="en-US"/>
              </w:rPr>
              <w:t xml:space="preserve"> (mg </w:t>
            </w:r>
            <w:r>
              <w:rPr>
                <w:sz w:val="18"/>
                <w:szCs w:val="18"/>
                <w:lang w:val="en-US"/>
              </w:rPr>
              <w:t>mol</w:t>
            </w:r>
            <w:r w:rsidRPr="00E55C4E">
              <w:rPr>
                <w:sz w:val="18"/>
                <w:szCs w:val="18"/>
                <w:vertAlign w:val="superscript"/>
                <w:lang w:val="en-US"/>
              </w:rPr>
              <w:t>-1</w:t>
            </w:r>
            <w:r w:rsidRPr="00E55C4E">
              <w:rPr>
                <w:sz w:val="18"/>
                <w:szCs w:val="18"/>
                <w:lang w:val="en-US"/>
              </w:rPr>
              <w:t xml:space="preserve">); </w:t>
            </w: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Pr="00E55C4E">
              <w:rPr>
                <w:sz w:val="18"/>
                <w:szCs w:val="18"/>
                <w:lang w:val="en-US"/>
              </w:rPr>
              <w:t xml:space="preserve"> </w:t>
            </w:r>
            <w:r>
              <w:rPr>
                <w:sz w:val="18"/>
                <w:szCs w:val="18"/>
                <w:lang w:val="en-US"/>
              </w:rPr>
              <w:t>H</w:t>
            </w:r>
            <w:r w:rsidRPr="00DE6F60">
              <w:rPr>
                <w:sz w:val="18"/>
                <w:szCs w:val="20"/>
                <w:lang w:val="en-US"/>
              </w:rPr>
              <w:t>alf-life time</w:t>
            </w:r>
            <w:r>
              <w:rPr>
                <w:sz w:val="18"/>
                <w:szCs w:val="20"/>
                <w:lang w:val="en-US"/>
              </w:rPr>
              <w:t xml:space="preserve"> (s)</w:t>
            </w:r>
            <w:r>
              <w:rPr>
                <w:sz w:val="18"/>
                <w:szCs w:val="18"/>
                <w:lang w:val="en-US"/>
              </w:rPr>
              <w:t xml:space="preserve">. </w:t>
            </w:r>
          </w:p>
        </w:tc>
        <w:tc>
          <w:tcPr>
            <w:tcW w:w="1230" w:type="dxa"/>
            <w:tcBorders>
              <w:top w:val="single" w:sz="4" w:space="0" w:color="auto"/>
              <w:bottom w:val="single" w:sz="4" w:space="0" w:color="auto"/>
            </w:tcBorders>
            <w:vAlign w:val="center"/>
          </w:tcPr>
          <w:p w14:paraId="37A4B4F8" w14:textId="03FE6937" w:rsidR="00636BD6" w:rsidRPr="00A71DBF" w:rsidRDefault="00636BD6" w:rsidP="00D877B6">
            <w:pPr>
              <w:spacing w:line="360" w:lineRule="auto"/>
              <w:jc w:val="center"/>
              <w:rPr>
                <w:rStyle w:val="tlid-translation"/>
                <w:color w:val="000000" w:themeColor="text1"/>
                <w:sz w:val="20"/>
                <w:szCs w:val="20"/>
                <w:lang w:val="en-US"/>
              </w:rPr>
            </w:pPr>
            <w:r w:rsidRPr="00A71DBF">
              <w:rPr>
                <w:rStyle w:val="tlid-translation"/>
                <w:sz w:val="20"/>
                <w:szCs w:val="20"/>
                <w:lang w:val="en"/>
              </w:rPr>
              <w:t>IAEA</w:t>
            </w:r>
            <w:r>
              <w:rPr>
                <w:rStyle w:val="tlid-translation"/>
                <w:sz w:val="20"/>
                <w:szCs w:val="20"/>
                <w:lang w:val="en"/>
              </w:rPr>
              <w:t xml:space="preserve"> </w:t>
            </w:r>
            <w:r w:rsidRPr="00A71DBF">
              <w:rPr>
                <w:rStyle w:val="tlid-translation"/>
                <w:sz w:val="20"/>
                <w:szCs w:val="20"/>
                <w:lang w:val="en"/>
              </w:rPr>
              <w:fldChar w:fldCharType="begin" w:fldLock="1"/>
            </w:r>
            <w:r w:rsidR="00DA2398">
              <w:rPr>
                <w:rStyle w:val="tlid-translation"/>
                <w:sz w:val="20"/>
                <w:szCs w:val="20"/>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suppress-author":1,"uris":["http://www.mendeley.com/documents/?uuid=05942001-c1c2-4ef9-bb53-aac3c50a5186"]}],"mendeley":{"formattedCitation":"(2003)","plainTextFormattedCitation":"(2003)","previouslyFormattedCitation":"(2003)"},"properties":{"noteIndex":0},"schema":"https://github.com/citation-style-language/schema/raw/master/csl-citation.json"}</w:instrText>
            </w:r>
            <w:r w:rsidRPr="00A71DBF">
              <w:rPr>
                <w:rStyle w:val="tlid-translation"/>
                <w:sz w:val="20"/>
                <w:szCs w:val="20"/>
                <w:lang w:val="en"/>
              </w:rPr>
              <w:fldChar w:fldCharType="separate"/>
            </w:r>
            <w:r w:rsidRPr="00A71DBF">
              <w:rPr>
                <w:rStyle w:val="tlid-translation"/>
                <w:noProof/>
                <w:sz w:val="20"/>
                <w:szCs w:val="20"/>
              </w:rPr>
              <w:t>(2003)</w:t>
            </w:r>
            <w:r w:rsidRPr="00A71DBF">
              <w:rPr>
                <w:rStyle w:val="tlid-translation"/>
                <w:sz w:val="20"/>
                <w:szCs w:val="20"/>
                <w:lang w:val="en"/>
              </w:rPr>
              <w:fldChar w:fldCharType="end"/>
            </w:r>
          </w:p>
        </w:tc>
      </w:tr>
      <w:tr w:rsidR="00636BD6" w:rsidRPr="007F2438" w14:paraId="3D2253A4" w14:textId="77777777" w:rsidTr="00636BD6">
        <w:trPr>
          <w:trHeight w:val="498"/>
          <w:jc w:val="center"/>
        </w:trPr>
        <w:tc>
          <w:tcPr>
            <w:tcW w:w="1749" w:type="dxa"/>
            <w:tcBorders>
              <w:top w:val="single" w:sz="4" w:space="0" w:color="auto"/>
              <w:bottom w:val="single" w:sz="4" w:space="0" w:color="auto"/>
            </w:tcBorders>
            <w:vAlign w:val="center"/>
          </w:tcPr>
          <w:p w14:paraId="7AE11193" w14:textId="77777777" w:rsidR="00636BD6" w:rsidRPr="007168DF" w:rsidRDefault="00636BD6" w:rsidP="00D877B6">
            <w:pPr>
              <w:spacing w:line="360" w:lineRule="auto"/>
              <w:jc w:val="center"/>
              <w:rPr>
                <w:rFonts w:eastAsiaTheme="minorEastAsia"/>
                <w:sz w:val="16"/>
                <w:szCs w:val="16"/>
                <w:lang w:val="en-US"/>
              </w:rPr>
            </w:pPr>
            <w:r w:rsidRPr="007168DF">
              <w:rPr>
                <w:sz w:val="20"/>
                <w:szCs w:val="22"/>
                <w:lang w:val="en-US"/>
              </w:rPr>
              <w:t xml:space="preserve">Radium </w:t>
            </w:r>
            <w:r>
              <w:rPr>
                <w:sz w:val="20"/>
                <w:szCs w:val="22"/>
                <w:lang w:val="en-US"/>
              </w:rPr>
              <w:t>e</w:t>
            </w:r>
            <w:r w:rsidRPr="007168DF">
              <w:rPr>
                <w:sz w:val="20"/>
                <w:szCs w:val="22"/>
                <w:lang w:val="en-US"/>
              </w:rPr>
              <w:t>quivalent activity</w:t>
            </w:r>
            <w:r w:rsidRPr="007168DF">
              <w:rPr>
                <w:rFonts w:eastAsiaTheme="minorEastAsia"/>
                <w:sz w:val="16"/>
                <w:szCs w:val="16"/>
                <w:lang w:val="en-US"/>
              </w:rPr>
              <w:t xml:space="preserve"> </w:t>
            </w:r>
          </w:p>
          <w:p w14:paraId="276C3308" w14:textId="77777777" w:rsidR="00636BD6" w:rsidRPr="00B16F85" w:rsidRDefault="00636BD6" w:rsidP="00D877B6">
            <w:pPr>
              <w:spacing w:line="360" w:lineRule="auto"/>
              <w:jc w:val="center"/>
              <w:rPr>
                <w:rStyle w:val="tlid-translation"/>
                <w:b/>
                <w:sz w:val="20"/>
                <w:szCs w:val="20"/>
                <w:lang w:val="en-US"/>
              </w:rPr>
            </w:pPr>
            <w:r w:rsidRPr="00427FAB">
              <w:rPr>
                <w:rFonts w:eastAsiaTheme="minorEastAsia"/>
                <w:sz w:val="20"/>
                <w:szCs w:val="20"/>
                <w:lang w:val="en-US"/>
              </w:rPr>
              <w:t>(</w:t>
            </w:r>
            <w:proofErr w:type="spellStart"/>
            <w:r>
              <w:rPr>
                <w:rFonts w:eastAsiaTheme="minorEastAsia"/>
                <w:sz w:val="20"/>
                <w:szCs w:val="20"/>
                <w:lang w:val="en-US"/>
              </w:rPr>
              <w:t>Bq</w:t>
            </w:r>
            <w:proofErr w:type="spellEnd"/>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7CEE92D8" w14:textId="47BFC50E" w:rsidR="00636BD6" w:rsidRPr="00EB4901" w:rsidRDefault="00A10B4C" w:rsidP="00D877B6">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rPr>
                      <m:t>Ra</m:t>
                    </m:r>
                  </m:e>
                  <m:sub>
                    <m:r>
                      <w:rPr>
                        <w:rFonts w:ascii="Cambria Math" w:hAnsi="Cambria Math"/>
                        <w:sz w:val="18"/>
                        <w:szCs w:val="18"/>
                      </w:rPr>
                      <m:t>eq</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+1.43∙</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+0.077∙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(28)</m:t>
                </m:r>
              </m:oMath>
            </m:oMathPara>
          </w:p>
        </w:tc>
        <w:tc>
          <w:tcPr>
            <w:tcW w:w="5103" w:type="dxa"/>
            <w:tcBorders>
              <w:top w:val="single" w:sz="4" w:space="0" w:color="auto"/>
              <w:bottom w:val="single" w:sz="4" w:space="0" w:color="auto"/>
            </w:tcBorders>
            <w:vAlign w:val="center"/>
          </w:tcPr>
          <w:p w14:paraId="6784599C" w14:textId="77777777" w:rsidR="00636BD6" w:rsidRPr="00A442FA" w:rsidRDefault="00636BD6" w:rsidP="00D877B6">
            <w:pPr>
              <w:spacing w:line="360" w:lineRule="auto"/>
              <w:jc w:val="center"/>
              <w:rPr>
                <w:rStyle w:val="tlid-translation"/>
                <w:color w:val="000000" w:themeColor="text1"/>
                <w:sz w:val="18"/>
                <w:szCs w:val="18"/>
                <w:vertAlign w:val="superscript"/>
                <w:lang w:val="en-US"/>
              </w:rPr>
            </w:pPr>
            <w:r w:rsidRPr="00A442FA">
              <w:rPr>
                <w:b/>
                <w:bCs/>
                <w:i/>
                <w:sz w:val="18"/>
                <w:szCs w:val="18"/>
                <w:lang w:val="en-US"/>
              </w:rPr>
              <w:t>A</w:t>
            </w:r>
            <w:r w:rsidRPr="00A442FA">
              <w:rPr>
                <w:b/>
                <w:bCs/>
                <w:i/>
                <w:sz w:val="18"/>
                <w:szCs w:val="18"/>
                <w:vertAlign w:val="subscript"/>
                <w:lang w:val="en-US"/>
              </w:rPr>
              <w:t>U</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238</w:t>
            </w:r>
            <w:r w:rsidRPr="00A442FA">
              <w:rPr>
                <w:sz w:val="18"/>
                <w:szCs w:val="18"/>
                <w:lang w:val="en-US"/>
              </w:rPr>
              <w:t>U (</w:t>
            </w:r>
            <w:proofErr w:type="spellStart"/>
            <w:r w:rsidRPr="00A442FA">
              <w:rPr>
                <w:sz w:val="18"/>
                <w:szCs w:val="18"/>
                <w:lang w:val="en-US"/>
              </w:rPr>
              <w:t>Bq</w:t>
            </w:r>
            <w:proofErr w:type="spellEnd"/>
            <w:r w:rsidRPr="00A442FA">
              <w:rPr>
                <w:sz w:val="18"/>
                <w:szCs w:val="18"/>
                <w:lang w:val="en-US"/>
              </w:rPr>
              <w:t xml:space="preserve"> kg</w:t>
            </w:r>
            <w:r w:rsidRPr="00A442FA">
              <w:rPr>
                <w:sz w:val="18"/>
                <w:szCs w:val="18"/>
                <w:vertAlign w:val="superscript"/>
                <w:lang w:val="en-US"/>
              </w:rPr>
              <w:t>-1</w:t>
            </w:r>
            <w:r w:rsidRPr="00A442FA">
              <w:rPr>
                <w:sz w:val="18"/>
                <w:szCs w:val="18"/>
                <w:lang w:val="en-US"/>
              </w:rPr>
              <w:t xml:space="preserve">); </w:t>
            </w:r>
            <w:proofErr w:type="spellStart"/>
            <w:r w:rsidRPr="00A442FA">
              <w:rPr>
                <w:b/>
                <w:bCs/>
                <w:i/>
                <w:sz w:val="18"/>
                <w:szCs w:val="18"/>
                <w:lang w:val="en-US"/>
              </w:rPr>
              <w:t>A</w:t>
            </w:r>
            <w:r w:rsidRPr="00A442FA">
              <w:rPr>
                <w:b/>
                <w:bCs/>
                <w:i/>
                <w:sz w:val="18"/>
                <w:szCs w:val="18"/>
                <w:vertAlign w:val="subscript"/>
                <w:lang w:val="en-US"/>
              </w:rPr>
              <w:t>Th</w:t>
            </w:r>
            <w:proofErr w:type="spellEnd"/>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232</w:t>
            </w:r>
            <w:r w:rsidRPr="00A442FA">
              <w:rPr>
                <w:sz w:val="18"/>
                <w:szCs w:val="18"/>
                <w:lang w:val="en-US"/>
              </w:rPr>
              <w:t>Th (</w:t>
            </w:r>
            <w:proofErr w:type="spellStart"/>
            <w:r w:rsidRPr="00A442FA">
              <w:rPr>
                <w:sz w:val="18"/>
                <w:szCs w:val="18"/>
                <w:lang w:val="en-US"/>
              </w:rPr>
              <w:t>Bq</w:t>
            </w:r>
            <w:proofErr w:type="spellEnd"/>
            <w:r w:rsidRPr="00A442FA">
              <w:rPr>
                <w:sz w:val="18"/>
                <w:szCs w:val="18"/>
                <w:lang w:val="en-US"/>
              </w:rPr>
              <w:t xml:space="preserve">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K</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40</w:t>
            </w:r>
            <w:r w:rsidRPr="00A442FA">
              <w:rPr>
                <w:sz w:val="18"/>
                <w:szCs w:val="18"/>
                <w:lang w:val="en-US"/>
              </w:rPr>
              <w:t>K (</w:t>
            </w:r>
            <w:proofErr w:type="spellStart"/>
            <w:r w:rsidRPr="00A442FA">
              <w:rPr>
                <w:sz w:val="18"/>
                <w:szCs w:val="18"/>
                <w:lang w:val="en-US"/>
              </w:rPr>
              <w:t>Bq</w:t>
            </w:r>
            <w:proofErr w:type="spellEnd"/>
            <w:r w:rsidRPr="00A442FA">
              <w:rPr>
                <w:sz w:val="18"/>
                <w:szCs w:val="18"/>
                <w:lang w:val="en-US"/>
              </w:rPr>
              <w:t xml:space="preserve"> kg</w:t>
            </w:r>
            <w:r w:rsidRPr="00A442FA">
              <w:rPr>
                <w:sz w:val="18"/>
                <w:szCs w:val="18"/>
                <w:vertAlign w:val="superscript"/>
                <w:lang w:val="en-US"/>
              </w:rPr>
              <w:t>-1</w:t>
            </w:r>
            <w:r w:rsidRPr="00A442FA">
              <w:rPr>
                <w:sz w:val="18"/>
                <w:szCs w:val="18"/>
                <w:lang w:val="en-US"/>
              </w:rPr>
              <w:t xml:space="preserve">). </w:t>
            </w:r>
            <w:r w:rsidRPr="00A442FA">
              <w:rPr>
                <w:sz w:val="20"/>
                <w:szCs w:val="22"/>
                <w:lang w:val="en-US"/>
              </w:rPr>
              <w:t>Permissible value:</w:t>
            </w:r>
            <w:r>
              <w:rPr>
                <w:sz w:val="20"/>
                <w:szCs w:val="22"/>
                <w:lang w:val="en-US"/>
              </w:rPr>
              <w:t xml:space="preserve"> </w:t>
            </w:r>
            <w:r w:rsidRPr="00A442FA">
              <w:rPr>
                <w:sz w:val="20"/>
                <w:szCs w:val="22"/>
              </w:rPr>
              <w:t xml:space="preserve">≤ 370 </w:t>
            </w:r>
            <w:proofErr w:type="spellStart"/>
            <w:r w:rsidRPr="00A442FA">
              <w:rPr>
                <w:sz w:val="20"/>
                <w:szCs w:val="22"/>
              </w:rPr>
              <w:t>Bq</w:t>
            </w:r>
            <w:proofErr w:type="spellEnd"/>
            <w:r>
              <w:rPr>
                <w:sz w:val="20"/>
                <w:szCs w:val="22"/>
              </w:rPr>
              <w:t xml:space="preserve"> </w:t>
            </w:r>
            <w:r w:rsidRPr="00A442FA">
              <w:rPr>
                <w:sz w:val="20"/>
                <w:szCs w:val="22"/>
              </w:rPr>
              <w:t>kg</w:t>
            </w:r>
            <w:r>
              <w:rPr>
                <w:sz w:val="20"/>
                <w:szCs w:val="22"/>
                <w:vertAlign w:val="superscript"/>
              </w:rPr>
              <w:t>-1</w:t>
            </w:r>
          </w:p>
        </w:tc>
        <w:tc>
          <w:tcPr>
            <w:tcW w:w="1230" w:type="dxa"/>
            <w:tcBorders>
              <w:top w:val="single" w:sz="4" w:space="0" w:color="auto"/>
              <w:bottom w:val="single" w:sz="4" w:space="0" w:color="auto"/>
            </w:tcBorders>
            <w:vAlign w:val="center"/>
          </w:tcPr>
          <w:p w14:paraId="5B6E9A4D" w14:textId="77777777" w:rsidR="00636BD6" w:rsidRPr="007F2438" w:rsidRDefault="00636BD6" w:rsidP="00D877B6">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1CF4926F" w14:textId="77777777" w:rsidTr="00636BD6">
        <w:trPr>
          <w:trHeight w:val="515"/>
          <w:jc w:val="center"/>
        </w:trPr>
        <w:tc>
          <w:tcPr>
            <w:tcW w:w="1749" w:type="dxa"/>
            <w:tcBorders>
              <w:top w:val="single" w:sz="4" w:space="0" w:color="auto"/>
              <w:bottom w:val="single" w:sz="4" w:space="0" w:color="auto"/>
            </w:tcBorders>
            <w:vAlign w:val="center"/>
          </w:tcPr>
          <w:p w14:paraId="68EF81FC" w14:textId="77777777" w:rsidR="00636BD6" w:rsidRPr="001C51AF" w:rsidRDefault="00636BD6" w:rsidP="00D877B6">
            <w:pPr>
              <w:spacing w:line="360" w:lineRule="auto"/>
              <w:jc w:val="center"/>
              <w:rPr>
                <w:rStyle w:val="tlid-translation"/>
                <w:b/>
                <w:sz w:val="20"/>
                <w:szCs w:val="20"/>
                <w:vertAlign w:val="superscript"/>
                <w:lang w:val="en-US"/>
              </w:rPr>
            </w:pPr>
            <w:r w:rsidRPr="005B7F71">
              <w:rPr>
                <w:rStyle w:val="tlid-translation"/>
                <w:sz w:val="20"/>
                <w:szCs w:val="20"/>
                <w:lang w:val="en-US"/>
              </w:rPr>
              <w:t>Absorbed dose</w:t>
            </w:r>
            <w:r w:rsidRPr="001C51AF">
              <w:rPr>
                <w:rFonts w:eastAsiaTheme="minorEastAsia"/>
                <w:sz w:val="20"/>
                <w:szCs w:val="20"/>
                <w:lang w:val="en-US"/>
              </w:rPr>
              <w:t xml:space="preserve"> </w:t>
            </w:r>
            <w:r>
              <w:rPr>
                <w:rFonts w:eastAsiaTheme="minorEastAsia"/>
                <w:sz w:val="20"/>
                <w:szCs w:val="20"/>
                <w:lang w:val="en-US"/>
              </w:rPr>
              <w:t xml:space="preserve">rate </w:t>
            </w:r>
            <w:r w:rsidRPr="001C51AF">
              <w:rPr>
                <w:rFonts w:eastAsiaTheme="minorEastAsia"/>
                <w:sz w:val="20"/>
                <w:szCs w:val="20"/>
                <w:lang w:val="en-US"/>
              </w:rPr>
              <w:t>(</w:t>
            </w:r>
            <w:proofErr w:type="spellStart"/>
            <w:r>
              <w:rPr>
                <w:rFonts w:eastAsiaTheme="minorEastAsia"/>
                <w:sz w:val="20"/>
                <w:szCs w:val="20"/>
                <w:lang w:val="en-US"/>
              </w:rPr>
              <w:t>nGy</w:t>
            </w:r>
            <w:proofErr w:type="spellEnd"/>
            <w:r w:rsidRPr="001C51AF">
              <w:rPr>
                <w:rFonts w:eastAsiaTheme="minorEastAsia"/>
                <w:sz w:val="20"/>
                <w:szCs w:val="20"/>
                <w:lang w:val="en-US"/>
              </w:rPr>
              <w:t xml:space="preserve"> </w:t>
            </w:r>
            <w:r>
              <w:rPr>
                <w:rFonts w:eastAsiaTheme="minorEastAsia"/>
                <w:sz w:val="20"/>
                <w:szCs w:val="20"/>
                <w:lang w:val="en-US"/>
              </w:rPr>
              <w:t>h</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475A7E5B" w14:textId="21F0AAD3" w:rsidR="00636BD6" w:rsidRPr="001C51AF" w:rsidRDefault="00636BD6" w:rsidP="00D877B6">
            <w:pPr>
              <w:spacing w:line="360" w:lineRule="auto"/>
              <w:jc w:val="center"/>
              <w:rPr>
                <w:rStyle w:val="tlid-translation"/>
                <w:color w:val="000000" w:themeColor="text1"/>
                <w:sz w:val="20"/>
                <w:szCs w:val="20"/>
                <w:lang w:val="en-US"/>
              </w:rPr>
            </w:pPr>
            <m:oMathPara>
              <m:oMath>
                <m:r>
                  <w:rPr>
                    <w:rFonts w:ascii="Cambria Math" w:hAnsi="Cambria Math"/>
                    <w:sz w:val="18"/>
                    <w:szCs w:val="18"/>
                    <w:lang w:val="en-US"/>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=0.462</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+0.621∙</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+0.0417∙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(29)</m:t>
                </m:r>
              </m:oMath>
            </m:oMathPara>
          </w:p>
        </w:tc>
        <w:tc>
          <w:tcPr>
            <w:tcW w:w="5103" w:type="dxa"/>
            <w:tcBorders>
              <w:top w:val="single" w:sz="4" w:space="0" w:color="auto"/>
              <w:bottom w:val="single" w:sz="4" w:space="0" w:color="auto"/>
            </w:tcBorders>
            <w:vAlign w:val="center"/>
          </w:tcPr>
          <w:p w14:paraId="75AE52C8" w14:textId="77777777" w:rsidR="00636BD6" w:rsidRPr="00EB4901" w:rsidRDefault="00636BD6" w:rsidP="00D877B6">
            <w:pPr>
              <w:spacing w:line="360" w:lineRule="auto"/>
              <w:jc w:val="center"/>
              <w:rPr>
                <w:rStyle w:val="tlid-translation"/>
                <w:color w:val="000000" w:themeColor="text1"/>
                <w:sz w:val="20"/>
                <w:szCs w:val="20"/>
                <w:lang w:val="en-US"/>
              </w:rPr>
            </w:pPr>
          </w:p>
        </w:tc>
        <w:tc>
          <w:tcPr>
            <w:tcW w:w="1230" w:type="dxa"/>
            <w:tcBorders>
              <w:top w:val="single" w:sz="4" w:space="0" w:color="auto"/>
              <w:bottom w:val="single" w:sz="4" w:space="0" w:color="auto"/>
            </w:tcBorders>
            <w:vAlign w:val="center"/>
          </w:tcPr>
          <w:p w14:paraId="3BAAA7CF" w14:textId="77777777" w:rsidR="00636BD6" w:rsidRPr="00EB4901" w:rsidRDefault="00636BD6" w:rsidP="00D877B6">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B6F04BA" w14:textId="77777777" w:rsidTr="00636BD6">
        <w:trPr>
          <w:trHeight w:val="515"/>
          <w:jc w:val="center"/>
        </w:trPr>
        <w:tc>
          <w:tcPr>
            <w:tcW w:w="1749" w:type="dxa"/>
            <w:tcBorders>
              <w:top w:val="single" w:sz="4" w:space="0" w:color="auto"/>
              <w:bottom w:val="single" w:sz="4" w:space="0" w:color="auto"/>
            </w:tcBorders>
            <w:vAlign w:val="center"/>
          </w:tcPr>
          <w:p w14:paraId="6DA264D1" w14:textId="77777777" w:rsidR="00636BD6" w:rsidRDefault="00636BD6" w:rsidP="00D877B6">
            <w:pPr>
              <w:spacing w:line="360" w:lineRule="auto"/>
              <w:jc w:val="center"/>
              <w:rPr>
                <w:rFonts w:eastAsiaTheme="minorEastAsia"/>
                <w:sz w:val="20"/>
                <w:szCs w:val="20"/>
                <w:lang w:val="en-US"/>
              </w:rPr>
            </w:pPr>
            <w:r w:rsidRPr="002416FE">
              <w:rPr>
                <w:sz w:val="20"/>
                <w:szCs w:val="20"/>
                <w:lang w:val="en-US"/>
              </w:rPr>
              <w:t xml:space="preserve">Indoor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0A02A47C" w14:textId="77777777" w:rsidR="00636BD6" w:rsidRPr="00B16F85" w:rsidRDefault="00636BD6" w:rsidP="00D877B6">
            <w:pPr>
              <w:spacing w:line="360" w:lineRule="auto"/>
              <w:jc w:val="center"/>
              <w:rPr>
                <w:rStyle w:val="tlid-translation"/>
                <w:b/>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226CD495" w14:textId="758C4A6D" w:rsidR="00636BD6" w:rsidRPr="001C17EB" w:rsidRDefault="00A10B4C" w:rsidP="00D877B6">
            <w:pPr>
              <w:spacing w:line="360" w:lineRule="auto"/>
              <w:jc w:val="center"/>
              <w:rPr>
                <w:rStyle w:val="tlid-translation"/>
                <w:color w:val="000000" w:themeColor="text1"/>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AD</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DCF</m:t>
                </m:r>
                <m:r>
                  <w:rPr>
                    <w:rFonts w:ascii="Cambria Math" w:hAnsi="Cambria Math"/>
                    <w:sz w:val="18"/>
                    <w:szCs w:val="18"/>
                    <w:lang w:val="en-US"/>
                  </w:rPr>
                  <m:t>∙</m:t>
                </m:r>
                <m:r>
                  <w:rPr>
                    <w:rFonts w:ascii="Cambria Math" w:hAnsi="Cambria Math"/>
                    <w:sz w:val="18"/>
                    <w:szCs w:val="18"/>
                  </w:rPr>
                  <m:t>IF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(30)</m:t>
                </m:r>
              </m:oMath>
            </m:oMathPara>
          </w:p>
        </w:tc>
        <w:tc>
          <w:tcPr>
            <w:tcW w:w="5103" w:type="dxa"/>
            <w:tcBorders>
              <w:top w:val="single" w:sz="4" w:space="0" w:color="auto"/>
              <w:bottom w:val="single" w:sz="4" w:space="0" w:color="auto"/>
            </w:tcBorders>
            <w:vAlign w:val="center"/>
          </w:tcPr>
          <w:p w14:paraId="4424200F" w14:textId="77777777" w:rsidR="00636BD6" w:rsidRPr="001C17EB" w:rsidRDefault="00636BD6" w:rsidP="00D877B6">
            <w:pPr>
              <w:spacing w:line="276" w:lineRule="auto"/>
              <w:ind w:left="40"/>
              <w:jc w:val="center"/>
              <w:rPr>
                <w:rStyle w:val="tlid-translation"/>
                <w:sz w:val="18"/>
                <w:szCs w:val="18"/>
                <w:lang w:val="en-US"/>
              </w:rPr>
            </w:pPr>
            <w:r w:rsidRPr="001C17EB">
              <w:rPr>
                <w:b/>
                <w:bCs/>
                <w:i/>
                <w:iCs/>
                <w:sz w:val="18"/>
                <w:szCs w:val="18"/>
                <w:lang w:val="en-US"/>
              </w:rPr>
              <w:t>AD (t)</w:t>
            </w:r>
            <w:r w:rsidRPr="001C17EB">
              <w:rPr>
                <w:b/>
                <w:bCs/>
                <w:sz w:val="18"/>
                <w:szCs w:val="18"/>
                <w:lang w:val="en-US"/>
              </w:rPr>
              <w:t xml:space="preserve"> </w:t>
            </w:r>
            <w:r w:rsidRPr="001C17EB">
              <w:rPr>
                <w:sz w:val="18"/>
                <w:szCs w:val="18"/>
                <w:lang w:val="en-US"/>
              </w:rPr>
              <w:t xml:space="preserve">= Absorbed dose rate </w:t>
            </w:r>
            <w:r w:rsidRPr="001C17EB">
              <w:rPr>
                <w:rStyle w:val="tlid-translation"/>
                <w:sz w:val="18"/>
                <w:szCs w:val="18"/>
                <w:lang w:val="en"/>
              </w:rPr>
              <w:t xml:space="preserve">at time </w:t>
            </w:r>
            <w:r w:rsidRPr="001C17EB">
              <w:rPr>
                <w:rStyle w:val="tlid-translation"/>
                <w:i/>
                <w:iCs/>
                <w:sz w:val="18"/>
                <w:szCs w:val="18"/>
                <w:lang w:val="en"/>
              </w:rPr>
              <w:t>t</w:t>
            </w:r>
            <w:r w:rsidRPr="001C17EB">
              <w:rPr>
                <w:sz w:val="18"/>
                <w:szCs w:val="18"/>
                <w:lang w:val="en-US"/>
              </w:rPr>
              <w:t xml:space="preserve"> (</w:t>
            </w:r>
            <w:proofErr w:type="spellStart"/>
            <w:r w:rsidRPr="001C17EB">
              <w:rPr>
                <w:sz w:val="18"/>
                <w:szCs w:val="18"/>
                <w:lang w:val="en-US"/>
              </w:rPr>
              <w:t>nGy</w:t>
            </w:r>
            <w:proofErr w:type="spellEnd"/>
            <w:r w:rsidRPr="001C17EB">
              <w:rPr>
                <w:sz w:val="18"/>
                <w:szCs w:val="18"/>
                <w:lang w:val="en-US"/>
              </w:rPr>
              <w:t xml:space="preserve"> h</w:t>
            </w:r>
            <w:r w:rsidRPr="001C17EB">
              <w:rPr>
                <w:sz w:val="18"/>
                <w:szCs w:val="18"/>
                <w:vertAlign w:val="superscript"/>
                <w:lang w:val="en-US"/>
              </w:rPr>
              <w:t>-1</w:t>
            </w:r>
            <w:r w:rsidRPr="001C17EB">
              <w:rPr>
                <w:sz w:val="18"/>
                <w:szCs w:val="18"/>
                <w:lang w:val="en-US"/>
              </w:rPr>
              <w:t xml:space="preserve">); </w:t>
            </w:r>
            <w:r w:rsidRPr="001C17EB">
              <w:rPr>
                <w:rFonts w:eastAsiaTheme="minorEastAsia"/>
                <w:b/>
                <w:bCs/>
                <w:i/>
                <w:sz w:val="18"/>
                <w:szCs w:val="18"/>
                <w:lang w:val="en-US"/>
              </w:rPr>
              <w:t>DCF</w:t>
            </w:r>
            <w:r w:rsidRPr="001C17EB">
              <w:rPr>
                <w:rFonts w:eastAsiaTheme="minorEastAsia"/>
                <w:i/>
                <w:sz w:val="18"/>
                <w:szCs w:val="18"/>
                <w:lang w:val="en-US"/>
              </w:rPr>
              <w:t xml:space="preserve"> = </w:t>
            </w:r>
            <w:r w:rsidRPr="001C17EB">
              <w:rPr>
                <w:sz w:val="18"/>
                <w:szCs w:val="18"/>
                <w:lang w:val="en-US"/>
              </w:rPr>
              <w:t>Dose conversion factor (mSv Gy</w:t>
            </w:r>
            <w:r w:rsidRPr="001C17EB">
              <w:rPr>
                <w:sz w:val="18"/>
                <w:szCs w:val="18"/>
                <w:vertAlign w:val="superscript"/>
                <w:lang w:val="en-US"/>
              </w:rPr>
              <w:t>-1</w:t>
            </w:r>
            <w:r w:rsidRPr="001C17EB">
              <w:rPr>
                <w:sz w:val="18"/>
                <w:szCs w:val="18"/>
                <w:lang w:val="en-US"/>
              </w:rPr>
              <w:t xml:space="preserve">); </w:t>
            </w:r>
            <w:r w:rsidRPr="00604D4C">
              <w:rPr>
                <w:b/>
                <w:bCs/>
                <w:i/>
                <w:iCs/>
                <w:sz w:val="18"/>
                <w:szCs w:val="18"/>
                <w:lang w:val="en-US"/>
              </w:rPr>
              <w:t>IF</w:t>
            </w:r>
            <w:r w:rsidRPr="001C17EB">
              <w:rPr>
                <w:sz w:val="18"/>
                <w:szCs w:val="18"/>
                <w:lang w:val="en-US"/>
              </w:rPr>
              <w:t xml:space="preserve"> – Indoor occupancy factor; </w:t>
            </w:r>
            <w:proofErr w:type="spellStart"/>
            <w:r w:rsidRPr="001C17EB">
              <w:rPr>
                <w:b/>
                <w:bCs/>
                <w:i/>
                <w:iCs/>
                <w:sz w:val="18"/>
                <w:szCs w:val="18"/>
                <w:lang w:val="en-US"/>
              </w:rPr>
              <w:t>T</w:t>
            </w:r>
            <w:r w:rsidRPr="001C17EB">
              <w:rPr>
                <w:b/>
                <w:bCs/>
                <w:i/>
                <w:iCs/>
                <w:sz w:val="18"/>
                <w:szCs w:val="18"/>
                <w:vertAlign w:val="subscript"/>
                <w:lang w:val="en-US"/>
              </w:rPr>
              <w:t>exp</w:t>
            </w:r>
            <w:proofErr w:type="spellEnd"/>
            <w:r w:rsidRPr="001C17EB">
              <w:rPr>
                <w:sz w:val="18"/>
                <w:szCs w:val="18"/>
                <w:lang w:val="en-US"/>
              </w:rPr>
              <w:t xml:space="preserve"> </w:t>
            </w:r>
            <w:r>
              <w:rPr>
                <w:sz w:val="18"/>
                <w:szCs w:val="18"/>
                <w:lang w:val="en-US"/>
              </w:rPr>
              <w:t xml:space="preserve">= </w:t>
            </w:r>
            <w:r w:rsidRPr="001C17EB">
              <w:rPr>
                <w:sz w:val="18"/>
                <w:szCs w:val="18"/>
                <w:lang w:val="en-US"/>
              </w:rPr>
              <w:t>Exposure time (h y</w:t>
            </w:r>
            <w:r w:rsidRPr="001C17EB">
              <w:rPr>
                <w:sz w:val="18"/>
                <w:szCs w:val="18"/>
                <w:vertAlign w:val="superscript"/>
                <w:lang w:val="en-US"/>
              </w:rPr>
              <w:t>-1</w:t>
            </w:r>
            <w:r w:rsidRPr="001C17EB">
              <w:rPr>
                <w:sz w:val="18"/>
                <w:szCs w:val="18"/>
                <w:lang w:val="en-US"/>
              </w:rPr>
              <w:t>)</w:t>
            </w:r>
            <w:r>
              <w:rPr>
                <w:sz w:val="18"/>
                <w:szCs w:val="18"/>
                <w:lang w:val="en-US"/>
              </w:rPr>
              <w:t xml:space="preserve">. </w:t>
            </w: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proofErr w:type="spellStart"/>
            <w:r>
              <w:rPr>
                <w:sz w:val="20"/>
                <w:szCs w:val="22"/>
              </w:rPr>
              <w:t>mSy</w:t>
            </w:r>
            <w:proofErr w:type="spellEnd"/>
          </w:p>
        </w:tc>
        <w:tc>
          <w:tcPr>
            <w:tcW w:w="1230" w:type="dxa"/>
            <w:tcBorders>
              <w:top w:val="single" w:sz="4" w:space="0" w:color="auto"/>
              <w:bottom w:val="single" w:sz="4" w:space="0" w:color="auto"/>
            </w:tcBorders>
            <w:vAlign w:val="center"/>
          </w:tcPr>
          <w:p w14:paraId="38EEC7AD" w14:textId="77777777" w:rsidR="00636BD6" w:rsidRPr="00EB4901" w:rsidRDefault="00636BD6" w:rsidP="00D877B6">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BE2CD7" w:rsidRPr="00EB4901" w14:paraId="781B2F03" w14:textId="77777777" w:rsidTr="00636BD6">
        <w:trPr>
          <w:trHeight w:val="515"/>
          <w:jc w:val="center"/>
        </w:trPr>
        <w:tc>
          <w:tcPr>
            <w:tcW w:w="1749" w:type="dxa"/>
            <w:tcBorders>
              <w:top w:val="single" w:sz="4" w:space="0" w:color="auto"/>
              <w:bottom w:val="single" w:sz="4" w:space="0" w:color="auto"/>
            </w:tcBorders>
            <w:vAlign w:val="center"/>
          </w:tcPr>
          <w:p w14:paraId="5777C9DD" w14:textId="4F8C1404" w:rsidR="00BE2CD7" w:rsidRDefault="00BE2CD7" w:rsidP="00BE2CD7">
            <w:pPr>
              <w:spacing w:line="360" w:lineRule="auto"/>
              <w:jc w:val="center"/>
              <w:rPr>
                <w:rFonts w:eastAsiaTheme="minorEastAsia"/>
                <w:sz w:val="20"/>
                <w:szCs w:val="20"/>
                <w:lang w:val="en-US"/>
              </w:rPr>
            </w:pPr>
            <w:r>
              <w:rPr>
                <w:sz w:val="20"/>
                <w:szCs w:val="20"/>
                <w:lang w:val="en-US"/>
              </w:rPr>
              <w:t>Outdoor</w:t>
            </w:r>
            <w:r w:rsidRPr="002416FE">
              <w:rPr>
                <w:sz w:val="20"/>
                <w:szCs w:val="20"/>
                <w:lang w:val="en-US"/>
              </w:rPr>
              <w:t xml:space="preserve">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1295257C" w14:textId="298806DE" w:rsidR="00BE2CD7" w:rsidRPr="002416FE" w:rsidRDefault="00BE2CD7" w:rsidP="00BE2CD7">
            <w:pPr>
              <w:spacing w:line="360" w:lineRule="auto"/>
              <w:jc w:val="center"/>
              <w:rPr>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7ECBD28C" w14:textId="2F4E2611" w:rsidR="00BE2CD7" w:rsidRPr="00BE2CD7" w:rsidRDefault="00A10B4C" w:rsidP="00BE2CD7">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∙DCF∙OF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(31)</m:t>
                </m:r>
              </m:oMath>
            </m:oMathPara>
          </w:p>
        </w:tc>
        <w:tc>
          <w:tcPr>
            <w:tcW w:w="5103" w:type="dxa"/>
            <w:tcBorders>
              <w:top w:val="single" w:sz="4" w:space="0" w:color="auto"/>
              <w:bottom w:val="single" w:sz="4" w:space="0" w:color="auto"/>
            </w:tcBorders>
            <w:vAlign w:val="center"/>
          </w:tcPr>
          <w:p w14:paraId="399C8758" w14:textId="2454423D" w:rsidR="00BE2CD7" w:rsidRDefault="00BE2CD7" w:rsidP="00BE2CD7">
            <w:pPr>
              <w:spacing w:line="276" w:lineRule="auto"/>
              <w:ind w:left="40"/>
              <w:jc w:val="center"/>
              <w:rPr>
                <w:b/>
                <w:bCs/>
                <w:i/>
                <w:iCs/>
                <w:sz w:val="18"/>
                <w:szCs w:val="18"/>
                <w:lang w:val="en-US"/>
              </w:rPr>
            </w:pPr>
            <w:r>
              <w:rPr>
                <w:b/>
                <w:bCs/>
                <w:i/>
                <w:iCs/>
                <w:sz w:val="18"/>
                <w:szCs w:val="18"/>
                <w:lang w:val="en-US"/>
              </w:rPr>
              <w:t>O</w:t>
            </w:r>
            <w:r w:rsidRPr="00604D4C">
              <w:rPr>
                <w:b/>
                <w:bCs/>
                <w:i/>
                <w:iCs/>
                <w:sz w:val="18"/>
                <w:szCs w:val="18"/>
                <w:lang w:val="en-US"/>
              </w:rPr>
              <w:t>F</w:t>
            </w:r>
            <w:r w:rsidRPr="001C17EB">
              <w:rPr>
                <w:sz w:val="18"/>
                <w:szCs w:val="18"/>
                <w:lang w:val="en-US"/>
              </w:rPr>
              <w:t xml:space="preserve"> – </w:t>
            </w:r>
            <w:r>
              <w:rPr>
                <w:sz w:val="18"/>
                <w:szCs w:val="18"/>
                <w:lang w:val="en-US"/>
              </w:rPr>
              <w:t>Out</w:t>
            </w:r>
            <w:r w:rsidRPr="001C17EB">
              <w:rPr>
                <w:sz w:val="18"/>
                <w:szCs w:val="18"/>
                <w:lang w:val="en-US"/>
              </w:rPr>
              <w:t xml:space="preserve">door occupancy factor; </w:t>
            </w:r>
          </w:p>
          <w:p w14:paraId="6C593028" w14:textId="6141EFE1" w:rsidR="00BE2CD7" w:rsidRPr="001C17EB" w:rsidRDefault="00BE2CD7" w:rsidP="00BE2CD7">
            <w:pPr>
              <w:spacing w:line="276" w:lineRule="auto"/>
              <w:ind w:left="40"/>
              <w:jc w:val="center"/>
              <w:rPr>
                <w:b/>
                <w:bCs/>
                <w:i/>
                <w:iCs/>
                <w:sz w:val="18"/>
                <w:szCs w:val="18"/>
                <w:lang w:val="en-US"/>
              </w:rPr>
            </w:pPr>
            <w:r w:rsidRPr="00A442FA">
              <w:rPr>
                <w:sz w:val="20"/>
                <w:szCs w:val="22"/>
                <w:lang w:val="en-US"/>
              </w:rPr>
              <w:t>Permissible value:</w:t>
            </w:r>
            <w:r>
              <w:rPr>
                <w:sz w:val="20"/>
                <w:szCs w:val="22"/>
                <w:lang w:val="en-US"/>
              </w:rPr>
              <w:t xml:space="preserve"> &lt;</w:t>
            </w:r>
            <w:r w:rsidRPr="00BE2CD7">
              <w:rPr>
                <w:sz w:val="20"/>
                <w:szCs w:val="22"/>
                <w:lang w:val="en-US"/>
              </w:rPr>
              <w:t xml:space="preserve"> 1 </w:t>
            </w:r>
            <w:proofErr w:type="spellStart"/>
            <w:r w:rsidRPr="00BE2CD7">
              <w:rPr>
                <w:sz w:val="20"/>
                <w:szCs w:val="22"/>
                <w:lang w:val="en-US"/>
              </w:rPr>
              <w:t>mSy</w:t>
            </w:r>
            <w:proofErr w:type="spellEnd"/>
          </w:p>
        </w:tc>
        <w:tc>
          <w:tcPr>
            <w:tcW w:w="1230" w:type="dxa"/>
            <w:tcBorders>
              <w:top w:val="single" w:sz="4" w:space="0" w:color="auto"/>
              <w:bottom w:val="single" w:sz="4" w:space="0" w:color="auto"/>
            </w:tcBorders>
            <w:vAlign w:val="center"/>
          </w:tcPr>
          <w:p w14:paraId="34994C91" w14:textId="3E1D7978" w:rsidR="00BE2CD7" w:rsidRPr="007F2438" w:rsidRDefault="00BE2CD7" w:rsidP="00BE2CD7">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CB15E21" w14:textId="77777777" w:rsidTr="002103C7">
        <w:trPr>
          <w:trHeight w:val="515"/>
          <w:jc w:val="center"/>
        </w:trPr>
        <w:tc>
          <w:tcPr>
            <w:tcW w:w="1749" w:type="dxa"/>
            <w:tcBorders>
              <w:top w:val="single" w:sz="4" w:space="0" w:color="auto"/>
              <w:bottom w:val="double" w:sz="4" w:space="0" w:color="auto"/>
            </w:tcBorders>
            <w:vAlign w:val="center"/>
          </w:tcPr>
          <w:p w14:paraId="2D1514FC" w14:textId="77777777" w:rsidR="00636BD6" w:rsidRPr="00997181" w:rsidRDefault="00636BD6" w:rsidP="00D877B6">
            <w:pPr>
              <w:spacing w:line="360" w:lineRule="auto"/>
              <w:jc w:val="center"/>
              <w:rPr>
                <w:sz w:val="20"/>
                <w:szCs w:val="20"/>
                <w:lang w:val="en"/>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w:t>
            </w:r>
            <w:r w:rsidRPr="00997181">
              <w:rPr>
                <w:rStyle w:val="tlid-translation"/>
                <w:sz w:val="20"/>
                <w:szCs w:val="20"/>
                <w:lang w:val="en"/>
              </w:rPr>
              <w:t xml:space="preserve"> exposure</w:t>
            </w:r>
          </w:p>
        </w:tc>
        <w:tc>
          <w:tcPr>
            <w:tcW w:w="6998" w:type="dxa"/>
            <w:tcBorders>
              <w:top w:val="single" w:sz="4" w:space="0" w:color="auto"/>
              <w:bottom w:val="double" w:sz="4" w:space="0" w:color="auto"/>
            </w:tcBorders>
            <w:vAlign w:val="center"/>
          </w:tcPr>
          <w:p w14:paraId="1CD2D0FB" w14:textId="12F1D324" w:rsidR="00636BD6" w:rsidRPr="00997181" w:rsidRDefault="00A10B4C" w:rsidP="00D877B6">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m:t>
                    </m:r>
                    <m:r>
                      <w:rPr>
                        <w:rFonts w:ascii="Cambria Math" w:hAnsi="Cambria Math"/>
                        <w:sz w:val="18"/>
                        <w:szCs w:val="18"/>
                      </w:rPr>
                      <m: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HLE</m:t>
                    </m:r>
                    <m:r>
                      <w:rPr>
                        <w:rFonts w:ascii="Cambria Math" w:hAnsi="Cambria Math"/>
                        <w:sz w:val="18"/>
                        <w:szCs w:val="18"/>
                        <w:lang w:val="en-US"/>
                      </w:rPr>
                      <m:t xml:space="preserve"> ∙</m:t>
                    </m:r>
                    <m:r>
                      <w:rPr>
                        <w:rFonts w:ascii="Cambria Math" w:hAnsi="Cambria Math"/>
                        <w:sz w:val="18"/>
                        <w:szCs w:val="18"/>
                      </w:rPr>
                      <m:t>RF</m:t>
                    </m:r>
                  </m:e>
                </m:nary>
                <m:r>
                  <w:rPr>
                    <w:rFonts w:ascii="Cambria Math" w:eastAsiaTheme="minorEastAsia" w:hAnsi="Cambria Math"/>
                    <w:sz w:val="18"/>
                    <w:szCs w:val="18"/>
                    <w:lang w:val="en-US"/>
                  </w:rPr>
                  <m:t xml:space="preserve">          (32)</m:t>
                </m:r>
              </m:oMath>
            </m:oMathPara>
          </w:p>
        </w:tc>
        <w:tc>
          <w:tcPr>
            <w:tcW w:w="5103" w:type="dxa"/>
            <w:tcBorders>
              <w:top w:val="single" w:sz="4" w:space="0" w:color="auto"/>
              <w:bottom w:val="double" w:sz="4" w:space="0" w:color="auto"/>
            </w:tcBorders>
            <w:vAlign w:val="center"/>
          </w:tcPr>
          <w:p w14:paraId="5EA7E0F5" w14:textId="77777777" w:rsidR="00636BD6" w:rsidRPr="00C561C2" w:rsidRDefault="00636BD6" w:rsidP="00D877B6">
            <w:pPr>
              <w:spacing w:after="120" w:line="276" w:lineRule="auto"/>
              <w:jc w:val="center"/>
              <w:rPr>
                <w:bCs/>
                <w:sz w:val="18"/>
                <w:szCs w:val="18"/>
                <w:lang w:val="en-US"/>
              </w:rPr>
            </w:pPr>
            <w:proofErr w:type="spellStart"/>
            <w:r w:rsidRPr="00C561C2">
              <w:rPr>
                <w:b/>
                <w:i/>
                <w:iCs/>
                <w:sz w:val="18"/>
                <w:szCs w:val="18"/>
                <w:lang w:val="en-US"/>
              </w:rPr>
              <w:t>H</w:t>
            </w:r>
            <w:r w:rsidRPr="00C561C2">
              <w:rPr>
                <w:b/>
                <w:i/>
                <w:iCs/>
                <w:sz w:val="18"/>
                <w:szCs w:val="18"/>
                <w:vertAlign w:val="subscript"/>
                <w:lang w:val="en-US"/>
              </w:rPr>
              <w:t>eff</w:t>
            </w:r>
            <w:proofErr w:type="spellEnd"/>
            <w:r w:rsidRPr="00C561C2">
              <w:rPr>
                <w:b/>
                <w:i/>
                <w:iCs/>
                <w:sz w:val="18"/>
                <w:szCs w:val="18"/>
                <w:vertAlign w:val="subscript"/>
                <w:lang w:val="en-US"/>
              </w:rPr>
              <w:t xml:space="preserve"> </w:t>
            </w:r>
            <w:r w:rsidRPr="00C561C2">
              <w:rPr>
                <w:b/>
                <w:i/>
                <w:iCs/>
                <w:sz w:val="18"/>
                <w:szCs w:val="18"/>
                <w:vertAlign w:val="superscript"/>
                <w:lang w:val="en-US"/>
              </w:rPr>
              <w:t>in</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Indoor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single" w:sz="4" w:space="0" w:color="auto"/>
              <w:bottom w:val="double" w:sz="4" w:space="0" w:color="auto"/>
            </w:tcBorders>
            <w:vAlign w:val="center"/>
          </w:tcPr>
          <w:p w14:paraId="696E048C" w14:textId="77777777" w:rsidR="00636BD6" w:rsidRPr="00EB4901" w:rsidRDefault="00636BD6" w:rsidP="00D877B6">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C033DE" w:rsidRPr="00EB4901" w14:paraId="22337385" w14:textId="77777777" w:rsidTr="002103C7">
        <w:trPr>
          <w:trHeight w:val="515"/>
          <w:jc w:val="center"/>
        </w:trPr>
        <w:tc>
          <w:tcPr>
            <w:tcW w:w="1749" w:type="dxa"/>
            <w:tcBorders>
              <w:top w:val="double" w:sz="4" w:space="0" w:color="auto"/>
              <w:bottom w:val="double" w:sz="4" w:space="0" w:color="auto"/>
            </w:tcBorders>
            <w:vAlign w:val="center"/>
          </w:tcPr>
          <w:p w14:paraId="5EBA2E95" w14:textId="547F0969" w:rsidR="00C033DE" w:rsidRPr="00997181" w:rsidRDefault="00C033DE" w:rsidP="00C033DE">
            <w:pPr>
              <w:spacing w:line="276" w:lineRule="auto"/>
              <w:jc w:val="center"/>
              <w:rPr>
                <w:sz w:val="20"/>
                <w:szCs w:val="20"/>
                <w:lang w:val="en-US"/>
              </w:rPr>
            </w:pPr>
            <w:r w:rsidRPr="003C1E54">
              <w:rPr>
                <w:rStyle w:val="tlid-translation"/>
                <w:b/>
                <w:iCs/>
                <w:sz w:val="20"/>
                <w:szCs w:val="20"/>
                <w:lang w:val="en-US"/>
              </w:rPr>
              <w:lastRenderedPageBreak/>
              <w:t>Description</w:t>
            </w:r>
          </w:p>
        </w:tc>
        <w:tc>
          <w:tcPr>
            <w:tcW w:w="6998" w:type="dxa"/>
            <w:tcBorders>
              <w:top w:val="double" w:sz="4" w:space="0" w:color="auto"/>
              <w:bottom w:val="double" w:sz="4" w:space="0" w:color="auto"/>
            </w:tcBorders>
            <w:vAlign w:val="center"/>
          </w:tcPr>
          <w:p w14:paraId="2799EB63" w14:textId="2898E4E0" w:rsidR="00C033DE" w:rsidRPr="00776ACA" w:rsidRDefault="00C033DE" w:rsidP="00C033DE">
            <w:pPr>
              <w:spacing w:line="276" w:lineRule="auto"/>
              <w:jc w:val="center"/>
              <w:rPr>
                <w:rFonts w:eastAsia="Calibri"/>
                <w:sz w:val="18"/>
                <w:szCs w:val="18"/>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56E805F6" w14:textId="0C913627" w:rsidR="00C033DE" w:rsidRPr="00C561C2" w:rsidRDefault="00C033DE" w:rsidP="00C033DE">
            <w:pPr>
              <w:spacing w:line="276" w:lineRule="auto"/>
              <w:jc w:val="center"/>
              <w:rPr>
                <w:b/>
                <w:i/>
                <w:iCs/>
                <w:sz w:val="18"/>
                <w:szCs w:val="18"/>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1E3995C5" w14:textId="39D7224D" w:rsidR="00C033DE" w:rsidRPr="007F2438" w:rsidRDefault="00C033DE" w:rsidP="00C033DE">
            <w:pPr>
              <w:spacing w:line="276" w:lineRule="auto"/>
              <w:jc w:val="center"/>
              <w:rPr>
                <w:rStyle w:val="tlid-translation"/>
                <w:color w:val="000000" w:themeColor="text1"/>
                <w:sz w:val="20"/>
                <w:szCs w:val="20"/>
                <w:lang w:val="en-US"/>
              </w:rPr>
            </w:pPr>
            <w:r w:rsidRPr="003C1E54">
              <w:rPr>
                <w:rStyle w:val="tlid-translation"/>
                <w:b/>
                <w:iCs/>
                <w:sz w:val="20"/>
                <w:szCs w:val="20"/>
                <w:lang w:val="en-US"/>
              </w:rPr>
              <w:t>Reference</w:t>
            </w:r>
          </w:p>
        </w:tc>
      </w:tr>
      <w:tr w:rsidR="00776ACA" w:rsidRPr="00EB4901" w14:paraId="410D30CE" w14:textId="77777777" w:rsidTr="007C4DBA">
        <w:trPr>
          <w:trHeight w:val="1296"/>
          <w:jc w:val="center"/>
        </w:trPr>
        <w:tc>
          <w:tcPr>
            <w:tcW w:w="1749" w:type="dxa"/>
            <w:tcBorders>
              <w:top w:val="double" w:sz="4" w:space="0" w:color="auto"/>
              <w:bottom w:val="single" w:sz="4" w:space="0" w:color="auto"/>
            </w:tcBorders>
            <w:vAlign w:val="center"/>
          </w:tcPr>
          <w:p w14:paraId="35249F8B" w14:textId="5AFF67F7" w:rsidR="00776ACA" w:rsidRPr="00997181" w:rsidRDefault="00776ACA" w:rsidP="00776ACA">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outdoor</w:t>
            </w:r>
            <w:r w:rsidRPr="00997181">
              <w:rPr>
                <w:rStyle w:val="tlid-translation"/>
                <w:sz w:val="20"/>
                <w:szCs w:val="20"/>
                <w:lang w:val="en"/>
              </w:rPr>
              <w:t xml:space="preserve"> exposure</w:t>
            </w:r>
          </w:p>
        </w:tc>
        <w:tc>
          <w:tcPr>
            <w:tcW w:w="6998" w:type="dxa"/>
            <w:tcBorders>
              <w:top w:val="double" w:sz="4" w:space="0" w:color="auto"/>
              <w:bottom w:val="single" w:sz="4" w:space="0" w:color="auto"/>
            </w:tcBorders>
            <w:vAlign w:val="center"/>
          </w:tcPr>
          <w:p w14:paraId="59095F0D" w14:textId="25BD1178" w:rsidR="00776ACA" w:rsidRDefault="00A10B4C" w:rsidP="00776AC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∙HLE ∙RF</m:t>
                    </m:r>
                  </m:e>
                </m:nary>
                <m:r>
                  <w:rPr>
                    <w:rFonts w:ascii="Cambria Math" w:eastAsiaTheme="minorEastAsia" w:hAnsi="Cambria Math"/>
                    <w:sz w:val="18"/>
                    <w:szCs w:val="18"/>
                    <w:lang w:val="en-US"/>
                  </w:rPr>
                  <m:t xml:space="preserve">          (33)</m:t>
                </m:r>
              </m:oMath>
            </m:oMathPara>
          </w:p>
        </w:tc>
        <w:tc>
          <w:tcPr>
            <w:tcW w:w="5103" w:type="dxa"/>
            <w:tcBorders>
              <w:top w:val="double" w:sz="4" w:space="0" w:color="auto"/>
              <w:bottom w:val="single" w:sz="4" w:space="0" w:color="auto"/>
            </w:tcBorders>
            <w:vAlign w:val="center"/>
          </w:tcPr>
          <w:p w14:paraId="57906178" w14:textId="231E051D" w:rsidR="00776ACA" w:rsidRPr="00C561C2" w:rsidRDefault="00776ACA" w:rsidP="00776ACA">
            <w:pPr>
              <w:spacing w:after="120" w:line="276" w:lineRule="auto"/>
              <w:jc w:val="center"/>
              <w:rPr>
                <w:b/>
                <w:i/>
                <w:iCs/>
                <w:sz w:val="18"/>
                <w:szCs w:val="18"/>
                <w:lang w:val="en-US"/>
              </w:rPr>
            </w:pPr>
            <w:proofErr w:type="spellStart"/>
            <w:r w:rsidRPr="00C561C2">
              <w:rPr>
                <w:b/>
                <w:i/>
                <w:iCs/>
                <w:sz w:val="18"/>
                <w:szCs w:val="18"/>
                <w:lang w:val="en-US"/>
              </w:rPr>
              <w:t>H</w:t>
            </w:r>
            <w:r w:rsidRPr="00C561C2">
              <w:rPr>
                <w:b/>
                <w:i/>
                <w:iCs/>
                <w:sz w:val="18"/>
                <w:szCs w:val="18"/>
                <w:vertAlign w:val="subscript"/>
                <w:lang w:val="en-US"/>
              </w:rPr>
              <w:t>eff</w:t>
            </w:r>
            <w:proofErr w:type="spellEnd"/>
            <w:r w:rsidRPr="00C561C2">
              <w:rPr>
                <w:b/>
                <w:i/>
                <w:iCs/>
                <w:sz w:val="18"/>
                <w:szCs w:val="18"/>
                <w:vertAlign w:val="subscript"/>
                <w:lang w:val="en-US"/>
              </w:rPr>
              <w:t xml:space="preserve"> </w:t>
            </w:r>
            <w:r>
              <w:rPr>
                <w:b/>
                <w:i/>
                <w:iCs/>
                <w:sz w:val="18"/>
                <w:szCs w:val="18"/>
                <w:vertAlign w:val="superscript"/>
                <w:lang w:val="en-US"/>
              </w:rPr>
              <w:t>out</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w:t>
            </w:r>
            <w:r>
              <w:rPr>
                <w:bCs/>
                <w:sz w:val="18"/>
                <w:szCs w:val="18"/>
                <w:lang w:val="en-US"/>
              </w:rPr>
              <w:t>Out</w:t>
            </w:r>
            <w:r w:rsidRPr="00C561C2">
              <w:rPr>
                <w:bCs/>
                <w:sz w:val="18"/>
                <w:szCs w:val="18"/>
                <w:lang w:val="en-US"/>
              </w:rPr>
              <w:t xml:space="preserve">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double" w:sz="4" w:space="0" w:color="auto"/>
              <w:bottom w:val="single" w:sz="4" w:space="0" w:color="auto"/>
            </w:tcBorders>
            <w:vAlign w:val="center"/>
          </w:tcPr>
          <w:p w14:paraId="58F81A13" w14:textId="7A55910E" w:rsidR="00776ACA" w:rsidRPr="007F2438" w:rsidRDefault="00776ACA" w:rsidP="00776ACA">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3C0775" w14:paraId="6C0EDFDA" w14:textId="77777777" w:rsidTr="007C4DBA">
        <w:trPr>
          <w:trHeight w:val="1548"/>
          <w:jc w:val="center"/>
        </w:trPr>
        <w:tc>
          <w:tcPr>
            <w:tcW w:w="1749" w:type="dxa"/>
            <w:tcBorders>
              <w:top w:val="single" w:sz="4" w:space="0" w:color="auto"/>
              <w:bottom w:val="single" w:sz="4" w:space="0" w:color="auto"/>
            </w:tcBorders>
            <w:vAlign w:val="center"/>
          </w:tcPr>
          <w:p w14:paraId="7B74E7B5" w14:textId="77777777" w:rsidR="00636BD6" w:rsidRPr="00997181" w:rsidRDefault="00636BD6" w:rsidP="00D877B6">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 and outdoor</w:t>
            </w:r>
            <w:r w:rsidRPr="00997181">
              <w:rPr>
                <w:rStyle w:val="tlid-translation"/>
                <w:sz w:val="20"/>
                <w:szCs w:val="20"/>
                <w:lang w:val="en"/>
              </w:rPr>
              <w:t xml:space="preserve"> exposure</w:t>
            </w:r>
          </w:p>
        </w:tc>
        <w:tc>
          <w:tcPr>
            <w:tcW w:w="6998" w:type="dxa"/>
            <w:tcBorders>
              <w:top w:val="single" w:sz="4" w:space="0" w:color="auto"/>
              <w:bottom w:val="single" w:sz="4" w:space="0" w:color="auto"/>
            </w:tcBorders>
            <w:vAlign w:val="center"/>
          </w:tcPr>
          <w:p w14:paraId="4EEA1525" w14:textId="503F9BE5" w:rsidR="00636BD6" w:rsidRPr="00B94C1C" w:rsidRDefault="00636BD6" w:rsidP="00D877B6">
            <w:pPr>
              <w:spacing w:line="360" w:lineRule="auto"/>
              <w:jc w:val="center"/>
              <w:rPr>
                <w:rFonts w:eastAsia="Calibri"/>
                <w:sz w:val="18"/>
                <w:szCs w:val="18"/>
                <w:lang w:val="en-US"/>
              </w:rPr>
            </w:pPr>
            <m:oMathPara>
              <m:oMath>
                <m:r>
                  <w:rPr>
                    <w:rFonts w:ascii="Cambria Math" w:hAnsi="Cambria Math"/>
                    <w:sz w:val="18"/>
                    <w:szCs w:val="18"/>
                  </w:rPr>
                  <m:t>ELCR</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eastAsiaTheme="minorEastAsia" w:hAnsi="Cambria Math"/>
                    <w:sz w:val="18"/>
                    <w:szCs w:val="18"/>
                    <w:lang w:val="en-US"/>
                  </w:rPr>
                  <m:t xml:space="preserve">        (34)</m:t>
                </m:r>
              </m:oMath>
            </m:oMathPara>
          </w:p>
        </w:tc>
        <w:tc>
          <w:tcPr>
            <w:tcW w:w="5103" w:type="dxa"/>
            <w:tcBorders>
              <w:top w:val="single" w:sz="4" w:space="0" w:color="auto"/>
              <w:bottom w:val="single" w:sz="4" w:space="0" w:color="auto"/>
            </w:tcBorders>
            <w:vAlign w:val="center"/>
          </w:tcPr>
          <w:p w14:paraId="053A192B" w14:textId="77777777" w:rsidR="00636BD6" w:rsidRPr="003C0775" w:rsidRDefault="00636BD6" w:rsidP="00D877B6">
            <w:pPr>
              <w:spacing w:after="120" w:line="276" w:lineRule="auto"/>
              <w:jc w:val="center"/>
              <w:rPr>
                <w:b/>
                <w:i/>
                <w:iCs/>
                <w:sz w:val="18"/>
                <w:szCs w:val="18"/>
                <w:lang w:val="en-US"/>
              </w:rPr>
            </w:pPr>
            <w:proofErr w:type="spellStart"/>
            <w:r>
              <w:rPr>
                <w:b/>
                <w:i/>
                <w:iCs/>
                <w:sz w:val="18"/>
                <w:szCs w:val="18"/>
                <w:lang w:val="en-US"/>
              </w:rPr>
              <w:t>ELCR</w:t>
            </w:r>
            <w:r>
              <w:rPr>
                <w:b/>
                <w:i/>
                <w:iCs/>
                <w:sz w:val="18"/>
                <w:szCs w:val="18"/>
                <w:vertAlign w:val="subscript"/>
                <w:lang w:val="en-US"/>
              </w:rPr>
              <w:t>in</w:t>
            </w:r>
            <w:proofErr w:type="spellEnd"/>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due to indoor exposure</w:t>
            </w:r>
            <w:r>
              <w:rPr>
                <w:rStyle w:val="tlid-translation"/>
                <w:sz w:val="18"/>
                <w:szCs w:val="18"/>
                <w:lang w:val="en"/>
              </w:rPr>
              <w:t>;</w:t>
            </w:r>
            <w:r>
              <w:rPr>
                <w:rStyle w:val="tlid-translation"/>
                <w:lang w:val="en"/>
              </w:rPr>
              <w:t xml:space="preserve"> </w:t>
            </w:r>
            <w:proofErr w:type="spellStart"/>
            <w:r>
              <w:rPr>
                <w:b/>
                <w:i/>
                <w:iCs/>
                <w:sz w:val="18"/>
                <w:szCs w:val="18"/>
                <w:lang w:val="en-US"/>
              </w:rPr>
              <w:t>ELCR</w:t>
            </w:r>
            <w:r>
              <w:rPr>
                <w:b/>
                <w:i/>
                <w:iCs/>
                <w:sz w:val="18"/>
                <w:szCs w:val="18"/>
                <w:vertAlign w:val="subscript"/>
                <w:lang w:val="en-US"/>
              </w:rPr>
              <w:t>out</w:t>
            </w:r>
            <w:proofErr w:type="spellEnd"/>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 xml:space="preserve">due to </w:t>
            </w:r>
            <w:r>
              <w:rPr>
                <w:rStyle w:val="tlid-translation"/>
                <w:sz w:val="18"/>
                <w:szCs w:val="18"/>
                <w:lang w:val="en"/>
              </w:rPr>
              <w:t>out</w:t>
            </w:r>
            <w:r w:rsidRPr="003C0775">
              <w:rPr>
                <w:rStyle w:val="tlid-translation"/>
                <w:sz w:val="18"/>
                <w:szCs w:val="18"/>
                <w:lang w:val="en"/>
              </w:rPr>
              <w:t>door exposure</w:t>
            </w:r>
            <w:r>
              <w:rPr>
                <w:rStyle w:val="tlid-translation"/>
                <w:sz w:val="18"/>
                <w:szCs w:val="18"/>
                <w:lang w:val="en"/>
              </w:rPr>
              <w:t>.</w:t>
            </w:r>
          </w:p>
        </w:tc>
        <w:tc>
          <w:tcPr>
            <w:tcW w:w="1230" w:type="dxa"/>
            <w:tcBorders>
              <w:top w:val="single" w:sz="4" w:space="0" w:color="auto"/>
              <w:bottom w:val="single" w:sz="4" w:space="0" w:color="auto"/>
            </w:tcBorders>
            <w:vAlign w:val="center"/>
          </w:tcPr>
          <w:p w14:paraId="20E4293D" w14:textId="77777777" w:rsidR="00636BD6" w:rsidRPr="003C0775" w:rsidRDefault="00636BD6" w:rsidP="00D877B6">
            <w:pPr>
              <w:spacing w:line="360" w:lineRule="auto"/>
              <w:jc w:val="center"/>
              <w:rPr>
                <w:rStyle w:val="tlid-translation"/>
                <w:color w:val="000000" w:themeColor="text1"/>
                <w:sz w:val="18"/>
                <w:szCs w:val="18"/>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A330B2" w14:paraId="3F16E1AD" w14:textId="77777777" w:rsidTr="007C4DBA">
        <w:trPr>
          <w:trHeight w:val="975"/>
          <w:jc w:val="center"/>
        </w:trPr>
        <w:tc>
          <w:tcPr>
            <w:tcW w:w="1749" w:type="dxa"/>
            <w:tcBorders>
              <w:top w:val="single" w:sz="4" w:space="0" w:color="auto"/>
              <w:bottom w:val="single" w:sz="4" w:space="0" w:color="auto"/>
            </w:tcBorders>
            <w:vAlign w:val="center"/>
          </w:tcPr>
          <w:p w14:paraId="11AE8E1B" w14:textId="77777777" w:rsidR="00636BD6" w:rsidRPr="00997181" w:rsidRDefault="00636BD6" w:rsidP="00D877B6">
            <w:pPr>
              <w:spacing w:line="360" w:lineRule="auto"/>
              <w:jc w:val="center"/>
              <w:rPr>
                <w:sz w:val="20"/>
                <w:szCs w:val="20"/>
                <w:lang w:val="en-US"/>
              </w:rPr>
            </w:pPr>
            <w:r w:rsidRPr="00FA1545">
              <w:rPr>
                <w:sz w:val="20"/>
                <w:szCs w:val="22"/>
                <w:lang w:val="en-US"/>
              </w:rPr>
              <w:t xml:space="preserve">External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single" w:sz="4" w:space="0" w:color="auto"/>
            </w:tcBorders>
            <w:vAlign w:val="center"/>
          </w:tcPr>
          <w:p w14:paraId="708E6877" w14:textId="583D3F2A" w:rsidR="00636BD6" w:rsidRPr="00FA1545" w:rsidRDefault="00A10B4C"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=0.0027</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(35)</m:t>
                </m:r>
              </m:oMath>
            </m:oMathPara>
          </w:p>
        </w:tc>
        <w:tc>
          <w:tcPr>
            <w:tcW w:w="5103" w:type="dxa"/>
            <w:tcBorders>
              <w:top w:val="single" w:sz="4" w:space="0" w:color="auto"/>
              <w:bottom w:val="single" w:sz="4" w:space="0" w:color="auto"/>
            </w:tcBorders>
            <w:vAlign w:val="center"/>
          </w:tcPr>
          <w:p w14:paraId="224A8216"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proofErr w:type="spellStart"/>
            <w:r>
              <w:rPr>
                <w:sz w:val="20"/>
                <w:szCs w:val="22"/>
              </w:rPr>
              <w:t>mSy</w:t>
            </w:r>
            <w:proofErr w:type="spellEnd"/>
          </w:p>
        </w:tc>
        <w:tc>
          <w:tcPr>
            <w:tcW w:w="1230" w:type="dxa"/>
            <w:tcBorders>
              <w:top w:val="single" w:sz="4" w:space="0" w:color="auto"/>
              <w:bottom w:val="single" w:sz="4" w:space="0" w:color="auto"/>
            </w:tcBorders>
            <w:vAlign w:val="center"/>
          </w:tcPr>
          <w:p w14:paraId="1F6D4C5A" w14:textId="77777777" w:rsidR="00636BD6" w:rsidRPr="00A330B2" w:rsidRDefault="00636BD6" w:rsidP="00D877B6">
            <w:pPr>
              <w:spacing w:line="360" w:lineRule="auto"/>
              <w:jc w:val="center"/>
              <w:rPr>
                <w:rStyle w:val="tlid-translation"/>
                <w:color w:val="000000" w:themeColor="text1"/>
                <w:sz w:val="20"/>
                <w:szCs w:val="20"/>
                <w:lang w:val="en-US"/>
              </w:rPr>
            </w:pPr>
            <w:proofErr w:type="spellStart"/>
            <w:r w:rsidRPr="00A330B2">
              <w:rPr>
                <w:rStyle w:val="tlid-translation"/>
                <w:color w:val="000000" w:themeColor="text1"/>
                <w:sz w:val="20"/>
                <w:szCs w:val="20"/>
                <w:lang w:val="en-US"/>
              </w:rPr>
              <w:t>Agbalagba</w:t>
            </w:r>
            <w:proofErr w:type="spellEnd"/>
            <w:r w:rsidRPr="00A330B2">
              <w:rPr>
                <w:rStyle w:val="tlid-translation"/>
                <w:color w:val="000000" w:themeColor="text1"/>
                <w:sz w:val="20"/>
                <w:szCs w:val="20"/>
                <w:lang w:val="en-US"/>
              </w:rPr>
              <w:t xml:space="preserve">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r w:rsidR="00636BD6" w:rsidRPr="003C0775" w14:paraId="1FF44C0A" w14:textId="77777777" w:rsidTr="007C4DBA">
        <w:trPr>
          <w:trHeight w:val="989"/>
          <w:jc w:val="center"/>
        </w:trPr>
        <w:tc>
          <w:tcPr>
            <w:tcW w:w="1749" w:type="dxa"/>
            <w:tcBorders>
              <w:top w:val="single" w:sz="4" w:space="0" w:color="auto"/>
              <w:bottom w:val="double" w:sz="4" w:space="0" w:color="auto"/>
            </w:tcBorders>
            <w:vAlign w:val="center"/>
          </w:tcPr>
          <w:p w14:paraId="6BDC808A" w14:textId="77777777" w:rsidR="00636BD6" w:rsidRPr="00FA1545" w:rsidRDefault="00636BD6" w:rsidP="00D877B6">
            <w:pPr>
              <w:spacing w:line="360" w:lineRule="auto"/>
              <w:jc w:val="center"/>
              <w:rPr>
                <w:sz w:val="20"/>
                <w:szCs w:val="22"/>
                <w:lang w:val="en-US"/>
              </w:rPr>
            </w:pPr>
            <w:r>
              <w:rPr>
                <w:sz w:val="20"/>
                <w:szCs w:val="22"/>
                <w:lang w:val="en-US"/>
              </w:rPr>
              <w:t>Internal</w:t>
            </w:r>
            <w:r w:rsidRPr="00FA1545">
              <w:rPr>
                <w:sz w:val="20"/>
                <w:szCs w:val="22"/>
                <w:lang w:val="en-US"/>
              </w:rPr>
              <w:t xml:space="preserve">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double" w:sz="4" w:space="0" w:color="auto"/>
            </w:tcBorders>
            <w:vAlign w:val="center"/>
          </w:tcPr>
          <w:p w14:paraId="053C0E0C" w14:textId="46526C81" w:rsidR="00636BD6" w:rsidRPr="007566FD" w:rsidRDefault="00A10B4C"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=0.0054</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(36)</m:t>
                </m:r>
              </m:oMath>
            </m:oMathPara>
          </w:p>
        </w:tc>
        <w:tc>
          <w:tcPr>
            <w:tcW w:w="5103" w:type="dxa"/>
            <w:tcBorders>
              <w:top w:val="single" w:sz="4" w:space="0" w:color="auto"/>
              <w:bottom w:val="double" w:sz="4" w:space="0" w:color="auto"/>
            </w:tcBorders>
            <w:vAlign w:val="center"/>
          </w:tcPr>
          <w:p w14:paraId="6BF382A7"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proofErr w:type="spellStart"/>
            <w:r>
              <w:rPr>
                <w:sz w:val="20"/>
                <w:szCs w:val="22"/>
              </w:rPr>
              <w:t>mSy</w:t>
            </w:r>
            <w:proofErr w:type="spellEnd"/>
          </w:p>
        </w:tc>
        <w:tc>
          <w:tcPr>
            <w:tcW w:w="1230" w:type="dxa"/>
            <w:tcBorders>
              <w:top w:val="single" w:sz="4" w:space="0" w:color="auto"/>
              <w:bottom w:val="double" w:sz="4" w:space="0" w:color="auto"/>
            </w:tcBorders>
            <w:vAlign w:val="center"/>
          </w:tcPr>
          <w:p w14:paraId="77E82585" w14:textId="77777777" w:rsidR="00636BD6" w:rsidRPr="003C0775" w:rsidRDefault="00636BD6" w:rsidP="00D877B6">
            <w:pPr>
              <w:spacing w:line="360" w:lineRule="auto"/>
              <w:jc w:val="center"/>
              <w:rPr>
                <w:rStyle w:val="tlid-translation"/>
                <w:color w:val="000000" w:themeColor="text1"/>
                <w:sz w:val="18"/>
                <w:szCs w:val="18"/>
                <w:lang w:val="en-US"/>
              </w:rPr>
            </w:pPr>
            <w:proofErr w:type="spellStart"/>
            <w:r w:rsidRPr="00A330B2">
              <w:rPr>
                <w:rStyle w:val="tlid-translation"/>
                <w:color w:val="000000" w:themeColor="text1"/>
                <w:sz w:val="20"/>
                <w:szCs w:val="20"/>
                <w:lang w:val="en-US"/>
              </w:rPr>
              <w:t>Agbalagba</w:t>
            </w:r>
            <w:proofErr w:type="spellEnd"/>
            <w:r w:rsidRPr="00A330B2">
              <w:rPr>
                <w:rStyle w:val="tlid-translation"/>
                <w:color w:val="000000" w:themeColor="text1"/>
                <w:sz w:val="20"/>
                <w:szCs w:val="20"/>
                <w:lang w:val="en-US"/>
              </w:rPr>
              <w:t xml:space="preserve">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bl>
    <w:p w14:paraId="2B54BCC8" w14:textId="3AC2FF7F" w:rsidR="000A57AE" w:rsidRDefault="000A57AE" w:rsidP="00636BD6">
      <w:pPr>
        <w:spacing w:after="120"/>
        <w:jc w:val="center"/>
        <w:rPr>
          <w:sz w:val="28"/>
          <w:lang w:val="en-US"/>
        </w:rPr>
      </w:pPr>
      <w:r>
        <w:rPr>
          <w:sz w:val="28"/>
          <w:lang w:val="en-US"/>
        </w:rPr>
        <w:br w:type="page"/>
      </w:r>
    </w:p>
    <w:p w14:paraId="2E4F5C18" w14:textId="2CD86F73" w:rsidR="00D877B6" w:rsidRDefault="00D877B6" w:rsidP="00D877B6">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24583B">
        <w:rPr>
          <w:b/>
          <w:bCs/>
          <w:sz w:val="28"/>
          <w:lang w:val="en-US"/>
        </w:rPr>
        <w:t>6</w:t>
      </w:r>
      <w:r>
        <w:rPr>
          <w:sz w:val="28"/>
          <w:lang w:val="en-US"/>
        </w:rPr>
        <w:t xml:space="preserve"> – </w:t>
      </w:r>
      <w:r w:rsidR="000C2037">
        <w:rPr>
          <w:sz w:val="28"/>
          <w:lang w:val="en-US"/>
        </w:rPr>
        <w:t>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radiological risk calculations</w:t>
      </w:r>
    </w:p>
    <w:tbl>
      <w:tblPr>
        <w:tblStyle w:val="Tabelacomgrade"/>
        <w:tblW w:w="13008" w:type="dxa"/>
        <w:jc w:val="center"/>
        <w:tblLook w:val="04A0" w:firstRow="1" w:lastRow="0" w:firstColumn="1" w:lastColumn="0" w:noHBand="0" w:noVBand="1"/>
      </w:tblPr>
      <w:tblGrid>
        <w:gridCol w:w="3282"/>
        <w:gridCol w:w="3242"/>
        <w:gridCol w:w="3242"/>
        <w:gridCol w:w="3242"/>
      </w:tblGrid>
      <w:tr w:rsidR="00D877B6" w:rsidRPr="00D877B6" w14:paraId="7FE06B3F" w14:textId="249CD3B8" w:rsidTr="0027065D">
        <w:trPr>
          <w:trHeight w:val="333"/>
          <w:jc w:val="center"/>
        </w:trPr>
        <w:tc>
          <w:tcPr>
            <w:tcW w:w="3282" w:type="dxa"/>
            <w:tcBorders>
              <w:top w:val="double" w:sz="4" w:space="0" w:color="auto"/>
              <w:left w:val="nil"/>
              <w:bottom w:val="double" w:sz="4" w:space="0" w:color="auto"/>
              <w:right w:val="nil"/>
            </w:tcBorders>
            <w:vAlign w:val="center"/>
          </w:tcPr>
          <w:p w14:paraId="358CDE1C" w14:textId="3480F36D" w:rsidR="00D877B6" w:rsidRPr="00D877B6" w:rsidRDefault="00D877B6" w:rsidP="001F0C31">
            <w:pPr>
              <w:pStyle w:val="Default"/>
              <w:spacing w:line="276" w:lineRule="auto"/>
              <w:jc w:val="center"/>
              <w:rPr>
                <w:sz w:val="20"/>
                <w:szCs w:val="20"/>
                <w:lang w:val="en-US"/>
              </w:rPr>
            </w:pPr>
            <w:r w:rsidRPr="00D877B6">
              <w:rPr>
                <w:b/>
                <w:bCs/>
                <w:sz w:val="20"/>
                <w:szCs w:val="20"/>
                <w:lang w:val="en-US"/>
              </w:rPr>
              <w:t>Parameter</w:t>
            </w:r>
          </w:p>
        </w:tc>
        <w:tc>
          <w:tcPr>
            <w:tcW w:w="3242" w:type="dxa"/>
            <w:tcBorders>
              <w:top w:val="double" w:sz="4" w:space="0" w:color="auto"/>
              <w:left w:val="nil"/>
              <w:bottom w:val="double" w:sz="4" w:space="0" w:color="auto"/>
              <w:right w:val="nil"/>
            </w:tcBorders>
            <w:vAlign w:val="center"/>
          </w:tcPr>
          <w:p w14:paraId="7831A665" w14:textId="2719333E" w:rsidR="00D877B6" w:rsidRPr="00D877B6" w:rsidRDefault="00D877B6" w:rsidP="001F0C31">
            <w:pPr>
              <w:pStyle w:val="Default"/>
              <w:spacing w:line="276" w:lineRule="auto"/>
              <w:jc w:val="center"/>
              <w:rPr>
                <w:sz w:val="20"/>
                <w:szCs w:val="20"/>
                <w:vertAlign w:val="subscript"/>
                <w:lang w:val="en-US"/>
              </w:rPr>
            </w:pPr>
            <w:r w:rsidRPr="00D877B6">
              <w:rPr>
                <w:b/>
                <w:bCs/>
                <w:sz w:val="20"/>
                <w:szCs w:val="20"/>
                <w:lang w:val="en-US"/>
              </w:rPr>
              <w:t>Chemical species</w:t>
            </w:r>
          </w:p>
        </w:tc>
        <w:tc>
          <w:tcPr>
            <w:tcW w:w="3242" w:type="dxa"/>
            <w:tcBorders>
              <w:top w:val="double" w:sz="4" w:space="0" w:color="auto"/>
              <w:left w:val="nil"/>
              <w:bottom w:val="double" w:sz="4" w:space="0" w:color="auto"/>
              <w:right w:val="nil"/>
            </w:tcBorders>
            <w:vAlign w:val="center"/>
          </w:tcPr>
          <w:p w14:paraId="6E8B3FF0" w14:textId="518714B5" w:rsidR="00D877B6" w:rsidRPr="00D877B6" w:rsidRDefault="00880E61" w:rsidP="001F0C31">
            <w:pPr>
              <w:pStyle w:val="Default"/>
              <w:spacing w:line="276" w:lineRule="auto"/>
              <w:jc w:val="center"/>
              <w:rPr>
                <w:b/>
                <w:bCs/>
                <w:sz w:val="20"/>
                <w:szCs w:val="20"/>
                <w:lang w:val="en-US"/>
              </w:rPr>
            </w:pPr>
            <w:r>
              <w:rPr>
                <w:b/>
                <w:bCs/>
                <w:sz w:val="20"/>
                <w:szCs w:val="20"/>
                <w:lang w:val="en-US"/>
              </w:rPr>
              <w:t>Value</w:t>
            </w:r>
          </w:p>
        </w:tc>
        <w:tc>
          <w:tcPr>
            <w:tcW w:w="3242" w:type="dxa"/>
            <w:tcBorders>
              <w:top w:val="double" w:sz="4" w:space="0" w:color="auto"/>
              <w:left w:val="nil"/>
              <w:bottom w:val="single" w:sz="4" w:space="0" w:color="auto"/>
              <w:right w:val="nil"/>
            </w:tcBorders>
            <w:vAlign w:val="center"/>
          </w:tcPr>
          <w:p w14:paraId="2F73042D" w14:textId="5B0E1A49" w:rsidR="00D877B6" w:rsidRPr="00D877B6" w:rsidRDefault="00D877B6" w:rsidP="001F0C31">
            <w:pPr>
              <w:pStyle w:val="Default"/>
              <w:spacing w:line="276" w:lineRule="auto"/>
              <w:jc w:val="center"/>
              <w:rPr>
                <w:b/>
                <w:bCs/>
                <w:sz w:val="20"/>
                <w:szCs w:val="20"/>
                <w:lang w:val="en-US"/>
              </w:rPr>
            </w:pPr>
            <w:r w:rsidRPr="00D877B6">
              <w:rPr>
                <w:b/>
                <w:bCs/>
                <w:sz w:val="20"/>
                <w:szCs w:val="20"/>
                <w:lang w:val="en-US"/>
              </w:rPr>
              <w:t>Reference</w:t>
            </w:r>
          </w:p>
        </w:tc>
      </w:tr>
      <w:tr w:rsidR="00D877B6" w:rsidRPr="00D877B6" w14:paraId="10B888FE" w14:textId="77777777" w:rsidTr="0027065D">
        <w:trPr>
          <w:trHeight w:val="333"/>
          <w:jc w:val="center"/>
        </w:trPr>
        <w:tc>
          <w:tcPr>
            <w:tcW w:w="13008" w:type="dxa"/>
            <w:gridSpan w:val="4"/>
            <w:tcBorders>
              <w:top w:val="double" w:sz="4" w:space="0" w:color="auto"/>
              <w:left w:val="nil"/>
              <w:bottom w:val="single" w:sz="4" w:space="0" w:color="auto"/>
              <w:right w:val="nil"/>
            </w:tcBorders>
            <w:vAlign w:val="center"/>
          </w:tcPr>
          <w:p w14:paraId="601E97F5" w14:textId="252EF9CC" w:rsidR="00D877B6" w:rsidRPr="00D877B6" w:rsidRDefault="00D877B6" w:rsidP="001F0C31">
            <w:pPr>
              <w:pStyle w:val="Default"/>
              <w:spacing w:line="276" w:lineRule="auto"/>
              <w:jc w:val="center"/>
              <w:rPr>
                <w:b/>
                <w:bCs/>
                <w:sz w:val="20"/>
                <w:szCs w:val="20"/>
                <w:lang w:val="en-US"/>
              </w:rPr>
            </w:pPr>
            <w:r>
              <w:rPr>
                <w:b/>
                <w:bCs/>
                <w:sz w:val="20"/>
                <w:szCs w:val="20"/>
                <w:lang w:val="en-US"/>
              </w:rPr>
              <w:t>Internal database</w:t>
            </w:r>
          </w:p>
        </w:tc>
      </w:tr>
      <w:tr w:rsidR="001F0C31" w:rsidRPr="00D877B6" w14:paraId="067C2DC0" w14:textId="6A73ED04" w:rsidTr="001F0C31">
        <w:trPr>
          <w:trHeight w:val="313"/>
          <w:jc w:val="center"/>
        </w:trPr>
        <w:tc>
          <w:tcPr>
            <w:tcW w:w="3282" w:type="dxa"/>
            <w:vMerge w:val="restart"/>
            <w:tcBorders>
              <w:top w:val="single" w:sz="4" w:space="0" w:color="auto"/>
              <w:left w:val="nil"/>
              <w:bottom w:val="nil"/>
              <w:right w:val="nil"/>
            </w:tcBorders>
            <w:vAlign w:val="center"/>
          </w:tcPr>
          <w:p w14:paraId="5F7F5E19" w14:textId="723996C4" w:rsidR="001F0C31" w:rsidRPr="00D877B6" w:rsidRDefault="00FC5AEF" w:rsidP="001F0C31">
            <w:pPr>
              <w:pStyle w:val="Default"/>
              <w:spacing w:line="276" w:lineRule="auto"/>
              <w:jc w:val="center"/>
              <w:rPr>
                <w:sz w:val="20"/>
                <w:szCs w:val="20"/>
                <w:lang w:val="en-US"/>
              </w:rPr>
            </w:pPr>
            <w:r>
              <w:rPr>
                <w:b/>
                <w:bCs/>
                <w:i/>
                <w:sz w:val="18"/>
                <w:szCs w:val="18"/>
                <w:lang w:val="en-US"/>
              </w:rPr>
              <w:t>MM</w:t>
            </w:r>
            <w:r w:rsidRPr="00E55C4E">
              <w:rPr>
                <w:sz w:val="18"/>
                <w:szCs w:val="18"/>
                <w:lang w:val="en-US"/>
              </w:rPr>
              <w:t xml:space="preserve"> </w:t>
            </w:r>
            <w:r w:rsidR="001F0C31" w:rsidRPr="00D877B6">
              <w:rPr>
                <w:sz w:val="20"/>
                <w:szCs w:val="20"/>
                <w:lang w:val="en-US"/>
              </w:rPr>
              <w:t>(mg mol</w:t>
            </w:r>
            <w:r w:rsidR="001F0C31" w:rsidRPr="00D877B6">
              <w:rPr>
                <w:sz w:val="20"/>
                <w:szCs w:val="20"/>
                <w:vertAlign w:val="superscript"/>
                <w:lang w:val="en-US"/>
              </w:rPr>
              <w:t>-1</w:t>
            </w:r>
            <w:r w:rsidR="001F0C31" w:rsidRPr="00D877B6">
              <w:rPr>
                <w:sz w:val="20"/>
                <w:szCs w:val="20"/>
                <w:lang w:val="en-US"/>
              </w:rPr>
              <w:t>)</w:t>
            </w:r>
          </w:p>
        </w:tc>
        <w:tc>
          <w:tcPr>
            <w:tcW w:w="3242" w:type="dxa"/>
            <w:tcBorders>
              <w:top w:val="single" w:sz="4" w:space="0" w:color="auto"/>
              <w:left w:val="nil"/>
              <w:bottom w:val="nil"/>
              <w:right w:val="nil"/>
            </w:tcBorders>
            <w:vAlign w:val="center"/>
          </w:tcPr>
          <w:p w14:paraId="3449DBFF" w14:textId="282A5C9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595BAC2D" w14:textId="2EC0BAC3" w:rsidR="001F0C31" w:rsidRPr="001F0C31" w:rsidRDefault="001F0C31" w:rsidP="001F0C31">
            <w:pPr>
              <w:pStyle w:val="Default"/>
              <w:spacing w:line="276" w:lineRule="auto"/>
              <w:jc w:val="center"/>
              <w:rPr>
                <w:sz w:val="20"/>
                <w:szCs w:val="20"/>
                <w:vertAlign w:val="superscript"/>
                <w:lang w:val="en-US"/>
              </w:rPr>
            </w:pPr>
            <w:r>
              <w:rPr>
                <w:sz w:val="20"/>
                <w:szCs w:val="20"/>
                <w:lang w:val="en-US"/>
              </w:rPr>
              <w:t>3.99620 · 10</w:t>
            </w:r>
            <w:r>
              <w:rPr>
                <w:sz w:val="20"/>
                <w:szCs w:val="20"/>
                <w:vertAlign w:val="superscript"/>
                <w:lang w:val="en-US"/>
              </w:rPr>
              <w:t>4</w:t>
            </w:r>
          </w:p>
        </w:tc>
        <w:tc>
          <w:tcPr>
            <w:tcW w:w="3242" w:type="dxa"/>
            <w:vMerge w:val="restart"/>
            <w:tcBorders>
              <w:top w:val="single" w:sz="4" w:space="0" w:color="auto"/>
              <w:left w:val="nil"/>
              <w:right w:val="nil"/>
            </w:tcBorders>
            <w:vAlign w:val="center"/>
          </w:tcPr>
          <w:p w14:paraId="7C5894E8" w14:textId="5D82A324"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7E35A95E" w14:textId="6D557C0B" w:rsidTr="001F0C31">
        <w:trPr>
          <w:trHeight w:val="333"/>
          <w:jc w:val="center"/>
        </w:trPr>
        <w:tc>
          <w:tcPr>
            <w:tcW w:w="3282" w:type="dxa"/>
            <w:vMerge/>
            <w:tcBorders>
              <w:top w:val="nil"/>
              <w:left w:val="nil"/>
              <w:bottom w:val="nil"/>
              <w:right w:val="nil"/>
            </w:tcBorders>
            <w:vAlign w:val="center"/>
          </w:tcPr>
          <w:p w14:paraId="64F3E4E2" w14:textId="59886085"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7BA08C89" w14:textId="6611965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06B2305A" w14:textId="05010623" w:rsidR="001F0C31" w:rsidRPr="00D877B6" w:rsidRDefault="001F0C31" w:rsidP="001F0C31">
            <w:pPr>
              <w:pStyle w:val="Default"/>
              <w:spacing w:line="276" w:lineRule="auto"/>
              <w:jc w:val="center"/>
              <w:rPr>
                <w:sz w:val="20"/>
                <w:szCs w:val="20"/>
                <w:lang w:val="en-US"/>
              </w:rPr>
            </w:pPr>
            <w:r>
              <w:rPr>
                <w:sz w:val="20"/>
                <w:szCs w:val="20"/>
                <w:lang w:val="en-US"/>
              </w:rPr>
              <w:t>2.26030 · 10</w:t>
            </w:r>
            <w:r>
              <w:rPr>
                <w:sz w:val="20"/>
                <w:szCs w:val="20"/>
                <w:vertAlign w:val="superscript"/>
                <w:lang w:val="en-US"/>
              </w:rPr>
              <w:t>5</w:t>
            </w:r>
          </w:p>
        </w:tc>
        <w:tc>
          <w:tcPr>
            <w:tcW w:w="3242" w:type="dxa"/>
            <w:vMerge/>
            <w:tcBorders>
              <w:left w:val="nil"/>
              <w:right w:val="nil"/>
            </w:tcBorders>
            <w:vAlign w:val="center"/>
          </w:tcPr>
          <w:p w14:paraId="0384A444" w14:textId="77777777" w:rsidR="001F0C31" w:rsidRPr="00D877B6" w:rsidRDefault="001F0C31" w:rsidP="001F0C31">
            <w:pPr>
              <w:pStyle w:val="Default"/>
              <w:spacing w:line="276" w:lineRule="auto"/>
              <w:jc w:val="center"/>
              <w:rPr>
                <w:sz w:val="20"/>
                <w:szCs w:val="20"/>
                <w:lang w:val="en-US"/>
              </w:rPr>
            </w:pPr>
          </w:p>
        </w:tc>
      </w:tr>
      <w:tr w:rsidR="001F0C31" w:rsidRPr="00D877B6" w14:paraId="32E0E668" w14:textId="129E7855" w:rsidTr="001F0C31">
        <w:trPr>
          <w:trHeight w:val="313"/>
          <w:jc w:val="center"/>
        </w:trPr>
        <w:tc>
          <w:tcPr>
            <w:tcW w:w="3282" w:type="dxa"/>
            <w:vMerge/>
            <w:tcBorders>
              <w:top w:val="nil"/>
              <w:left w:val="nil"/>
              <w:bottom w:val="nil"/>
              <w:right w:val="nil"/>
            </w:tcBorders>
            <w:vAlign w:val="center"/>
          </w:tcPr>
          <w:p w14:paraId="6BAF80AB" w14:textId="5FEBC560"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46E81456" w14:textId="2494492C"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76874439" w14:textId="4C2E80AD" w:rsidR="001F0C31" w:rsidRPr="00D877B6" w:rsidRDefault="001F0C31" w:rsidP="001F0C31">
            <w:pPr>
              <w:pStyle w:val="Default"/>
              <w:spacing w:line="276" w:lineRule="auto"/>
              <w:jc w:val="center"/>
              <w:rPr>
                <w:sz w:val="20"/>
                <w:szCs w:val="20"/>
                <w:lang w:val="en-US"/>
              </w:rPr>
            </w:pPr>
            <w:r>
              <w:rPr>
                <w:sz w:val="20"/>
                <w:szCs w:val="20"/>
                <w:lang w:val="en-US"/>
              </w:rPr>
              <w:t>2.32038 · 10</w:t>
            </w:r>
            <w:r>
              <w:rPr>
                <w:sz w:val="20"/>
                <w:szCs w:val="20"/>
                <w:vertAlign w:val="superscript"/>
                <w:lang w:val="en-US"/>
              </w:rPr>
              <w:t>5</w:t>
            </w:r>
          </w:p>
        </w:tc>
        <w:tc>
          <w:tcPr>
            <w:tcW w:w="3242" w:type="dxa"/>
            <w:vMerge/>
            <w:tcBorders>
              <w:left w:val="nil"/>
              <w:right w:val="nil"/>
            </w:tcBorders>
            <w:vAlign w:val="center"/>
          </w:tcPr>
          <w:p w14:paraId="647B0E1F" w14:textId="77777777" w:rsidR="001F0C31" w:rsidRPr="00D877B6" w:rsidRDefault="001F0C31" w:rsidP="001F0C31">
            <w:pPr>
              <w:pStyle w:val="Default"/>
              <w:spacing w:line="276" w:lineRule="auto"/>
              <w:jc w:val="center"/>
              <w:rPr>
                <w:sz w:val="20"/>
                <w:szCs w:val="20"/>
                <w:lang w:val="en-US"/>
              </w:rPr>
            </w:pPr>
          </w:p>
        </w:tc>
      </w:tr>
      <w:tr w:rsidR="001F0C31" w:rsidRPr="00D877B6" w14:paraId="7D4ECA8A" w14:textId="5FD9B2C5" w:rsidTr="001F0C31">
        <w:trPr>
          <w:trHeight w:val="333"/>
          <w:jc w:val="center"/>
        </w:trPr>
        <w:tc>
          <w:tcPr>
            <w:tcW w:w="3282" w:type="dxa"/>
            <w:vMerge/>
            <w:tcBorders>
              <w:top w:val="nil"/>
              <w:left w:val="nil"/>
              <w:bottom w:val="single" w:sz="4" w:space="0" w:color="auto"/>
              <w:right w:val="nil"/>
            </w:tcBorders>
            <w:vAlign w:val="center"/>
          </w:tcPr>
          <w:p w14:paraId="78F3FEAB" w14:textId="72FFE5C3"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437DCCA0" w14:textId="46F448A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4AE4E50D" w14:textId="17B555AC" w:rsidR="001F0C31" w:rsidRPr="00D877B6" w:rsidRDefault="001F0C31" w:rsidP="001F0C31">
            <w:pPr>
              <w:pStyle w:val="Default"/>
              <w:spacing w:line="276" w:lineRule="auto"/>
              <w:jc w:val="center"/>
              <w:rPr>
                <w:sz w:val="20"/>
                <w:szCs w:val="20"/>
                <w:lang w:val="en-US"/>
              </w:rPr>
            </w:pPr>
            <w:r>
              <w:rPr>
                <w:sz w:val="20"/>
                <w:szCs w:val="20"/>
                <w:lang w:val="en-US"/>
              </w:rPr>
              <w:t>2.38028 · 10</w:t>
            </w:r>
            <w:r>
              <w:rPr>
                <w:sz w:val="20"/>
                <w:szCs w:val="20"/>
                <w:vertAlign w:val="superscript"/>
                <w:lang w:val="en-US"/>
              </w:rPr>
              <w:t>5</w:t>
            </w:r>
          </w:p>
        </w:tc>
        <w:tc>
          <w:tcPr>
            <w:tcW w:w="3242" w:type="dxa"/>
            <w:vMerge/>
            <w:tcBorders>
              <w:left w:val="nil"/>
              <w:bottom w:val="single" w:sz="4" w:space="0" w:color="auto"/>
              <w:right w:val="nil"/>
            </w:tcBorders>
            <w:vAlign w:val="center"/>
          </w:tcPr>
          <w:p w14:paraId="3DAC24E8" w14:textId="77777777" w:rsidR="001F0C31" w:rsidRPr="00D877B6" w:rsidRDefault="001F0C31" w:rsidP="001F0C31">
            <w:pPr>
              <w:pStyle w:val="Default"/>
              <w:spacing w:line="276" w:lineRule="auto"/>
              <w:jc w:val="center"/>
              <w:rPr>
                <w:sz w:val="20"/>
                <w:szCs w:val="20"/>
                <w:lang w:val="en-US"/>
              </w:rPr>
            </w:pPr>
          </w:p>
        </w:tc>
      </w:tr>
      <w:tr w:rsidR="001F0C31" w:rsidRPr="00D877B6" w14:paraId="23234EDF" w14:textId="10109CFE" w:rsidTr="001F0C31">
        <w:trPr>
          <w:trHeight w:val="313"/>
          <w:jc w:val="center"/>
        </w:trPr>
        <w:tc>
          <w:tcPr>
            <w:tcW w:w="3282" w:type="dxa"/>
            <w:vMerge w:val="restart"/>
            <w:tcBorders>
              <w:top w:val="single" w:sz="4" w:space="0" w:color="auto"/>
              <w:left w:val="nil"/>
              <w:bottom w:val="nil"/>
              <w:right w:val="nil"/>
            </w:tcBorders>
            <w:vAlign w:val="center"/>
          </w:tcPr>
          <w:p w14:paraId="52BD1DAC" w14:textId="02478FF9" w:rsidR="001F0C31" w:rsidRPr="00D877B6" w:rsidRDefault="00FC5AEF" w:rsidP="001F0C31">
            <w:pPr>
              <w:pStyle w:val="Default"/>
              <w:spacing w:line="276" w:lineRule="auto"/>
              <w:jc w:val="center"/>
              <w:rPr>
                <w:sz w:val="20"/>
                <w:szCs w:val="20"/>
                <w:lang w:val="en-US"/>
              </w:rPr>
            </w:pP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001F0C31" w:rsidRPr="00D877B6">
              <w:rPr>
                <w:sz w:val="20"/>
                <w:szCs w:val="20"/>
                <w:lang w:val="en-US"/>
              </w:rPr>
              <w:t>(s)</w:t>
            </w:r>
          </w:p>
        </w:tc>
        <w:tc>
          <w:tcPr>
            <w:tcW w:w="3242" w:type="dxa"/>
            <w:tcBorders>
              <w:top w:val="single" w:sz="4" w:space="0" w:color="auto"/>
              <w:left w:val="nil"/>
              <w:bottom w:val="nil"/>
              <w:right w:val="nil"/>
            </w:tcBorders>
            <w:vAlign w:val="center"/>
          </w:tcPr>
          <w:p w14:paraId="6C785ECE" w14:textId="6DBAE64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4756F1B3" w14:textId="69A31D91" w:rsidR="001F0C31" w:rsidRPr="00D877B6" w:rsidRDefault="001F0C31" w:rsidP="001F0C31">
            <w:pPr>
              <w:pStyle w:val="Default"/>
              <w:spacing w:line="276" w:lineRule="auto"/>
              <w:jc w:val="center"/>
              <w:rPr>
                <w:sz w:val="20"/>
                <w:szCs w:val="20"/>
                <w:lang w:val="en-US"/>
              </w:rPr>
            </w:pPr>
            <w:r>
              <w:rPr>
                <w:sz w:val="20"/>
                <w:szCs w:val="20"/>
                <w:lang w:val="en-US"/>
              </w:rPr>
              <w:t>4.0366 · 10</w:t>
            </w:r>
            <w:r>
              <w:rPr>
                <w:sz w:val="20"/>
                <w:szCs w:val="20"/>
                <w:vertAlign w:val="superscript"/>
                <w:lang w:val="en-US"/>
              </w:rPr>
              <w:t>16</w:t>
            </w:r>
          </w:p>
        </w:tc>
        <w:tc>
          <w:tcPr>
            <w:tcW w:w="3242" w:type="dxa"/>
            <w:vMerge w:val="restart"/>
            <w:tcBorders>
              <w:top w:val="single" w:sz="4" w:space="0" w:color="auto"/>
              <w:left w:val="nil"/>
              <w:right w:val="nil"/>
            </w:tcBorders>
            <w:vAlign w:val="center"/>
          </w:tcPr>
          <w:p w14:paraId="68638567" w14:textId="77B97A7C"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56E8E6D1" w14:textId="4D01A50C" w:rsidTr="001F0C31">
        <w:trPr>
          <w:trHeight w:val="333"/>
          <w:jc w:val="center"/>
        </w:trPr>
        <w:tc>
          <w:tcPr>
            <w:tcW w:w="3282" w:type="dxa"/>
            <w:vMerge/>
            <w:tcBorders>
              <w:top w:val="nil"/>
              <w:left w:val="nil"/>
              <w:bottom w:val="nil"/>
              <w:right w:val="nil"/>
            </w:tcBorders>
            <w:vAlign w:val="center"/>
          </w:tcPr>
          <w:p w14:paraId="1C957936" w14:textId="0D3AE0AB"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2D57C8F0" w14:textId="36213298"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5FB71B27" w14:textId="513152BE" w:rsidR="001F0C31" w:rsidRPr="00D877B6" w:rsidRDefault="001F0C31" w:rsidP="001F0C31">
            <w:pPr>
              <w:pStyle w:val="Default"/>
              <w:spacing w:line="276" w:lineRule="auto"/>
              <w:jc w:val="center"/>
              <w:rPr>
                <w:sz w:val="20"/>
                <w:szCs w:val="20"/>
                <w:lang w:val="en-US"/>
              </w:rPr>
            </w:pPr>
            <w:r>
              <w:rPr>
                <w:sz w:val="20"/>
                <w:szCs w:val="20"/>
                <w:lang w:val="en-US"/>
              </w:rPr>
              <w:t>5.1151 · 10</w:t>
            </w:r>
            <w:r>
              <w:rPr>
                <w:sz w:val="20"/>
                <w:szCs w:val="20"/>
                <w:vertAlign w:val="superscript"/>
                <w:lang w:val="en-US"/>
              </w:rPr>
              <w:t>10</w:t>
            </w:r>
          </w:p>
        </w:tc>
        <w:tc>
          <w:tcPr>
            <w:tcW w:w="3242" w:type="dxa"/>
            <w:vMerge/>
            <w:tcBorders>
              <w:left w:val="nil"/>
              <w:right w:val="nil"/>
            </w:tcBorders>
            <w:vAlign w:val="center"/>
          </w:tcPr>
          <w:p w14:paraId="53259506" w14:textId="77777777" w:rsidR="001F0C31" w:rsidRPr="00D877B6" w:rsidRDefault="001F0C31" w:rsidP="001F0C31">
            <w:pPr>
              <w:pStyle w:val="Default"/>
              <w:spacing w:line="276" w:lineRule="auto"/>
              <w:jc w:val="center"/>
              <w:rPr>
                <w:sz w:val="20"/>
                <w:szCs w:val="20"/>
                <w:lang w:val="en-US"/>
              </w:rPr>
            </w:pPr>
          </w:p>
        </w:tc>
      </w:tr>
      <w:tr w:rsidR="001F0C31" w:rsidRPr="00D877B6" w14:paraId="0D80DCD2" w14:textId="63D2F4F3" w:rsidTr="001F0C31">
        <w:trPr>
          <w:trHeight w:val="313"/>
          <w:jc w:val="center"/>
        </w:trPr>
        <w:tc>
          <w:tcPr>
            <w:tcW w:w="3282" w:type="dxa"/>
            <w:vMerge/>
            <w:tcBorders>
              <w:top w:val="nil"/>
              <w:left w:val="nil"/>
              <w:bottom w:val="nil"/>
              <w:right w:val="nil"/>
            </w:tcBorders>
            <w:vAlign w:val="center"/>
          </w:tcPr>
          <w:p w14:paraId="3FEBB3FF" w14:textId="26C9B71F"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50650FD5" w14:textId="329ED45A"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3532D627" w14:textId="18F7515E" w:rsidR="001F0C31" w:rsidRPr="00D877B6" w:rsidRDefault="001F0C31" w:rsidP="001F0C31">
            <w:pPr>
              <w:pStyle w:val="Default"/>
              <w:spacing w:line="276" w:lineRule="auto"/>
              <w:jc w:val="center"/>
              <w:rPr>
                <w:sz w:val="20"/>
                <w:szCs w:val="20"/>
                <w:lang w:val="en-US"/>
              </w:rPr>
            </w:pPr>
            <w:r>
              <w:rPr>
                <w:sz w:val="20"/>
                <w:szCs w:val="20"/>
                <w:lang w:val="en-US"/>
              </w:rPr>
              <w:t>4.4340 · 10</w:t>
            </w:r>
            <w:r>
              <w:rPr>
                <w:sz w:val="20"/>
                <w:szCs w:val="20"/>
                <w:vertAlign w:val="superscript"/>
                <w:lang w:val="en-US"/>
              </w:rPr>
              <w:t>17</w:t>
            </w:r>
          </w:p>
        </w:tc>
        <w:tc>
          <w:tcPr>
            <w:tcW w:w="3242" w:type="dxa"/>
            <w:vMerge/>
            <w:tcBorders>
              <w:left w:val="nil"/>
              <w:right w:val="nil"/>
            </w:tcBorders>
            <w:vAlign w:val="center"/>
          </w:tcPr>
          <w:p w14:paraId="2F0BEC17" w14:textId="77777777" w:rsidR="001F0C31" w:rsidRPr="00D877B6" w:rsidRDefault="001F0C31" w:rsidP="001F0C31">
            <w:pPr>
              <w:pStyle w:val="Default"/>
              <w:spacing w:line="276" w:lineRule="auto"/>
              <w:jc w:val="center"/>
              <w:rPr>
                <w:sz w:val="20"/>
                <w:szCs w:val="20"/>
                <w:lang w:val="en-US"/>
              </w:rPr>
            </w:pPr>
          </w:p>
        </w:tc>
      </w:tr>
      <w:tr w:rsidR="001F0C31" w:rsidRPr="00D877B6" w14:paraId="08E2E369" w14:textId="776CF1B7" w:rsidTr="00C42BFA">
        <w:trPr>
          <w:trHeight w:val="313"/>
          <w:jc w:val="center"/>
        </w:trPr>
        <w:tc>
          <w:tcPr>
            <w:tcW w:w="3282" w:type="dxa"/>
            <w:vMerge/>
            <w:tcBorders>
              <w:top w:val="nil"/>
              <w:left w:val="nil"/>
              <w:bottom w:val="single" w:sz="4" w:space="0" w:color="auto"/>
              <w:right w:val="nil"/>
            </w:tcBorders>
            <w:vAlign w:val="center"/>
          </w:tcPr>
          <w:p w14:paraId="23A40C4E" w14:textId="2382E02D"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6778BFA9" w14:textId="12454016"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2E768B0A" w14:textId="693BCB95" w:rsidR="001F0C31" w:rsidRPr="00D877B6" w:rsidRDefault="001F0C31" w:rsidP="001F0C31">
            <w:pPr>
              <w:pStyle w:val="Default"/>
              <w:spacing w:line="276" w:lineRule="auto"/>
              <w:jc w:val="center"/>
              <w:rPr>
                <w:sz w:val="20"/>
                <w:szCs w:val="20"/>
                <w:lang w:val="en-US"/>
              </w:rPr>
            </w:pPr>
            <w:r>
              <w:rPr>
                <w:sz w:val="20"/>
                <w:szCs w:val="20"/>
                <w:lang w:val="en-US"/>
              </w:rPr>
              <w:t>1.4160 · 10</w:t>
            </w:r>
            <w:r>
              <w:rPr>
                <w:sz w:val="20"/>
                <w:szCs w:val="20"/>
                <w:vertAlign w:val="superscript"/>
                <w:lang w:val="en-US"/>
              </w:rPr>
              <w:t>17</w:t>
            </w:r>
          </w:p>
        </w:tc>
        <w:tc>
          <w:tcPr>
            <w:tcW w:w="3242" w:type="dxa"/>
            <w:vMerge/>
            <w:tcBorders>
              <w:left w:val="nil"/>
              <w:bottom w:val="single" w:sz="4" w:space="0" w:color="auto"/>
              <w:right w:val="nil"/>
            </w:tcBorders>
            <w:vAlign w:val="center"/>
          </w:tcPr>
          <w:p w14:paraId="2981DEA3" w14:textId="77777777" w:rsidR="001F0C31" w:rsidRPr="00D877B6" w:rsidRDefault="001F0C31" w:rsidP="001F0C31">
            <w:pPr>
              <w:pStyle w:val="Default"/>
              <w:spacing w:line="276" w:lineRule="auto"/>
              <w:jc w:val="center"/>
              <w:rPr>
                <w:sz w:val="20"/>
                <w:szCs w:val="20"/>
                <w:lang w:val="en-US"/>
              </w:rPr>
            </w:pPr>
          </w:p>
        </w:tc>
      </w:tr>
      <w:tr w:rsidR="00D877B6" w:rsidRPr="00D877B6" w14:paraId="535D5A3E" w14:textId="7646CF14" w:rsidTr="00FC5AEF">
        <w:trPr>
          <w:trHeight w:val="313"/>
          <w:jc w:val="center"/>
        </w:trPr>
        <w:tc>
          <w:tcPr>
            <w:tcW w:w="3282" w:type="dxa"/>
            <w:tcBorders>
              <w:top w:val="single" w:sz="4" w:space="0" w:color="auto"/>
              <w:left w:val="nil"/>
              <w:bottom w:val="single" w:sz="4" w:space="0" w:color="auto"/>
              <w:right w:val="nil"/>
            </w:tcBorders>
            <w:vAlign w:val="center"/>
          </w:tcPr>
          <w:p w14:paraId="033ADA43" w14:textId="7B4971E2" w:rsidR="00D877B6" w:rsidRPr="005E2DD4" w:rsidRDefault="00FC5AEF" w:rsidP="001F0C31">
            <w:pPr>
              <w:pStyle w:val="Default"/>
              <w:spacing w:line="276" w:lineRule="auto"/>
              <w:jc w:val="center"/>
              <w:rPr>
                <w:sz w:val="20"/>
                <w:szCs w:val="20"/>
              </w:rPr>
            </w:pPr>
            <w:r>
              <w:rPr>
                <w:b/>
                <w:bCs/>
                <w:i/>
                <w:sz w:val="18"/>
                <w:szCs w:val="18"/>
                <w:lang w:val="en-US"/>
              </w:rPr>
              <w:t>N</w:t>
            </w:r>
            <w:r>
              <w:rPr>
                <w:b/>
                <w:bCs/>
                <w:i/>
                <w:sz w:val="18"/>
                <w:szCs w:val="18"/>
                <w:vertAlign w:val="subscript"/>
                <w:lang w:val="en-US"/>
              </w:rPr>
              <w:t>A</w:t>
            </w:r>
            <w:r w:rsidRPr="00E55C4E">
              <w:rPr>
                <w:sz w:val="18"/>
                <w:szCs w:val="18"/>
                <w:lang w:val="en-US"/>
              </w:rPr>
              <w:t xml:space="preserve"> </w:t>
            </w:r>
            <w:r w:rsidR="005E2DD4" w:rsidRPr="005E2DD4">
              <w:rPr>
                <w:sz w:val="18"/>
                <w:szCs w:val="18"/>
              </w:rPr>
              <w:t>(</w:t>
            </w:r>
            <w:proofErr w:type="spellStart"/>
            <w:r w:rsidR="005E2DD4" w:rsidRPr="005E2DD4">
              <w:rPr>
                <w:sz w:val="18"/>
                <w:szCs w:val="18"/>
              </w:rPr>
              <w:t>atoms</w:t>
            </w:r>
            <w:proofErr w:type="spellEnd"/>
            <w:r w:rsidR="005E2DD4" w:rsidRPr="005E2DD4">
              <w:rPr>
                <w:sz w:val="18"/>
                <w:szCs w:val="18"/>
              </w:rPr>
              <w:t xml:space="preserve"> mol</w:t>
            </w:r>
            <w:r w:rsidR="005E2DD4" w:rsidRPr="005E2DD4">
              <w:rPr>
                <w:sz w:val="18"/>
                <w:szCs w:val="18"/>
                <w:vertAlign w:val="superscript"/>
              </w:rPr>
              <w:t>-1</w:t>
            </w:r>
            <w:r w:rsidR="005E2DD4" w:rsidRPr="005E2DD4">
              <w:rPr>
                <w:sz w:val="18"/>
                <w:szCs w:val="18"/>
              </w:rPr>
              <w:t>)</w:t>
            </w:r>
          </w:p>
        </w:tc>
        <w:tc>
          <w:tcPr>
            <w:tcW w:w="3242" w:type="dxa"/>
            <w:tcBorders>
              <w:top w:val="single" w:sz="4" w:space="0" w:color="auto"/>
              <w:left w:val="nil"/>
              <w:bottom w:val="single" w:sz="4" w:space="0" w:color="auto"/>
              <w:right w:val="nil"/>
            </w:tcBorders>
            <w:vAlign w:val="center"/>
          </w:tcPr>
          <w:p w14:paraId="03D3E8C7" w14:textId="6A286A56" w:rsidR="00D877B6" w:rsidRPr="00D877B6" w:rsidRDefault="005E2DD4"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409D20E9" w14:textId="18DB9F8D" w:rsidR="00D877B6" w:rsidRPr="005E2DD4" w:rsidRDefault="005E2DD4" w:rsidP="001F0C31">
            <w:pPr>
              <w:pStyle w:val="Default"/>
              <w:spacing w:line="276" w:lineRule="auto"/>
              <w:jc w:val="center"/>
              <w:rPr>
                <w:sz w:val="20"/>
                <w:szCs w:val="20"/>
              </w:rPr>
            </w:pPr>
            <w:r>
              <w:rPr>
                <w:sz w:val="20"/>
                <w:szCs w:val="20"/>
                <w:lang w:val="en-US"/>
              </w:rPr>
              <w:t>6.022 · 10</w:t>
            </w:r>
            <w:r>
              <w:rPr>
                <w:sz w:val="20"/>
                <w:szCs w:val="20"/>
                <w:vertAlign w:val="superscript"/>
                <w:lang w:val="en-US"/>
              </w:rPr>
              <w:t>23</w:t>
            </w:r>
          </w:p>
        </w:tc>
        <w:tc>
          <w:tcPr>
            <w:tcW w:w="3242" w:type="dxa"/>
            <w:tcBorders>
              <w:top w:val="single" w:sz="4" w:space="0" w:color="auto"/>
              <w:left w:val="nil"/>
              <w:bottom w:val="single" w:sz="4" w:space="0" w:color="auto"/>
              <w:right w:val="nil"/>
            </w:tcBorders>
            <w:vAlign w:val="center"/>
          </w:tcPr>
          <w:p w14:paraId="1583377E" w14:textId="6C3CC76B" w:rsidR="00D877B6" w:rsidRPr="005E2DD4" w:rsidRDefault="00570091" w:rsidP="001F0C31">
            <w:pPr>
              <w:pStyle w:val="Default"/>
              <w:spacing w:line="276" w:lineRule="auto"/>
              <w:jc w:val="center"/>
              <w:rPr>
                <w:sz w:val="20"/>
                <w:szCs w:val="20"/>
              </w:rPr>
            </w:pPr>
            <w:r>
              <w:rPr>
                <w:sz w:val="20"/>
                <w:szCs w:val="20"/>
              </w:rPr>
              <w:t>-</w:t>
            </w:r>
          </w:p>
        </w:tc>
      </w:tr>
      <w:tr w:rsidR="00D877B6" w:rsidRPr="00FC5AEF" w14:paraId="57BFE2D3" w14:textId="65F48EC0" w:rsidTr="00FC5AEF">
        <w:trPr>
          <w:trHeight w:val="313"/>
          <w:jc w:val="center"/>
        </w:trPr>
        <w:tc>
          <w:tcPr>
            <w:tcW w:w="3282" w:type="dxa"/>
            <w:tcBorders>
              <w:top w:val="single" w:sz="4" w:space="0" w:color="auto"/>
              <w:left w:val="nil"/>
              <w:bottom w:val="single" w:sz="4" w:space="0" w:color="auto"/>
              <w:right w:val="nil"/>
            </w:tcBorders>
            <w:vAlign w:val="center"/>
          </w:tcPr>
          <w:p w14:paraId="3F5BDC0F" w14:textId="7D98F2DA" w:rsidR="00D877B6" w:rsidRPr="00D877B6" w:rsidRDefault="00FC5AEF" w:rsidP="001F0C31">
            <w:pPr>
              <w:pStyle w:val="Default"/>
              <w:spacing w:line="276" w:lineRule="auto"/>
              <w:jc w:val="center"/>
              <w:rPr>
                <w:sz w:val="20"/>
                <w:szCs w:val="20"/>
                <w:lang w:val="en-US"/>
              </w:rPr>
            </w:pPr>
            <w:r w:rsidRPr="001C17EB">
              <w:rPr>
                <w:rFonts w:eastAsiaTheme="minorEastAsia"/>
                <w:b/>
                <w:bCs/>
                <w:i/>
                <w:sz w:val="18"/>
                <w:szCs w:val="18"/>
                <w:lang w:val="en-US"/>
              </w:rPr>
              <w:t>DCF</w:t>
            </w:r>
            <w:r w:rsidRPr="001C17EB">
              <w:rPr>
                <w:rFonts w:eastAsiaTheme="minorEastAsia"/>
                <w:i/>
                <w:sz w:val="18"/>
                <w:szCs w:val="18"/>
                <w:lang w:val="en-US"/>
              </w:rPr>
              <w:t xml:space="preserve"> </w:t>
            </w:r>
            <w:r w:rsidRPr="001C17EB">
              <w:rPr>
                <w:sz w:val="18"/>
                <w:szCs w:val="18"/>
                <w:lang w:val="en-US"/>
              </w:rPr>
              <w:t>(mSv Gy</w:t>
            </w:r>
            <w:r w:rsidRPr="001C17EB">
              <w:rPr>
                <w:sz w:val="18"/>
                <w:szCs w:val="18"/>
                <w:vertAlign w:val="superscript"/>
                <w:lang w:val="en-US"/>
              </w:rPr>
              <w:t>-1</w:t>
            </w:r>
            <w:r w:rsidRPr="001C17EB">
              <w:rPr>
                <w:sz w:val="18"/>
                <w:szCs w:val="18"/>
                <w:lang w:val="en-US"/>
              </w:rPr>
              <w:t>)</w:t>
            </w:r>
          </w:p>
        </w:tc>
        <w:tc>
          <w:tcPr>
            <w:tcW w:w="3242" w:type="dxa"/>
            <w:tcBorders>
              <w:top w:val="single" w:sz="4" w:space="0" w:color="auto"/>
              <w:left w:val="nil"/>
              <w:bottom w:val="single" w:sz="4" w:space="0" w:color="auto"/>
              <w:right w:val="nil"/>
            </w:tcBorders>
            <w:vAlign w:val="center"/>
          </w:tcPr>
          <w:p w14:paraId="4215F5A1" w14:textId="0B0150E6"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2FF9EA6D" w14:textId="70BE42AD" w:rsidR="00D877B6" w:rsidRPr="00D877B6" w:rsidRDefault="00FC5AEF" w:rsidP="001F0C31">
            <w:pPr>
              <w:pStyle w:val="Default"/>
              <w:spacing w:line="276" w:lineRule="auto"/>
              <w:jc w:val="center"/>
              <w:rPr>
                <w:sz w:val="20"/>
                <w:szCs w:val="20"/>
                <w:lang w:val="en-US"/>
              </w:rPr>
            </w:pPr>
            <w:r w:rsidRPr="00FC5AEF">
              <w:rPr>
                <w:sz w:val="20"/>
                <w:szCs w:val="20"/>
                <w:lang w:val="pt-PT"/>
              </w:rPr>
              <w:t>0.7 ·10</w:t>
            </w:r>
            <w:r w:rsidRPr="00FC5AEF">
              <w:rPr>
                <w:sz w:val="20"/>
                <w:szCs w:val="20"/>
                <w:vertAlign w:val="superscript"/>
                <w:lang w:val="pt-PT"/>
              </w:rPr>
              <w:t>-6</w:t>
            </w:r>
          </w:p>
        </w:tc>
        <w:tc>
          <w:tcPr>
            <w:tcW w:w="3242" w:type="dxa"/>
            <w:tcBorders>
              <w:top w:val="single" w:sz="4" w:space="0" w:color="auto"/>
              <w:left w:val="nil"/>
              <w:bottom w:val="single" w:sz="4" w:space="0" w:color="auto"/>
              <w:right w:val="nil"/>
            </w:tcBorders>
            <w:vAlign w:val="center"/>
          </w:tcPr>
          <w:p w14:paraId="72153B81" w14:textId="0C003E57" w:rsidR="00D877B6" w:rsidRPr="00D877B6" w:rsidRDefault="00FC5AEF"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3FCC8BEF" w14:textId="3398C950" w:rsidTr="00B7784E">
        <w:trPr>
          <w:trHeight w:val="313"/>
          <w:jc w:val="center"/>
        </w:trPr>
        <w:tc>
          <w:tcPr>
            <w:tcW w:w="3282" w:type="dxa"/>
            <w:tcBorders>
              <w:top w:val="single" w:sz="4" w:space="0" w:color="auto"/>
              <w:left w:val="nil"/>
              <w:bottom w:val="single" w:sz="4" w:space="0" w:color="auto"/>
              <w:right w:val="nil"/>
            </w:tcBorders>
            <w:vAlign w:val="center"/>
          </w:tcPr>
          <w:p w14:paraId="776DABAA" w14:textId="279883D6" w:rsidR="00D877B6" w:rsidRPr="00D877B6" w:rsidRDefault="00FC5AEF" w:rsidP="001F0C31">
            <w:pPr>
              <w:pStyle w:val="Default"/>
              <w:spacing w:line="276" w:lineRule="auto"/>
              <w:jc w:val="center"/>
              <w:rPr>
                <w:sz w:val="20"/>
                <w:szCs w:val="20"/>
                <w:lang w:val="en-US"/>
              </w:rPr>
            </w:pPr>
            <w:r w:rsidRPr="00604D4C">
              <w:rPr>
                <w:b/>
                <w:bCs/>
                <w:i/>
                <w:iCs/>
                <w:sz w:val="18"/>
                <w:szCs w:val="18"/>
                <w:lang w:val="en-US"/>
              </w:rPr>
              <w:t>IF</w:t>
            </w:r>
          </w:p>
        </w:tc>
        <w:tc>
          <w:tcPr>
            <w:tcW w:w="3242" w:type="dxa"/>
            <w:tcBorders>
              <w:top w:val="single" w:sz="4" w:space="0" w:color="auto"/>
              <w:left w:val="nil"/>
              <w:bottom w:val="single" w:sz="4" w:space="0" w:color="auto"/>
              <w:right w:val="nil"/>
            </w:tcBorders>
            <w:vAlign w:val="center"/>
          </w:tcPr>
          <w:p w14:paraId="455F91FE" w14:textId="4F42C649"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9878B93" w14:textId="40AEFE31" w:rsidR="00D877B6" w:rsidRPr="00D877B6" w:rsidRDefault="00FC5AEF" w:rsidP="001F0C31">
            <w:pPr>
              <w:pStyle w:val="Default"/>
              <w:spacing w:line="276" w:lineRule="auto"/>
              <w:jc w:val="center"/>
              <w:rPr>
                <w:sz w:val="20"/>
                <w:szCs w:val="20"/>
                <w:lang w:val="en-US"/>
              </w:rPr>
            </w:pPr>
            <w:r>
              <w:rPr>
                <w:sz w:val="20"/>
                <w:szCs w:val="20"/>
                <w:lang w:val="en-US"/>
              </w:rPr>
              <w:t>0.8</w:t>
            </w:r>
          </w:p>
        </w:tc>
        <w:tc>
          <w:tcPr>
            <w:tcW w:w="3242" w:type="dxa"/>
            <w:tcBorders>
              <w:top w:val="single" w:sz="4" w:space="0" w:color="auto"/>
              <w:left w:val="nil"/>
              <w:bottom w:val="single" w:sz="4" w:space="0" w:color="auto"/>
              <w:right w:val="nil"/>
            </w:tcBorders>
            <w:vAlign w:val="center"/>
          </w:tcPr>
          <w:p w14:paraId="076FC8E0" w14:textId="6B0B06DD" w:rsidR="00D877B6" w:rsidRPr="00D877B6" w:rsidRDefault="00FC5AEF"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7F1A301F" w14:textId="6679DF70" w:rsidTr="00B7784E">
        <w:trPr>
          <w:trHeight w:val="313"/>
          <w:jc w:val="center"/>
        </w:trPr>
        <w:tc>
          <w:tcPr>
            <w:tcW w:w="3282" w:type="dxa"/>
            <w:tcBorders>
              <w:top w:val="single" w:sz="4" w:space="0" w:color="auto"/>
              <w:left w:val="nil"/>
              <w:bottom w:val="single" w:sz="4" w:space="0" w:color="auto"/>
              <w:right w:val="nil"/>
            </w:tcBorders>
            <w:vAlign w:val="center"/>
          </w:tcPr>
          <w:p w14:paraId="2521197B" w14:textId="4DDA24F9" w:rsidR="00D877B6" w:rsidRPr="00FC5AEF" w:rsidRDefault="00FC5AEF" w:rsidP="001F0C31">
            <w:pPr>
              <w:pStyle w:val="Default"/>
              <w:spacing w:line="276" w:lineRule="auto"/>
              <w:jc w:val="center"/>
              <w:rPr>
                <w:b/>
                <w:bCs/>
                <w:i/>
                <w:iCs/>
                <w:sz w:val="20"/>
                <w:szCs w:val="20"/>
                <w:lang w:val="en-US"/>
              </w:rPr>
            </w:pPr>
            <w:r w:rsidRPr="00FC5AEF">
              <w:rPr>
                <w:b/>
                <w:bCs/>
                <w:i/>
                <w:iCs/>
                <w:sz w:val="20"/>
                <w:szCs w:val="20"/>
                <w:lang w:val="en-US"/>
              </w:rPr>
              <w:t>OF</w:t>
            </w:r>
          </w:p>
        </w:tc>
        <w:tc>
          <w:tcPr>
            <w:tcW w:w="3242" w:type="dxa"/>
            <w:tcBorders>
              <w:top w:val="single" w:sz="4" w:space="0" w:color="auto"/>
              <w:left w:val="nil"/>
              <w:bottom w:val="single" w:sz="4" w:space="0" w:color="auto"/>
              <w:right w:val="nil"/>
            </w:tcBorders>
            <w:vAlign w:val="center"/>
          </w:tcPr>
          <w:p w14:paraId="01DB4C5E" w14:textId="4FBDB390"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60D4FA03" w14:textId="167975E1" w:rsidR="00D877B6" w:rsidRPr="00D877B6" w:rsidRDefault="00FC5AEF" w:rsidP="001F0C31">
            <w:pPr>
              <w:pStyle w:val="Default"/>
              <w:spacing w:line="276" w:lineRule="auto"/>
              <w:jc w:val="center"/>
              <w:rPr>
                <w:sz w:val="20"/>
                <w:szCs w:val="20"/>
                <w:lang w:val="en-US"/>
              </w:rPr>
            </w:pPr>
            <w:r>
              <w:rPr>
                <w:sz w:val="20"/>
                <w:szCs w:val="20"/>
                <w:lang w:val="en-US"/>
              </w:rPr>
              <w:t>0.2</w:t>
            </w:r>
          </w:p>
        </w:tc>
        <w:tc>
          <w:tcPr>
            <w:tcW w:w="3242" w:type="dxa"/>
            <w:tcBorders>
              <w:top w:val="single" w:sz="4" w:space="0" w:color="auto"/>
              <w:left w:val="nil"/>
              <w:bottom w:val="single" w:sz="4" w:space="0" w:color="auto"/>
              <w:right w:val="nil"/>
            </w:tcBorders>
            <w:vAlign w:val="center"/>
          </w:tcPr>
          <w:p w14:paraId="6C7DB004" w14:textId="211337A9" w:rsidR="00D877B6" w:rsidRPr="00D877B6" w:rsidRDefault="00FC5AEF"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2C5B28FF" w14:textId="2CD66B9C" w:rsidTr="0076143B">
        <w:trPr>
          <w:trHeight w:val="313"/>
          <w:jc w:val="center"/>
        </w:trPr>
        <w:tc>
          <w:tcPr>
            <w:tcW w:w="3282" w:type="dxa"/>
            <w:tcBorders>
              <w:top w:val="single" w:sz="4" w:space="0" w:color="auto"/>
              <w:left w:val="nil"/>
              <w:bottom w:val="single" w:sz="4" w:space="0" w:color="auto"/>
              <w:right w:val="nil"/>
            </w:tcBorders>
            <w:vAlign w:val="center"/>
          </w:tcPr>
          <w:p w14:paraId="2AB517CA" w14:textId="73B74F83" w:rsidR="00D877B6" w:rsidRPr="00FC5AEF" w:rsidRDefault="00FC5AEF" w:rsidP="001F0C31">
            <w:pPr>
              <w:pStyle w:val="Default"/>
              <w:spacing w:line="276" w:lineRule="auto"/>
              <w:jc w:val="center"/>
              <w:rPr>
                <w:sz w:val="20"/>
                <w:szCs w:val="20"/>
                <w:lang w:val="en-US"/>
              </w:rPr>
            </w:pPr>
            <w:proofErr w:type="spellStart"/>
            <w:r w:rsidRPr="001C17EB">
              <w:rPr>
                <w:b/>
                <w:bCs/>
                <w:i/>
                <w:iCs/>
                <w:sz w:val="18"/>
                <w:szCs w:val="18"/>
                <w:lang w:val="en-US"/>
              </w:rPr>
              <w:t>T</w:t>
            </w:r>
            <w:r w:rsidRPr="001C17EB">
              <w:rPr>
                <w:b/>
                <w:bCs/>
                <w:i/>
                <w:iCs/>
                <w:sz w:val="18"/>
                <w:szCs w:val="18"/>
                <w:vertAlign w:val="subscript"/>
                <w:lang w:val="en-US"/>
              </w:rPr>
              <w:t>exp</w:t>
            </w:r>
            <w:proofErr w:type="spellEnd"/>
            <w:r>
              <w:rPr>
                <w:sz w:val="18"/>
                <w:szCs w:val="18"/>
                <w:lang w:val="en-US"/>
              </w:rPr>
              <w:t xml:space="preserve"> (h y</w:t>
            </w:r>
            <w:r>
              <w:rPr>
                <w:sz w:val="18"/>
                <w:szCs w:val="18"/>
                <w:vertAlign w:val="superscript"/>
                <w:lang w:val="en-US"/>
              </w:rPr>
              <w:t>-1</w:t>
            </w:r>
            <w:r>
              <w:rPr>
                <w:sz w:val="18"/>
                <w:szCs w:val="18"/>
                <w:lang w:val="en-US"/>
              </w:rPr>
              <w:t>)</w:t>
            </w:r>
          </w:p>
        </w:tc>
        <w:tc>
          <w:tcPr>
            <w:tcW w:w="3242" w:type="dxa"/>
            <w:tcBorders>
              <w:top w:val="single" w:sz="4" w:space="0" w:color="auto"/>
              <w:left w:val="nil"/>
              <w:bottom w:val="single" w:sz="4" w:space="0" w:color="auto"/>
              <w:right w:val="nil"/>
            </w:tcBorders>
            <w:vAlign w:val="center"/>
          </w:tcPr>
          <w:p w14:paraId="005E640C" w14:textId="3B9E7B5F"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3405CBE4" w14:textId="50D7642D" w:rsidR="00D877B6" w:rsidRPr="00D877B6" w:rsidRDefault="00FC5AEF" w:rsidP="001F0C31">
            <w:pPr>
              <w:pStyle w:val="Default"/>
              <w:spacing w:line="276" w:lineRule="auto"/>
              <w:jc w:val="center"/>
              <w:rPr>
                <w:sz w:val="20"/>
                <w:szCs w:val="20"/>
                <w:lang w:val="en-US"/>
              </w:rPr>
            </w:pPr>
            <w:r>
              <w:rPr>
                <w:sz w:val="20"/>
                <w:szCs w:val="20"/>
                <w:lang w:val="en-US"/>
              </w:rPr>
              <w:t>8760</w:t>
            </w:r>
          </w:p>
        </w:tc>
        <w:tc>
          <w:tcPr>
            <w:tcW w:w="3242" w:type="dxa"/>
            <w:tcBorders>
              <w:top w:val="single" w:sz="4" w:space="0" w:color="auto"/>
              <w:left w:val="nil"/>
              <w:bottom w:val="single" w:sz="4" w:space="0" w:color="auto"/>
              <w:right w:val="nil"/>
            </w:tcBorders>
            <w:vAlign w:val="center"/>
          </w:tcPr>
          <w:p w14:paraId="38EB17B7" w14:textId="794B0D1B" w:rsidR="00D877B6" w:rsidRPr="00D877B6" w:rsidRDefault="00FC5AEF"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0D364107" w14:textId="2DF98B5E" w:rsidTr="0076143B">
        <w:trPr>
          <w:trHeight w:val="313"/>
          <w:jc w:val="center"/>
        </w:trPr>
        <w:tc>
          <w:tcPr>
            <w:tcW w:w="3282" w:type="dxa"/>
            <w:tcBorders>
              <w:top w:val="single" w:sz="4" w:space="0" w:color="auto"/>
              <w:left w:val="nil"/>
              <w:bottom w:val="single" w:sz="4" w:space="0" w:color="auto"/>
              <w:right w:val="nil"/>
            </w:tcBorders>
            <w:vAlign w:val="center"/>
          </w:tcPr>
          <w:p w14:paraId="40407915" w14:textId="70D9640B" w:rsidR="00D877B6" w:rsidRPr="00DA2398" w:rsidRDefault="00DA2398" w:rsidP="001F0C31">
            <w:pPr>
              <w:pStyle w:val="Default"/>
              <w:spacing w:line="276" w:lineRule="auto"/>
              <w:jc w:val="center"/>
              <w:rPr>
                <w:iCs/>
                <w:sz w:val="20"/>
                <w:szCs w:val="20"/>
                <w:lang w:val="en-US"/>
              </w:rPr>
            </w:pPr>
            <w:r w:rsidRPr="00C561C2">
              <w:rPr>
                <w:rFonts w:eastAsiaTheme="minorEastAsia"/>
                <w:b/>
                <w:bCs/>
                <w:i/>
                <w:sz w:val="18"/>
                <w:szCs w:val="18"/>
                <w:lang w:val="en-US"/>
              </w:rPr>
              <w:t>HLE</w:t>
            </w:r>
            <w:r>
              <w:rPr>
                <w:rFonts w:eastAsiaTheme="minorEastAsia"/>
                <w:iCs/>
                <w:sz w:val="18"/>
                <w:szCs w:val="18"/>
                <w:lang w:val="en-US"/>
              </w:rPr>
              <w:t xml:space="preserve"> (y)</w:t>
            </w:r>
          </w:p>
        </w:tc>
        <w:tc>
          <w:tcPr>
            <w:tcW w:w="3242" w:type="dxa"/>
            <w:tcBorders>
              <w:top w:val="single" w:sz="4" w:space="0" w:color="auto"/>
              <w:left w:val="nil"/>
              <w:bottom w:val="single" w:sz="4" w:space="0" w:color="auto"/>
              <w:right w:val="nil"/>
            </w:tcBorders>
            <w:vAlign w:val="center"/>
          </w:tcPr>
          <w:p w14:paraId="0471E82F" w14:textId="6760C90A"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76FA921" w14:textId="51494B61" w:rsidR="00D877B6" w:rsidRPr="00D877B6" w:rsidRDefault="00DA2398" w:rsidP="001F0C31">
            <w:pPr>
              <w:pStyle w:val="Default"/>
              <w:spacing w:line="276" w:lineRule="auto"/>
              <w:jc w:val="center"/>
              <w:rPr>
                <w:sz w:val="20"/>
                <w:szCs w:val="20"/>
                <w:lang w:val="en-US"/>
              </w:rPr>
            </w:pPr>
            <w:r>
              <w:rPr>
                <w:sz w:val="20"/>
                <w:szCs w:val="20"/>
                <w:lang w:val="en-US"/>
              </w:rPr>
              <w:t>78</w:t>
            </w:r>
          </w:p>
        </w:tc>
        <w:tc>
          <w:tcPr>
            <w:tcW w:w="3242" w:type="dxa"/>
            <w:tcBorders>
              <w:top w:val="single" w:sz="4" w:space="0" w:color="auto"/>
              <w:left w:val="nil"/>
              <w:bottom w:val="single" w:sz="4" w:space="0" w:color="auto"/>
              <w:right w:val="nil"/>
            </w:tcBorders>
            <w:vAlign w:val="center"/>
          </w:tcPr>
          <w:p w14:paraId="59645E5A" w14:textId="72EC01A0" w:rsidR="00D877B6" w:rsidRPr="00D877B6" w:rsidRDefault="00DA2398" w:rsidP="001F0C31">
            <w:pPr>
              <w:pStyle w:val="Default"/>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456905">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A2398">
              <w:rPr>
                <w:noProof/>
                <w:sz w:val="20"/>
                <w:szCs w:val="20"/>
                <w:lang w:val="en-US"/>
              </w:rPr>
              <w:t>(2011)</w:t>
            </w:r>
            <w:r>
              <w:rPr>
                <w:sz w:val="20"/>
                <w:szCs w:val="20"/>
                <w:lang w:val="en-US"/>
              </w:rPr>
              <w:fldChar w:fldCharType="end"/>
            </w:r>
          </w:p>
        </w:tc>
      </w:tr>
      <w:tr w:rsidR="00D877B6" w:rsidRPr="00FC5AEF" w14:paraId="7AA52E80" w14:textId="7A848E4A" w:rsidTr="001D2274">
        <w:trPr>
          <w:trHeight w:val="313"/>
          <w:jc w:val="center"/>
        </w:trPr>
        <w:tc>
          <w:tcPr>
            <w:tcW w:w="3282" w:type="dxa"/>
            <w:tcBorders>
              <w:top w:val="single" w:sz="4" w:space="0" w:color="auto"/>
              <w:left w:val="nil"/>
              <w:bottom w:val="double" w:sz="4" w:space="0" w:color="auto"/>
              <w:right w:val="nil"/>
            </w:tcBorders>
            <w:vAlign w:val="center"/>
          </w:tcPr>
          <w:p w14:paraId="756960B0" w14:textId="6E802A4E" w:rsidR="00D877B6" w:rsidRPr="0076143B" w:rsidRDefault="0076143B" w:rsidP="001F0C31">
            <w:pPr>
              <w:pStyle w:val="Default"/>
              <w:spacing w:line="276" w:lineRule="auto"/>
              <w:jc w:val="center"/>
              <w:rPr>
                <w:sz w:val="20"/>
                <w:szCs w:val="20"/>
                <w:lang w:val="en-US"/>
              </w:rPr>
            </w:pPr>
            <w:r w:rsidRPr="00C561C2">
              <w:rPr>
                <w:b/>
                <w:bCs/>
                <w:i/>
                <w:iCs/>
                <w:sz w:val="18"/>
                <w:szCs w:val="18"/>
                <w:lang w:val="en-US"/>
              </w:rPr>
              <w:t>RF</w:t>
            </w:r>
            <w:r>
              <w:rPr>
                <w:sz w:val="18"/>
                <w:szCs w:val="18"/>
                <w:lang w:val="en-US"/>
              </w:rPr>
              <w:t xml:space="preserve"> (Sv</w:t>
            </w:r>
            <w:r>
              <w:rPr>
                <w:sz w:val="18"/>
                <w:szCs w:val="18"/>
                <w:vertAlign w:val="superscript"/>
                <w:lang w:val="en-US"/>
              </w:rPr>
              <w:t>-1</w:t>
            </w:r>
            <w:r>
              <w:rPr>
                <w:sz w:val="18"/>
                <w:szCs w:val="18"/>
                <w:lang w:val="en-US"/>
              </w:rPr>
              <w:t>)</w:t>
            </w:r>
          </w:p>
        </w:tc>
        <w:tc>
          <w:tcPr>
            <w:tcW w:w="3242" w:type="dxa"/>
            <w:tcBorders>
              <w:top w:val="single" w:sz="4" w:space="0" w:color="auto"/>
              <w:left w:val="nil"/>
              <w:bottom w:val="double" w:sz="4" w:space="0" w:color="auto"/>
              <w:right w:val="nil"/>
            </w:tcBorders>
            <w:vAlign w:val="center"/>
          </w:tcPr>
          <w:p w14:paraId="66AF3426" w14:textId="52F04A57"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double" w:sz="4" w:space="0" w:color="auto"/>
              <w:right w:val="nil"/>
            </w:tcBorders>
            <w:vAlign w:val="center"/>
          </w:tcPr>
          <w:p w14:paraId="6B90533F" w14:textId="0522904B" w:rsidR="00D877B6" w:rsidRPr="00D877B6" w:rsidRDefault="0076143B" w:rsidP="001F0C31">
            <w:pPr>
              <w:pStyle w:val="Default"/>
              <w:spacing w:line="276" w:lineRule="auto"/>
              <w:jc w:val="center"/>
              <w:rPr>
                <w:sz w:val="20"/>
                <w:szCs w:val="20"/>
                <w:lang w:val="en-US"/>
              </w:rPr>
            </w:pPr>
            <w:r w:rsidRPr="0076143B">
              <w:rPr>
                <w:sz w:val="20"/>
                <w:szCs w:val="20"/>
                <w:lang w:val="pt-PT"/>
              </w:rPr>
              <w:t>0.05</w:t>
            </w:r>
          </w:p>
        </w:tc>
        <w:tc>
          <w:tcPr>
            <w:tcW w:w="3242" w:type="dxa"/>
            <w:tcBorders>
              <w:top w:val="single" w:sz="4" w:space="0" w:color="auto"/>
              <w:left w:val="nil"/>
              <w:bottom w:val="double" w:sz="4" w:space="0" w:color="auto"/>
              <w:right w:val="nil"/>
            </w:tcBorders>
            <w:vAlign w:val="center"/>
          </w:tcPr>
          <w:p w14:paraId="4A53A6CA" w14:textId="711D5692" w:rsidR="00D877B6" w:rsidRPr="00D877B6" w:rsidRDefault="0076143B"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bl>
    <w:p w14:paraId="6BBC44D4" w14:textId="77777777" w:rsidR="00D877B6" w:rsidRDefault="00D877B6" w:rsidP="00D877B6">
      <w:pPr>
        <w:widowControl w:val="0"/>
        <w:autoSpaceDE w:val="0"/>
        <w:autoSpaceDN w:val="0"/>
        <w:adjustRightInd w:val="0"/>
        <w:spacing w:line="276" w:lineRule="auto"/>
        <w:ind w:left="993" w:hanging="993"/>
        <w:rPr>
          <w:sz w:val="20"/>
          <w:szCs w:val="20"/>
          <w:lang w:val="en-US"/>
        </w:rPr>
      </w:pPr>
    </w:p>
    <w:p w14:paraId="6DF009DE" w14:textId="77777777" w:rsidR="00D877B6" w:rsidRDefault="00D877B6" w:rsidP="00D877B6">
      <w:pPr>
        <w:widowControl w:val="0"/>
        <w:autoSpaceDE w:val="0"/>
        <w:autoSpaceDN w:val="0"/>
        <w:adjustRightInd w:val="0"/>
        <w:spacing w:line="276" w:lineRule="auto"/>
        <w:rPr>
          <w:sz w:val="20"/>
          <w:szCs w:val="20"/>
          <w:lang w:val="en-US"/>
        </w:rPr>
      </w:pPr>
    </w:p>
    <w:p w14:paraId="65D08B1E" w14:textId="77777777" w:rsidR="00946F8A" w:rsidRPr="00636BD6" w:rsidRDefault="00946F8A" w:rsidP="00636BD6">
      <w:pPr>
        <w:spacing w:after="120"/>
        <w:jc w:val="center"/>
        <w:rPr>
          <w:sz w:val="28"/>
          <w:lang w:val="en-US"/>
        </w:rPr>
      </w:pPr>
    </w:p>
    <w:p w14:paraId="6CDAFFD9" w14:textId="77777777" w:rsidR="00946F8A" w:rsidRDefault="00946F8A" w:rsidP="00946F8A">
      <w:pPr>
        <w:pStyle w:val="PargrafodaLista"/>
        <w:spacing w:after="120"/>
        <w:ind w:left="714"/>
        <w:contextualSpacing w:val="0"/>
        <w:jc w:val="both"/>
        <w:rPr>
          <w:sz w:val="28"/>
          <w:lang w:val="en-US"/>
        </w:rPr>
      </w:pPr>
      <w:r>
        <w:rPr>
          <w:sz w:val="28"/>
          <w:lang w:val="en-US"/>
        </w:rPr>
        <w:br w:type="page"/>
      </w:r>
    </w:p>
    <w:p w14:paraId="354779E8" w14:textId="77777777" w:rsidR="00636BD6" w:rsidRDefault="00636BD6" w:rsidP="00946F8A">
      <w:pPr>
        <w:jc w:val="center"/>
        <w:rPr>
          <w:rFonts w:eastAsia="Times New Roman"/>
          <w:b/>
          <w:kern w:val="36"/>
          <w:sz w:val="36"/>
          <w:szCs w:val="36"/>
          <w:lang w:val="en-US" w:eastAsia="pt-BR"/>
        </w:rPr>
        <w:sectPr w:rsidR="00636BD6" w:rsidSect="00636BD6">
          <w:type w:val="continuous"/>
          <w:pgSz w:w="16838" w:h="11906" w:orient="landscape"/>
          <w:pgMar w:top="720" w:right="720" w:bottom="720" w:left="720" w:header="709" w:footer="709" w:gutter="0"/>
          <w:cols w:space="708"/>
          <w:docGrid w:linePitch="360"/>
        </w:sectPr>
      </w:pPr>
    </w:p>
    <w:p w14:paraId="289614B4" w14:textId="42439211" w:rsidR="00946F8A" w:rsidRDefault="00946F8A" w:rsidP="00946F8A">
      <w:pPr>
        <w:jc w:val="center"/>
        <w:rPr>
          <w:rFonts w:eastAsia="Times New Roman"/>
          <w:b/>
          <w:kern w:val="36"/>
          <w:sz w:val="36"/>
          <w:szCs w:val="36"/>
          <w:lang w:val="en-US" w:eastAsia="pt-BR"/>
        </w:rPr>
      </w:pPr>
    </w:p>
    <w:p w14:paraId="20A51462" w14:textId="77777777" w:rsidR="00946F8A" w:rsidRDefault="00946F8A" w:rsidP="00946F8A">
      <w:pPr>
        <w:jc w:val="center"/>
        <w:rPr>
          <w:rFonts w:eastAsia="Times New Roman"/>
          <w:b/>
          <w:kern w:val="36"/>
          <w:sz w:val="36"/>
          <w:szCs w:val="36"/>
          <w:lang w:val="en-US" w:eastAsia="pt-BR"/>
        </w:rPr>
      </w:pPr>
    </w:p>
    <w:p w14:paraId="780BC904" w14:textId="77777777" w:rsidR="00946F8A" w:rsidRDefault="00946F8A" w:rsidP="00946F8A">
      <w:pPr>
        <w:jc w:val="center"/>
        <w:rPr>
          <w:rFonts w:eastAsia="Times New Roman"/>
          <w:b/>
          <w:kern w:val="36"/>
          <w:sz w:val="36"/>
          <w:szCs w:val="36"/>
          <w:lang w:val="en-US" w:eastAsia="pt-BR"/>
        </w:rPr>
      </w:pPr>
    </w:p>
    <w:p w14:paraId="772BA15A" w14:textId="77777777" w:rsidR="00946F8A" w:rsidRDefault="00946F8A" w:rsidP="00946F8A">
      <w:pPr>
        <w:jc w:val="center"/>
        <w:rPr>
          <w:rFonts w:eastAsia="Times New Roman"/>
          <w:b/>
          <w:kern w:val="36"/>
          <w:sz w:val="36"/>
          <w:szCs w:val="36"/>
          <w:lang w:val="en-US" w:eastAsia="pt-BR"/>
        </w:rPr>
      </w:pPr>
    </w:p>
    <w:p w14:paraId="5FD9E01F" w14:textId="77777777" w:rsidR="00946F8A" w:rsidRDefault="00946F8A" w:rsidP="00946F8A">
      <w:pPr>
        <w:jc w:val="center"/>
        <w:rPr>
          <w:rFonts w:eastAsia="Times New Roman"/>
          <w:b/>
          <w:kern w:val="36"/>
          <w:sz w:val="36"/>
          <w:szCs w:val="36"/>
          <w:lang w:val="en-US" w:eastAsia="pt-BR"/>
        </w:rPr>
      </w:pPr>
    </w:p>
    <w:p w14:paraId="4477EACA" w14:textId="77777777" w:rsidR="00946F8A" w:rsidRDefault="00946F8A" w:rsidP="00946F8A">
      <w:pPr>
        <w:jc w:val="center"/>
        <w:rPr>
          <w:rFonts w:eastAsia="Times New Roman"/>
          <w:b/>
          <w:kern w:val="36"/>
          <w:sz w:val="36"/>
          <w:szCs w:val="36"/>
          <w:lang w:val="en-US" w:eastAsia="pt-BR"/>
        </w:rPr>
      </w:pPr>
    </w:p>
    <w:p w14:paraId="477725F1" w14:textId="77777777" w:rsidR="00946F8A" w:rsidRDefault="00946F8A" w:rsidP="00946F8A">
      <w:pPr>
        <w:jc w:val="center"/>
        <w:rPr>
          <w:rFonts w:eastAsia="Times New Roman"/>
          <w:b/>
          <w:kern w:val="36"/>
          <w:sz w:val="36"/>
          <w:szCs w:val="36"/>
          <w:lang w:val="en-US" w:eastAsia="pt-BR"/>
        </w:rPr>
      </w:pPr>
    </w:p>
    <w:p w14:paraId="40F7713B" w14:textId="77777777" w:rsidR="00946F8A" w:rsidRDefault="00946F8A" w:rsidP="00946F8A">
      <w:pPr>
        <w:jc w:val="center"/>
        <w:rPr>
          <w:rFonts w:eastAsia="Times New Roman"/>
          <w:b/>
          <w:kern w:val="36"/>
          <w:sz w:val="36"/>
          <w:szCs w:val="36"/>
          <w:lang w:val="en-US" w:eastAsia="pt-BR"/>
        </w:rPr>
      </w:pPr>
    </w:p>
    <w:p w14:paraId="6FBFC6BD" w14:textId="77777777" w:rsidR="00946F8A" w:rsidRDefault="00946F8A" w:rsidP="00946F8A">
      <w:pPr>
        <w:jc w:val="center"/>
        <w:rPr>
          <w:rFonts w:eastAsia="Times New Roman"/>
          <w:b/>
          <w:kern w:val="36"/>
          <w:sz w:val="36"/>
          <w:szCs w:val="36"/>
          <w:lang w:val="en-US" w:eastAsia="pt-BR"/>
        </w:rPr>
      </w:pPr>
    </w:p>
    <w:p w14:paraId="2B38267D" w14:textId="77777777" w:rsidR="00946F8A" w:rsidRDefault="00946F8A" w:rsidP="00946F8A">
      <w:pPr>
        <w:jc w:val="center"/>
        <w:rPr>
          <w:rFonts w:eastAsia="Times New Roman"/>
          <w:b/>
          <w:kern w:val="36"/>
          <w:sz w:val="36"/>
          <w:szCs w:val="36"/>
          <w:lang w:val="en-US" w:eastAsia="pt-BR"/>
        </w:rPr>
      </w:pPr>
    </w:p>
    <w:p w14:paraId="24295D8F" w14:textId="77777777" w:rsidR="00946F8A" w:rsidRDefault="00946F8A" w:rsidP="00946F8A">
      <w:pPr>
        <w:jc w:val="center"/>
        <w:rPr>
          <w:rFonts w:eastAsia="Times New Roman"/>
          <w:b/>
          <w:kern w:val="36"/>
          <w:sz w:val="36"/>
          <w:szCs w:val="36"/>
          <w:lang w:val="en-US" w:eastAsia="pt-BR"/>
        </w:rPr>
      </w:pPr>
    </w:p>
    <w:p w14:paraId="61F6E9C0" w14:textId="177F534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ECOLOGICAL RISK</w:t>
      </w:r>
    </w:p>
    <w:p w14:paraId="58724A6F"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075BA6A5" w14:textId="77777777" w:rsidR="0024583B" w:rsidRDefault="0024583B" w:rsidP="0024583B">
      <w:pPr>
        <w:spacing w:after="60" w:line="276" w:lineRule="auto"/>
        <w:ind w:firstLine="284"/>
        <w:jc w:val="both"/>
        <w:rPr>
          <w:sz w:val="28"/>
          <w:lang w:val="en-US"/>
        </w:rPr>
        <w:sectPr w:rsidR="0024583B" w:rsidSect="00636BD6">
          <w:pgSz w:w="11906" w:h="16838"/>
          <w:pgMar w:top="720" w:right="720" w:bottom="720" w:left="720" w:header="708" w:footer="708" w:gutter="0"/>
          <w:cols w:space="708"/>
          <w:docGrid w:linePitch="360"/>
        </w:sectPr>
      </w:pPr>
    </w:p>
    <w:p w14:paraId="3CBC6BBB" w14:textId="42DF6C11" w:rsidR="0024583B" w:rsidRPr="00577D27" w:rsidRDefault="0024583B" w:rsidP="0024583B">
      <w:pPr>
        <w:spacing w:after="60" w:line="276" w:lineRule="auto"/>
        <w:ind w:firstLine="284"/>
        <w:jc w:val="both"/>
        <w:rPr>
          <w:sz w:val="28"/>
          <w:lang w:val="en-US"/>
        </w:rPr>
      </w:pPr>
      <w:r w:rsidRPr="0024583B">
        <w:rPr>
          <w:sz w:val="28"/>
          <w:lang w:val="en-US"/>
        </w:rPr>
        <w:lastRenderedPageBreak/>
        <w:t xml:space="preserve">The </w:t>
      </w:r>
      <w:proofErr w:type="spellStart"/>
      <w:r w:rsidRPr="0024583B">
        <w:rPr>
          <w:b/>
          <w:bCs/>
          <w:i/>
          <w:iCs/>
          <w:sz w:val="28"/>
          <w:lang w:val="en-US"/>
        </w:rPr>
        <w:t>Ecol_risk</w:t>
      </w:r>
      <w:proofErr w:type="spellEnd"/>
      <w:r w:rsidRPr="0024583B">
        <w:rPr>
          <w:sz w:val="28"/>
          <w:lang w:val="en-US"/>
        </w:rPr>
        <w:t xml:space="preserve"> subroutine was implemented to assess the environmental pollution level and the possible toxic effects on organisms resulting from the chemical species concentration in various matrices (water, sediment and soil) of the studied areas. </w:t>
      </w:r>
      <w:r w:rsidRPr="0024583B">
        <w:rPr>
          <w:rStyle w:val="tlid-translation"/>
          <w:sz w:val="28"/>
          <w:lang w:val="en-US"/>
        </w:rPr>
        <w:t xml:space="preserve">The ecological risk assessment methodology adopted in the </w:t>
      </w:r>
      <w:proofErr w:type="spellStart"/>
      <w:r w:rsidR="003F31FE">
        <w:rPr>
          <w:rStyle w:val="tlid-translation"/>
          <w:sz w:val="28"/>
          <w:lang w:val="en-US"/>
        </w:rPr>
        <w:t>HERisk</w:t>
      </w:r>
      <w:proofErr w:type="spellEnd"/>
      <w:r w:rsidRPr="0024583B">
        <w:rPr>
          <w:rStyle w:val="tlid-translation"/>
          <w:sz w:val="28"/>
          <w:lang w:val="en-US"/>
        </w:rPr>
        <w:t xml:space="preserve"> is the result of a vast bibliographic review, which includes among other relevant works the followings: Jensen and </w:t>
      </w:r>
      <w:proofErr w:type="spellStart"/>
      <w:r w:rsidRPr="0024583B">
        <w:rPr>
          <w:rStyle w:val="tlid-translation"/>
          <w:sz w:val="28"/>
          <w:lang w:val="en-US"/>
        </w:rPr>
        <w:t>Mesman</w:t>
      </w:r>
      <w:proofErr w:type="spellEnd"/>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{"citationItems":[{"id":"ITEM-1","itemData":{"ISBN":"9789069601380","abstract":"RIVM report number 711701047. - Uitg. in het kader van project Liberation.","author":[{"dropping-particle":"","family":"Jensen","given":"John","non-dropping-particle":"","parse-names":false,"suffix":""},{"dropping-particle":"","family":"Mesman","given":"Miranda","non-dropping-particle":"","parse-names":false,"suffix":""}],"container-title":"Mineralogical Magazine","id":"ITEM-1","issued":{"date-parts":[["2006"]]},"number-of-pages":"138","title":"Ecological Risk Assessment of Contaminated Land - Decision support for site specific investigation","type":"book"},"suppress-author":1,"uris":["http://www.mendeley.com/documents/?uuid=90aaf704-3625-427f-a308-162e6248b8d6"]}],"mendeley":{"formattedCitation":"(2006)","plainTextFormattedCitation":"(2006)","previouslyFormattedCitation":"(2006)"},"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lang w:val="en-US"/>
        </w:rPr>
        <w:t>(2006)</w:t>
      </w:r>
      <w:r w:rsidRPr="0024583B">
        <w:rPr>
          <w:rStyle w:val="tlid-translation"/>
          <w:sz w:val="28"/>
          <w:lang w:val="en-US"/>
        </w:rPr>
        <w:fldChar w:fldCharType="end"/>
      </w:r>
      <w:r w:rsidRPr="0024583B">
        <w:rPr>
          <w:rStyle w:val="tlid-translation"/>
          <w:sz w:val="28"/>
          <w:lang w:val="en-US"/>
        </w:rPr>
        <w:t xml:space="preserve">, </w:t>
      </w:r>
      <w:proofErr w:type="spellStart"/>
      <w:r w:rsidRPr="0024583B">
        <w:rPr>
          <w:sz w:val="28"/>
          <w:lang w:val="en-US"/>
        </w:rPr>
        <w:t>Ogunkunle</w:t>
      </w:r>
      <w:proofErr w:type="spellEnd"/>
      <w:r w:rsidRPr="0024583B">
        <w:rPr>
          <w:sz w:val="28"/>
          <w:lang w:val="en-US"/>
        </w:rPr>
        <w:t xml:space="preserve"> and </w:t>
      </w:r>
      <w:proofErr w:type="spellStart"/>
      <w:r w:rsidRPr="0024583B">
        <w:rPr>
          <w:sz w:val="28"/>
          <w:lang w:val="en-US"/>
        </w:rPr>
        <w:t>Fatoba</w:t>
      </w:r>
      <w:proofErr w:type="spellEnd"/>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{"citationItems":[{"id":"ITEM-1","itemData":{"ISSN":"12301485","abstract":"Cement production is noted for particulate pollution of the environment because of high dust emissions and heavy metals that later deposited in soils, serving as a sink. This study aimed to assess the concentrations and potential ecological risk of heavy metals around a mega cement factory in southwest Nigeria. Soil samples were randomly collected in the eastern, western, and southern axes of the factory. The samples were subjected to Nitric-perchloric acid digestion, and an atomic absorption spectrophotometer was used to determine the concentrations of Pb, Cu, Cd, Cr, and Zn. Data were analyzed with ANOVA and Duncan Multiple Range Test. The results showed that the mean concentrations of Pb, Cu, Cd, and Cr (666.1 mg/kg, 613.4 mg/kg, 547.9 mg/kg, and 188.5 mg/kg, respe</w:instrText>
      </w:r>
      <w:r w:rsidRPr="003F31FE">
        <w:rPr>
          <w:rStyle w:val="tlid-translation"/>
          <w:sz w:val="28"/>
          <w:lang w:val="en-US"/>
        </w:rPr>
        <w:instrText>ctively) were above the international standard limits. Nemerow pollution indices, according to the axes, indicated serious pollution with heavy metals. The Single Potential Ecological Risk Index (PERI) showed that soil contamination from Cd in the 3 axes had very high potential ecological risk, which translated into the high value of Comprehensive Potential Ecological Risk (RI) value (11,488.3) for the entire study area. The urgent need for the bioremediation of the soil around the cement factory, especially for Cd, is needed to avert a potential environmental disaster.","author":[{"dropping-particle":"","family":"Ogunkunle","given":"Clement</w:instrText>
      </w:r>
      <w:r w:rsidRPr="00D51121">
        <w:rPr>
          <w:rStyle w:val="tlid-translation"/>
          <w:sz w:val="28"/>
        </w:rPr>
        <w:instrText xml:space="preserve"> Oluseye","non-dropping-particle":"","parse-names":false,"suffix":""},{"dropping-particle":"","family":"Fatoba","given":"Paul Ojo","non-dropping-particle":"","parse-names":false,"suffix":""}],"container-title":"Polish Journal of Environmental Studi</w:instrText>
      </w:r>
      <w:r w:rsidRPr="0024583B">
        <w:rPr>
          <w:rStyle w:val="tlid-translation"/>
          <w:sz w:val="28"/>
        </w:rPr>
        <w:instrText>es","id":"ITEM-1","issue":"2","issued":{"date-parts":[["2013"]]},"page":"487-493","title":"Pollution loads and the ecological risk assessment of soil heavy metals around a mega cement factory in southwest Nigeria","type":"article-journal","volume":"22"},"suppress-author":1,"uris":["http://www.mendeley.com/documents/?uuid=ce7f9e24-a486-475f-b842-501d1c57f67f"]}],"mendeley":{"formattedCitation":"(2013)","plainTextFormattedCitation":"(2013)","previouslyFormattedCitation":"(2013)"},"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(2013)</w:t>
      </w:r>
      <w:r w:rsidRPr="0024583B">
        <w:rPr>
          <w:rStyle w:val="tlid-translation"/>
          <w:sz w:val="28"/>
          <w:lang w:val="en-US"/>
        </w:rPr>
        <w:fldChar w:fldCharType="end"/>
      </w:r>
      <w:r w:rsidRPr="0024583B">
        <w:rPr>
          <w:rStyle w:val="tlid-translation"/>
          <w:sz w:val="28"/>
        </w:rPr>
        <w:t xml:space="preserve">, </w:t>
      </w:r>
      <w:proofErr w:type="spellStart"/>
      <w:r w:rsidRPr="0024583B">
        <w:rPr>
          <w:rStyle w:val="tlid-translation"/>
          <w:sz w:val="28"/>
        </w:rPr>
        <w:t>Pagliarini</w:t>
      </w:r>
      <w:proofErr w:type="spellEnd"/>
      <w:r w:rsidRPr="0024583B">
        <w:rPr>
          <w:rStyle w:val="tlid-translation"/>
          <w:sz w:val="28"/>
        </w:rPr>
        <w:t xml:space="preserve"> et al. </w:t>
      </w:r>
      <w:r w:rsidRPr="0024583B">
        <w:rPr>
          <w:rStyle w:val="tlid-translation"/>
          <w:sz w:val="28"/>
          <w:lang w:val="en-US"/>
        </w:rPr>
        <w:fldChar w:fldCharType="begin" w:fldLock="1"/>
      </w:r>
      <w:r w:rsidRPr="0024583B">
        <w:rPr>
          <w:rStyle w:val="tlid-translation"/>
          <w:sz w:val="28"/>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(2019)</w:t>
      </w:r>
      <w:r w:rsidRPr="0024583B">
        <w:rPr>
          <w:rStyle w:val="tlid-translation"/>
          <w:sz w:val="28"/>
          <w:lang w:val="en-US"/>
        </w:rPr>
        <w:fldChar w:fldCharType="end"/>
      </w:r>
      <w:r w:rsidRPr="0024583B">
        <w:rPr>
          <w:rStyle w:val="tlid-translation"/>
          <w:sz w:val="28"/>
        </w:rPr>
        <w:t xml:space="preserve">, </w:t>
      </w:r>
      <w:proofErr w:type="spellStart"/>
      <w:r w:rsidRPr="0024583B">
        <w:rPr>
          <w:rStyle w:val="tlid-translation"/>
          <w:sz w:val="28"/>
        </w:rPr>
        <w:t>Hakanson</w:t>
      </w:r>
      <w:proofErr w:type="spellEnd"/>
      <w:r w:rsidRPr="0024583B">
        <w:rPr>
          <w:rStyle w:val="tlid-translation"/>
          <w:sz w:val="28"/>
        </w:rPr>
        <w:t xml:space="preserve"> </w:t>
      </w:r>
      <w:r w:rsidRPr="0024583B">
        <w:rPr>
          <w:rStyle w:val="tlid-translation"/>
          <w:sz w:val="28"/>
          <w:lang w:val="en-US"/>
        </w:rPr>
        <w:fldChar w:fldCharType="begin" w:fldLock="1"/>
      </w:r>
      <w:r w:rsidRPr="0024583B">
        <w:rPr>
          <w:rStyle w:val="tlid-translation"/>
          <w:sz w:val="28"/>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(1980)</w:t>
      </w:r>
      <w:r w:rsidRPr="0024583B">
        <w:rPr>
          <w:rStyle w:val="tlid-translation"/>
          <w:sz w:val="28"/>
          <w:lang w:val="en-US"/>
        </w:rPr>
        <w:fldChar w:fldCharType="end"/>
      </w:r>
      <w:r w:rsidRPr="0024583B">
        <w:rPr>
          <w:rStyle w:val="tlid-translation"/>
          <w:sz w:val="28"/>
        </w:rPr>
        <w:t xml:space="preserve"> </w:t>
      </w:r>
      <w:proofErr w:type="spellStart"/>
      <w:r w:rsidRPr="0024583B">
        <w:rPr>
          <w:rStyle w:val="tlid-translation"/>
          <w:sz w:val="28"/>
        </w:rPr>
        <w:t>and</w:t>
      </w:r>
      <w:proofErr w:type="spellEnd"/>
      <w:r w:rsidRPr="0024583B">
        <w:rPr>
          <w:rStyle w:val="tlid-translation"/>
          <w:sz w:val="28"/>
        </w:rPr>
        <w:t xml:space="preserve"> Muller </w:t>
      </w:r>
      <w:r w:rsidRPr="0024583B">
        <w:rPr>
          <w:rStyle w:val="tlid-translation"/>
          <w:sz w:val="28"/>
          <w:lang w:val="en-US"/>
        </w:rPr>
        <w:fldChar w:fldCharType="begin" w:fldLock="1"/>
      </w:r>
      <w:r w:rsidRPr="0024583B">
        <w:rPr>
          <w:rStyle w:val="tlid-translation"/>
          <w:sz w:val="28"/>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(1969)</w:t>
      </w:r>
      <w:r w:rsidRPr="0024583B">
        <w:rPr>
          <w:rStyle w:val="tlid-translation"/>
          <w:sz w:val="28"/>
          <w:lang w:val="en-US"/>
        </w:rPr>
        <w:fldChar w:fldCharType="end"/>
      </w:r>
      <w:r w:rsidRPr="0024583B">
        <w:rPr>
          <w:sz w:val="28"/>
        </w:rPr>
        <w:t xml:space="preserve">. </w:t>
      </w:r>
      <w:r w:rsidRPr="003F31FE">
        <w:rPr>
          <w:sz w:val="28"/>
          <w:lang w:val="en-US"/>
        </w:rPr>
        <w:t xml:space="preserve">Among all indices reported, the 15 most used were included in the code. </w:t>
      </w:r>
      <w:r w:rsidRPr="0024583B">
        <w:rPr>
          <w:sz w:val="28"/>
          <w:lang w:val="en-US"/>
        </w:rPr>
        <w:t>These indices are the most effective tools to evaluate the water, soil and sediment quality of a studied area by determining their respective level of contamination. Pollution indices were grouped into three different categories: single, combined and integrated.</w:t>
      </w:r>
      <w:r w:rsidR="00577D27">
        <w:rPr>
          <w:sz w:val="28"/>
          <w:lang w:val="en-US"/>
        </w:rPr>
        <w:t xml:space="preserve"> </w:t>
      </w:r>
      <w:r w:rsidR="00577D27">
        <w:rPr>
          <w:rStyle w:val="tlid-translation"/>
          <w:sz w:val="28"/>
          <w:lang w:val="en-US"/>
        </w:rPr>
        <w:t>Some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w:t>
      </w:r>
      <w:r w:rsidR="000301B5">
        <w:rPr>
          <w:b/>
          <w:bCs/>
          <w:sz w:val="28"/>
          <w:lang w:val="en-US"/>
        </w:rPr>
        <w:t>8</w:t>
      </w:r>
      <w:r w:rsidR="00577D27">
        <w:rPr>
          <w:sz w:val="28"/>
          <w:lang w:val="en-US"/>
        </w:rPr>
        <w:t xml:space="preserve">, while </w:t>
      </w:r>
      <w:r w:rsidR="00577D27">
        <w:rPr>
          <w:rStyle w:val="tlid-translation"/>
          <w:sz w:val="28"/>
          <w:lang w:val="en-US"/>
        </w:rPr>
        <w:t>t</w:t>
      </w:r>
      <w:r w:rsidR="00577D27" w:rsidRPr="00577D27">
        <w:rPr>
          <w:rStyle w:val="tlid-translation"/>
          <w:sz w:val="28"/>
          <w:lang w:val="en-US"/>
        </w:rPr>
        <w:t xml:space="preserve">he classifications of </w:t>
      </w:r>
      <w:r w:rsidR="00577D27">
        <w:rPr>
          <w:rStyle w:val="tlid-translation"/>
          <w:sz w:val="28"/>
          <w:lang w:val="en-US"/>
        </w:rPr>
        <w:t>ecological</w:t>
      </w:r>
      <w:r w:rsidR="00577D27" w:rsidRPr="00577D27">
        <w:rPr>
          <w:rStyle w:val="tlid-translation"/>
          <w:sz w:val="28"/>
          <w:lang w:val="en-US"/>
        </w:rPr>
        <w:t xml:space="preserve"> risks are shown in </w:t>
      </w:r>
      <w:r w:rsidR="00577D27" w:rsidRPr="00577D27">
        <w:rPr>
          <w:rStyle w:val="tlid-translation"/>
          <w:b/>
          <w:bCs/>
          <w:sz w:val="28"/>
          <w:lang w:val="en-US"/>
        </w:rPr>
        <w:t xml:space="preserve">Table </w:t>
      </w:r>
      <w:r w:rsidR="00577D27">
        <w:rPr>
          <w:rStyle w:val="tlid-translation"/>
          <w:b/>
          <w:bCs/>
          <w:sz w:val="28"/>
          <w:lang w:val="en-US"/>
        </w:rPr>
        <w:t>1</w:t>
      </w:r>
      <w:r w:rsidR="000301B5">
        <w:rPr>
          <w:rStyle w:val="tlid-translation"/>
          <w:b/>
          <w:bCs/>
          <w:sz w:val="28"/>
          <w:lang w:val="en-US"/>
        </w:rPr>
        <w:t>9</w:t>
      </w:r>
      <w:r w:rsidR="00577D27">
        <w:rPr>
          <w:rStyle w:val="tlid-translation"/>
          <w:sz w:val="28"/>
          <w:lang w:val="en-US"/>
        </w:rPr>
        <w:t>.</w:t>
      </w:r>
    </w:p>
    <w:p w14:paraId="0D7A62F2" w14:textId="3E8A20CD" w:rsidR="0024583B" w:rsidRPr="00636BD6" w:rsidRDefault="0024583B" w:rsidP="00BE2A36">
      <w:pPr>
        <w:spacing w:before="160" w:line="360" w:lineRule="auto"/>
        <w:jc w:val="center"/>
        <w:rPr>
          <w:sz w:val="28"/>
          <w:lang w:val="en"/>
        </w:rPr>
      </w:pPr>
      <w:r w:rsidRPr="00BD6F4A">
        <w:rPr>
          <w:b/>
          <w:sz w:val="28"/>
          <w:lang w:val="en-US"/>
        </w:rPr>
        <w:t>Table 1</w:t>
      </w:r>
      <w:r>
        <w:rPr>
          <w:b/>
          <w:sz w:val="28"/>
          <w:lang w:val="en-US"/>
        </w:rPr>
        <w:t>7</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proofErr w:type="spellStart"/>
      <w:r w:rsidR="003F31FE">
        <w:rPr>
          <w:rStyle w:val="tlid-translation"/>
          <w:sz w:val="28"/>
          <w:lang w:val="en"/>
        </w:rPr>
        <w:t>HERisk</w:t>
      </w:r>
      <w:proofErr w:type="spellEnd"/>
      <w:r w:rsidRPr="00BD6F4A">
        <w:rPr>
          <w:rStyle w:val="tlid-translation"/>
          <w:sz w:val="28"/>
          <w:lang w:val="en"/>
        </w:rPr>
        <w:t xml:space="preserve"> </w:t>
      </w:r>
      <w:r>
        <w:rPr>
          <w:rStyle w:val="tlid-translation"/>
          <w:sz w:val="28"/>
          <w:lang w:val="en"/>
        </w:rPr>
        <w:t>for ecological risk calculations</w:t>
      </w:r>
    </w:p>
    <w:tbl>
      <w:tblPr>
        <w:tblStyle w:val="Tabelacomgrade1"/>
        <w:tblW w:w="15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5"/>
        <w:gridCol w:w="5499"/>
        <w:gridCol w:w="1539"/>
      </w:tblGrid>
      <w:tr w:rsidR="00F7525E" w:rsidRPr="00F7525E" w14:paraId="32752365" w14:textId="77777777" w:rsidTr="0089298D">
        <w:trPr>
          <w:trHeight w:val="493"/>
          <w:jc w:val="center"/>
        </w:trPr>
        <w:tc>
          <w:tcPr>
            <w:tcW w:w="2127" w:type="dxa"/>
            <w:tcBorders>
              <w:top w:val="double" w:sz="4" w:space="0" w:color="auto"/>
              <w:left w:val="nil"/>
              <w:bottom w:val="double" w:sz="4" w:space="0" w:color="auto"/>
              <w:right w:val="nil"/>
            </w:tcBorders>
            <w:vAlign w:val="center"/>
            <w:hideMark/>
          </w:tcPr>
          <w:p w14:paraId="61F1F045"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Description</w:t>
            </w:r>
          </w:p>
        </w:tc>
        <w:tc>
          <w:tcPr>
            <w:tcW w:w="6095" w:type="dxa"/>
            <w:tcBorders>
              <w:top w:val="double" w:sz="4" w:space="0" w:color="auto"/>
              <w:left w:val="nil"/>
              <w:bottom w:val="double" w:sz="4" w:space="0" w:color="auto"/>
              <w:right w:val="nil"/>
            </w:tcBorders>
            <w:vAlign w:val="center"/>
            <w:hideMark/>
          </w:tcPr>
          <w:p w14:paraId="199B6807"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Equation</w:t>
            </w:r>
          </w:p>
        </w:tc>
        <w:tc>
          <w:tcPr>
            <w:tcW w:w="5499" w:type="dxa"/>
            <w:tcBorders>
              <w:top w:val="double" w:sz="4" w:space="0" w:color="auto"/>
              <w:left w:val="nil"/>
              <w:bottom w:val="double" w:sz="4" w:space="0" w:color="auto"/>
              <w:right w:val="nil"/>
            </w:tcBorders>
            <w:vAlign w:val="center"/>
            <w:hideMark/>
          </w:tcPr>
          <w:p w14:paraId="79F289AA"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Parameters used</w:t>
            </w:r>
          </w:p>
        </w:tc>
        <w:tc>
          <w:tcPr>
            <w:tcW w:w="1539" w:type="dxa"/>
            <w:tcBorders>
              <w:top w:val="double" w:sz="4" w:space="0" w:color="auto"/>
              <w:left w:val="nil"/>
              <w:bottom w:val="double" w:sz="4" w:space="0" w:color="auto"/>
              <w:right w:val="nil"/>
            </w:tcBorders>
            <w:vAlign w:val="center"/>
            <w:hideMark/>
          </w:tcPr>
          <w:p w14:paraId="689836A4" w14:textId="77777777" w:rsidR="00F7525E" w:rsidRPr="00F7525E" w:rsidRDefault="00F7525E">
            <w:pPr>
              <w:spacing w:line="360" w:lineRule="auto"/>
              <w:jc w:val="center"/>
              <w:rPr>
                <w:rStyle w:val="tlid-translation"/>
                <w:iCs/>
                <w:sz w:val="20"/>
                <w:szCs w:val="20"/>
                <w:lang w:val="en-US"/>
              </w:rPr>
            </w:pPr>
            <w:r w:rsidRPr="00F7525E">
              <w:rPr>
                <w:rStyle w:val="tlid-translation"/>
                <w:b/>
                <w:iCs/>
                <w:sz w:val="20"/>
                <w:szCs w:val="20"/>
                <w:lang w:val="en-US"/>
              </w:rPr>
              <w:t>Reference</w:t>
            </w:r>
          </w:p>
        </w:tc>
      </w:tr>
      <w:tr w:rsidR="00F7525E" w:rsidRPr="00F7525E" w14:paraId="5101DFE6" w14:textId="77777777" w:rsidTr="00F7525E">
        <w:trPr>
          <w:trHeight w:val="366"/>
          <w:jc w:val="center"/>
        </w:trPr>
        <w:tc>
          <w:tcPr>
            <w:tcW w:w="15260" w:type="dxa"/>
            <w:gridSpan w:val="4"/>
            <w:tcBorders>
              <w:top w:val="double" w:sz="4" w:space="0" w:color="auto"/>
              <w:left w:val="nil"/>
              <w:bottom w:val="single" w:sz="4" w:space="0" w:color="auto"/>
              <w:right w:val="nil"/>
            </w:tcBorders>
            <w:vAlign w:val="center"/>
            <w:hideMark/>
          </w:tcPr>
          <w:p w14:paraId="52DBB028" w14:textId="77777777" w:rsidR="00F7525E" w:rsidRPr="00F7525E" w:rsidRDefault="00F7525E">
            <w:pPr>
              <w:pStyle w:val="PargrafodaLista"/>
              <w:ind w:left="0"/>
              <w:jc w:val="center"/>
              <w:rPr>
                <w:rStyle w:val="tlid-translation"/>
                <w:b/>
                <w:bCs/>
                <w:sz w:val="20"/>
                <w:szCs w:val="20"/>
                <w:lang w:val="en-US"/>
              </w:rPr>
            </w:pPr>
            <w:r w:rsidRPr="00F7525E">
              <w:rPr>
                <w:b/>
                <w:bCs/>
                <w:sz w:val="20"/>
                <w:szCs w:val="20"/>
                <w:lang w:val="en-US"/>
              </w:rPr>
              <w:t>Single pollution indices</w:t>
            </w:r>
          </w:p>
        </w:tc>
      </w:tr>
      <w:tr w:rsidR="0002052A" w:rsidRPr="0002052A" w14:paraId="1B182026" w14:textId="77777777" w:rsidTr="0089298D">
        <w:trPr>
          <w:trHeight w:val="792"/>
          <w:jc w:val="center"/>
        </w:trPr>
        <w:tc>
          <w:tcPr>
            <w:tcW w:w="2127" w:type="dxa"/>
            <w:tcBorders>
              <w:top w:val="single" w:sz="4" w:space="0" w:color="auto"/>
              <w:left w:val="nil"/>
              <w:bottom w:val="single" w:sz="4" w:space="0" w:color="auto"/>
              <w:right w:val="nil"/>
            </w:tcBorders>
            <w:vAlign w:val="center"/>
          </w:tcPr>
          <w:p w14:paraId="0A873058" w14:textId="4B78C06D" w:rsidR="0002052A" w:rsidRPr="00F7525E" w:rsidRDefault="0002052A">
            <w:pPr>
              <w:spacing w:line="360" w:lineRule="auto"/>
              <w:jc w:val="center"/>
              <w:rPr>
                <w:rFonts w:eastAsiaTheme="minorEastAsia"/>
                <w:sz w:val="20"/>
                <w:szCs w:val="20"/>
                <w:lang w:val="en-US"/>
              </w:rPr>
            </w:pPr>
            <w:r>
              <w:rPr>
                <w:rFonts w:eastAsiaTheme="minorEastAsia"/>
                <w:sz w:val="20"/>
                <w:szCs w:val="20"/>
                <w:lang w:val="en-US"/>
              </w:rPr>
              <w:t xml:space="preserve">Water, soil or sediment </w:t>
            </w:r>
            <w:r w:rsidRPr="0002052A">
              <w:rPr>
                <w:sz w:val="20"/>
                <w:szCs w:val="20"/>
                <w:lang w:val="en-US"/>
              </w:rPr>
              <w:t>contamination factor</w:t>
            </w:r>
          </w:p>
        </w:tc>
        <w:tc>
          <w:tcPr>
            <w:tcW w:w="6095" w:type="dxa"/>
            <w:tcBorders>
              <w:top w:val="single" w:sz="4" w:space="0" w:color="auto"/>
              <w:left w:val="nil"/>
              <w:bottom w:val="single" w:sz="4" w:space="0" w:color="auto"/>
              <w:right w:val="nil"/>
            </w:tcBorders>
            <w:vAlign w:val="center"/>
          </w:tcPr>
          <w:p w14:paraId="7F5654B7" w14:textId="46CE88B3" w:rsidR="0002052A" w:rsidRPr="0002052A" w:rsidRDefault="00A10B4C">
            <w:pPr>
              <w:spacing w:line="360" w:lineRule="auto"/>
              <w:jc w:val="center"/>
              <w:rPr>
                <w:rFonts w:eastAsia="Calibri"/>
                <w:sz w:val="20"/>
                <w:szCs w:val="20"/>
                <w:lang w:val="en-US"/>
              </w:rPr>
            </w:pPr>
            <m:oMathPara>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m_ref</m:t>
                        </m:r>
                      </m:sub>
                    </m:sSub>
                  </m:den>
                </m:f>
                <m:r>
                  <w:rPr>
                    <w:rFonts w:ascii="Cambria Math" w:eastAsiaTheme="minorEastAsia" w:hAnsi="Cambria Math"/>
                    <w:sz w:val="18"/>
                    <w:szCs w:val="18"/>
                    <w:lang w:val="en-US"/>
                  </w:rPr>
                  <m:t xml:space="preserve">          (37)</m:t>
                </m:r>
              </m:oMath>
            </m:oMathPara>
          </w:p>
        </w:tc>
        <w:tc>
          <w:tcPr>
            <w:tcW w:w="5499" w:type="dxa"/>
            <w:tcBorders>
              <w:top w:val="single" w:sz="4" w:space="0" w:color="auto"/>
              <w:left w:val="nil"/>
              <w:bottom w:val="single" w:sz="4" w:space="0" w:color="auto"/>
              <w:right w:val="nil"/>
            </w:tcBorders>
            <w:vAlign w:val="center"/>
          </w:tcPr>
          <w:p w14:paraId="2DFCEBE4" w14:textId="0480C363" w:rsidR="0002052A" w:rsidRPr="0002052A" w:rsidRDefault="0002052A">
            <w:pPr>
              <w:spacing w:line="360" w:lineRule="auto"/>
              <w:jc w:val="center"/>
              <w:rPr>
                <w:rFonts w:eastAsiaTheme="minorEastAsia"/>
                <w:b/>
                <w:bCs/>
                <w:i/>
                <w:sz w:val="18"/>
                <w:szCs w:val="18"/>
                <w:lang w:val="en-US"/>
              </w:rPr>
            </w:pPr>
            <w:r w:rsidRPr="0002052A">
              <w:rPr>
                <w:b/>
                <w:bCs/>
                <w:i/>
                <w:sz w:val="18"/>
                <w:szCs w:val="18"/>
                <w:lang w:val="en-US"/>
              </w:rPr>
              <w:t>C</w:t>
            </w:r>
            <w:r w:rsidRPr="0002052A">
              <w:rPr>
                <w:b/>
                <w:bCs/>
                <w:i/>
                <w:sz w:val="18"/>
                <w:szCs w:val="18"/>
                <w:vertAlign w:val="subscript"/>
                <w:lang w:val="en-US"/>
              </w:rPr>
              <w:t>m</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Chemical species concentration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r>
              <w:rPr>
                <w:sz w:val="18"/>
                <w:szCs w:val="18"/>
                <w:lang w:val="en-US"/>
              </w:rPr>
              <w:t>;</w:t>
            </w:r>
            <w:r w:rsidRPr="0002052A">
              <w:rPr>
                <w:sz w:val="18"/>
                <w:szCs w:val="18"/>
                <w:lang w:val="en-US"/>
              </w:rPr>
              <w:t xml:space="preserve"> </w:t>
            </w:r>
            <w:proofErr w:type="spellStart"/>
            <w:r w:rsidRPr="0002052A">
              <w:rPr>
                <w:b/>
                <w:bCs/>
                <w:i/>
                <w:sz w:val="18"/>
                <w:szCs w:val="18"/>
                <w:lang w:val="en-US"/>
              </w:rPr>
              <w:t>C</w:t>
            </w:r>
            <w:r w:rsidRPr="0002052A">
              <w:rPr>
                <w:b/>
                <w:bCs/>
                <w:i/>
                <w:sz w:val="18"/>
                <w:szCs w:val="18"/>
                <w:vertAlign w:val="subscript"/>
                <w:lang w:val="en-US"/>
              </w:rPr>
              <w:t>m_ref</w:t>
            </w:r>
            <w:proofErr w:type="spellEnd"/>
            <w:r w:rsidRPr="0002052A">
              <w:rPr>
                <w:sz w:val="18"/>
                <w:szCs w:val="18"/>
                <w:lang w:val="en-US"/>
              </w:rPr>
              <w:t xml:space="preserve"> = Chemical species background concentration in</w:t>
            </w:r>
            <w:r w:rsidRPr="0002052A">
              <w:rPr>
                <w:rStyle w:val="tlid-translation"/>
                <w:sz w:val="18"/>
                <w:szCs w:val="18"/>
                <w:lang w:val="en"/>
              </w:rPr>
              <w:t xml:space="preserve"> the soil</w:t>
            </w:r>
            <w:r>
              <w:rPr>
                <w:rStyle w:val="tlid-translation"/>
                <w:sz w:val="18"/>
                <w:szCs w:val="18"/>
                <w:lang w:val="en"/>
              </w:rPr>
              <w:t>,</w:t>
            </w:r>
            <w:r w:rsidRPr="0002052A">
              <w:rPr>
                <w:rStyle w:val="tlid-translation"/>
                <w:sz w:val="18"/>
                <w:szCs w:val="18"/>
                <w:lang w:val="en"/>
              </w:rPr>
              <w:t xml:space="preserve"> sediment</w:t>
            </w:r>
            <w:r>
              <w:rPr>
                <w:rStyle w:val="tlid-translation"/>
                <w:sz w:val="18"/>
                <w:szCs w:val="18"/>
                <w:lang w:val="en"/>
              </w:rPr>
              <w:t xml:space="preserve"> or water</w:t>
            </w:r>
            <w:r w:rsidRPr="0002052A">
              <w:rPr>
                <w:rStyle w:val="tlid-translation"/>
                <w:sz w:val="18"/>
                <w:szCs w:val="18"/>
                <w:lang w:val="en"/>
              </w:rPr>
              <w:t xml:space="preserve"> matrix</w:t>
            </w:r>
            <w:r w:rsidRPr="0002052A">
              <w:rPr>
                <w:sz w:val="18"/>
                <w:szCs w:val="18"/>
                <w:lang w:val="en-US"/>
              </w:rPr>
              <w:t xml:space="preserve"> (mg kg</w:t>
            </w:r>
            <w:r w:rsidRPr="0002052A">
              <w:rPr>
                <w:sz w:val="18"/>
                <w:szCs w:val="18"/>
                <w:vertAlign w:val="superscript"/>
                <w:lang w:val="en-US"/>
              </w:rPr>
              <w:t>-1</w:t>
            </w:r>
            <w:r w:rsidR="00600773">
              <w:rPr>
                <w:sz w:val="18"/>
                <w:szCs w:val="18"/>
                <w:lang w:val="en-US"/>
              </w:rPr>
              <w:t xml:space="preserve"> or </w:t>
            </w:r>
            <w:r w:rsidR="00600773" w:rsidRPr="0002052A">
              <w:rPr>
                <w:sz w:val="18"/>
                <w:szCs w:val="18"/>
                <w:lang w:val="en-US"/>
              </w:rPr>
              <w:t xml:space="preserve">mg </w:t>
            </w:r>
            <w:r w:rsidR="00600773">
              <w:rPr>
                <w:sz w:val="18"/>
                <w:szCs w:val="18"/>
                <w:lang w:val="en-US"/>
              </w:rPr>
              <w:t>L</w:t>
            </w:r>
            <w:r w:rsidR="00600773"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5AF24399" w14:textId="2FF76EC9" w:rsidR="0002052A"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Keshavarzi</w:t>
            </w:r>
            <w:r w:rsidRPr="00456905">
              <w:rPr>
                <w:rStyle w:val="tlid-translation"/>
                <w:sz w:val="20"/>
                <w:szCs w:val="20"/>
                <w:lang w:val="en-US"/>
              </w:rPr>
              <w:t xml:space="preserve"> et al. </w:t>
            </w:r>
            <w:r w:rsidRPr="00456905">
              <w:rPr>
                <w:rStyle w:val="tlid-translation"/>
                <w:sz w:val="20"/>
                <w:szCs w:val="20"/>
              </w:rPr>
              <w:fldChar w:fldCharType="begin" w:fldLock="1"/>
            </w:r>
            <w:r w:rsidR="00994501">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456905">
              <w:rPr>
                <w:rStyle w:val="tlid-translation"/>
                <w:sz w:val="20"/>
                <w:szCs w:val="20"/>
              </w:rPr>
              <w:fldChar w:fldCharType="separate"/>
            </w:r>
            <w:r w:rsidRPr="00456905">
              <w:rPr>
                <w:rStyle w:val="tlid-translation"/>
                <w:noProof/>
                <w:sz w:val="20"/>
                <w:szCs w:val="20"/>
                <w:lang w:val="en-US"/>
              </w:rPr>
              <w:t>(2019)</w:t>
            </w:r>
            <w:r w:rsidRPr="00456905">
              <w:rPr>
                <w:rStyle w:val="tlid-translation"/>
                <w:sz w:val="20"/>
                <w:szCs w:val="20"/>
              </w:rPr>
              <w:fldChar w:fldCharType="end"/>
            </w:r>
          </w:p>
        </w:tc>
      </w:tr>
      <w:tr w:rsidR="00F7525E" w:rsidRPr="00F7525E" w14:paraId="482849A7" w14:textId="77777777" w:rsidTr="0089298D">
        <w:trPr>
          <w:trHeight w:val="792"/>
          <w:jc w:val="center"/>
        </w:trPr>
        <w:tc>
          <w:tcPr>
            <w:tcW w:w="2127" w:type="dxa"/>
            <w:tcBorders>
              <w:top w:val="single" w:sz="4" w:space="0" w:color="auto"/>
              <w:left w:val="nil"/>
              <w:bottom w:val="single" w:sz="4" w:space="0" w:color="auto"/>
              <w:right w:val="nil"/>
            </w:tcBorders>
            <w:vAlign w:val="center"/>
            <w:hideMark/>
          </w:tcPr>
          <w:p w14:paraId="4FF74D93" w14:textId="77777777" w:rsidR="00F7525E" w:rsidRPr="00F7525E" w:rsidRDefault="00F7525E">
            <w:pPr>
              <w:spacing w:line="360" w:lineRule="auto"/>
              <w:jc w:val="center"/>
              <w:rPr>
                <w:rStyle w:val="tlid-translation"/>
                <w:b/>
                <w:sz w:val="20"/>
                <w:szCs w:val="20"/>
                <w:vertAlign w:val="superscript"/>
                <w:lang w:val="en-US"/>
              </w:rPr>
            </w:pPr>
            <w:r w:rsidRPr="00F7525E">
              <w:rPr>
                <w:rFonts w:eastAsiaTheme="minorEastAsia"/>
                <w:sz w:val="20"/>
                <w:szCs w:val="20"/>
                <w:lang w:val="en-US"/>
              </w:rPr>
              <w:t>Water individual risk</w:t>
            </w:r>
          </w:p>
        </w:tc>
        <w:tc>
          <w:tcPr>
            <w:tcW w:w="6095" w:type="dxa"/>
            <w:tcBorders>
              <w:top w:val="single" w:sz="4" w:space="0" w:color="auto"/>
              <w:left w:val="nil"/>
              <w:bottom w:val="single" w:sz="4" w:space="0" w:color="auto"/>
              <w:right w:val="nil"/>
            </w:tcBorders>
            <w:vAlign w:val="center"/>
            <w:hideMark/>
          </w:tcPr>
          <w:p w14:paraId="5D67E421" w14:textId="1532F6F8" w:rsidR="00F7525E" w:rsidRPr="0002052A" w:rsidRDefault="00A10B4C">
            <w:pPr>
              <w:spacing w:line="360" w:lineRule="auto"/>
              <w:jc w:val="center"/>
              <w:rPr>
                <w:rStyle w:val="tlid-translation"/>
                <w:color w:val="000000" w:themeColor="text1"/>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R</m:t>
                    </m:r>
                  </m:e>
                  <m:sub>
                    <m:r>
                      <w:rPr>
                        <w:rFonts w:ascii="Cambria Math" w:hAnsi="Cambria Math"/>
                        <w:sz w:val="18"/>
                        <w:szCs w:val="18"/>
                      </w:rPr>
                      <m:t>w</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w</m:t>
                        </m:r>
                      </m:sub>
                    </m:sSub>
                    <m:r>
                      <w:rPr>
                        <w:rFonts w:ascii="Cambria Math" w:hAnsi="Cambria Math"/>
                        <w:sz w:val="18"/>
                        <w:szCs w:val="18"/>
                      </w:rPr>
                      <m:t xml:space="preserve"> (t)</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num>
                  <m:den>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1+CF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den>
                </m:f>
                <m:r>
                  <w:rPr>
                    <w:rFonts w:ascii="Cambria Math" w:eastAsiaTheme="minorEastAsia" w:hAnsi="Cambria Math"/>
                    <w:sz w:val="18"/>
                    <w:szCs w:val="18"/>
                    <w:lang w:val="en-US"/>
                  </w:rPr>
                  <m:t xml:space="preserve">         (38)</m:t>
                </m:r>
              </m:oMath>
            </m:oMathPara>
          </w:p>
        </w:tc>
        <w:tc>
          <w:tcPr>
            <w:tcW w:w="5499" w:type="dxa"/>
            <w:tcBorders>
              <w:top w:val="single" w:sz="4" w:space="0" w:color="auto"/>
              <w:left w:val="nil"/>
              <w:bottom w:val="single" w:sz="4" w:space="0" w:color="auto"/>
              <w:right w:val="nil"/>
            </w:tcBorders>
            <w:vAlign w:val="center"/>
            <w:hideMark/>
          </w:tcPr>
          <w:p w14:paraId="75A7BD1F" w14:textId="77777777" w:rsidR="00F7525E" w:rsidRPr="0002052A" w:rsidRDefault="00F7525E">
            <w:pPr>
              <w:spacing w:line="360" w:lineRule="auto"/>
              <w:jc w:val="center"/>
              <w:rPr>
                <w:rStyle w:val="tlid-translation"/>
                <w:color w:val="000000" w:themeColor="text1"/>
                <w:sz w:val="18"/>
                <w:szCs w:val="18"/>
                <w:lang w:val="en-US"/>
              </w:rPr>
            </w:pPr>
            <w:proofErr w:type="spellStart"/>
            <w:r w:rsidRPr="0002052A">
              <w:rPr>
                <w:rFonts w:eastAsiaTheme="minorEastAsia"/>
                <w:b/>
                <w:bCs/>
                <w:i/>
                <w:sz w:val="18"/>
                <w:szCs w:val="18"/>
                <w:lang w:val="en-US"/>
              </w:rPr>
              <w:t>CF</w:t>
            </w:r>
            <w:r w:rsidRPr="0002052A">
              <w:rPr>
                <w:rFonts w:eastAsiaTheme="minorEastAsia"/>
                <w:b/>
                <w:bCs/>
                <w:i/>
                <w:sz w:val="18"/>
                <w:szCs w:val="18"/>
                <w:vertAlign w:val="subscript"/>
                <w:lang w:val="en-US"/>
              </w:rPr>
              <w:t>w</w:t>
            </w:r>
            <w:proofErr w:type="spellEnd"/>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Water contamination factor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3F0F471F" w14:textId="77777777" w:rsidR="00F7525E" w:rsidRPr="00F7525E" w:rsidRDefault="00F7525E">
            <w:pPr>
              <w:spacing w:line="360" w:lineRule="auto"/>
              <w:jc w:val="center"/>
              <w:rPr>
                <w:rStyle w:val="tlid-translation"/>
                <w:color w:val="000000" w:themeColor="text1"/>
                <w:sz w:val="20"/>
                <w:szCs w:val="20"/>
                <w:lang w:val="en-US"/>
              </w:rPr>
            </w:pPr>
            <w:proofErr w:type="spellStart"/>
            <w:r w:rsidRPr="00F7525E">
              <w:rPr>
                <w:rFonts w:eastAsia="Times New Roman"/>
                <w:sz w:val="20"/>
                <w:szCs w:val="20"/>
                <w:lang w:val="en-US" w:eastAsia="pt-BR"/>
              </w:rPr>
              <w:t>Pagliarini</w:t>
            </w:r>
            <w:proofErr w:type="spellEnd"/>
            <w:r w:rsidRPr="00F7525E">
              <w:rPr>
                <w:rFonts w:eastAsia="Times New Roman"/>
                <w:sz w:val="20"/>
                <w:szCs w:val="20"/>
                <w:lang w:val="en-US" w:eastAsia="pt-BR"/>
              </w:rPr>
              <w:t xml:space="preserve">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065FD575"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4C9E59E5" w14:textId="77777777" w:rsidR="00F7525E" w:rsidRPr="00F7525E" w:rsidRDefault="00F7525E">
            <w:pPr>
              <w:spacing w:line="360" w:lineRule="auto"/>
              <w:jc w:val="center"/>
              <w:rPr>
                <w:rStyle w:val="tlid-translation"/>
                <w:sz w:val="20"/>
                <w:szCs w:val="20"/>
                <w:lang w:val="en-US"/>
              </w:rPr>
            </w:pPr>
            <w:proofErr w:type="spellStart"/>
            <w:r w:rsidRPr="00F7525E">
              <w:rPr>
                <w:sz w:val="20"/>
                <w:szCs w:val="20"/>
                <w:lang w:val="en-US"/>
              </w:rPr>
              <w:t>Geoaccumulation</w:t>
            </w:r>
            <w:proofErr w:type="spellEnd"/>
            <w:r w:rsidRPr="00F7525E">
              <w:rPr>
                <w:sz w:val="20"/>
                <w:szCs w:val="20"/>
                <w:lang w:val="en-US"/>
              </w:rPr>
              <w:t xml:space="preserve"> index</w:t>
            </w:r>
          </w:p>
        </w:tc>
        <w:tc>
          <w:tcPr>
            <w:tcW w:w="6095" w:type="dxa"/>
            <w:tcBorders>
              <w:top w:val="single" w:sz="4" w:space="0" w:color="auto"/>
              <w:left w:val="nil"/>
              <w:bottom w:val="single" w:sz="4" w:space="0" w:color="auto"/>
              <w:right w:val="nil"/>
            </w:tcBorders>
            <w:vAlign w:val="center"/>
            <w:hideMark/>
          </w:tcPr>
          <w:p w14:paraId="71EB71F1" w14:textId="657A9734" w:rsidR="00F7525E" w:rsidRPr="0002052A" w:rsidRDefault="00A10B4C">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geo</m:t>
                    </m:r>
                  </m:sub>
                  <m:sup>
                    <m:r>
                      <w:rPr>
                        <w:rFonts w:ascii="Cambria Math" w:hAnsi="Cambria Math"/>
                        <w:sz w:val="18"/>
                        <w:szCs w:val="18"/>
                      </w:rPr>
                      <m:t>m</m:t>
                    </m:r>
                  </m:sup>
                </m:sSub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2</m:t>
                    </m:r>
                  </m:sub>
                </m:sSub>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r>
                          <w:rPr>
                            <w:rStyle w:val="tlid-translation"/>
                            <w:rFonts w:ascii="Cambria Math" w:hAnsi="Cambria Math"/>
                            <w:sz w:val="18"/>
                            <w:szCs w:val="18"/>
                            <w:lang w:val="en-US"/>
                          </w:rPr>
                          <m:t>1.5 ∙</m:t>
                        </m:r>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r>
                  <w:rPr>
                    <w:rStyle w:val="tlid-translation"/>
                    <w:rFonts w:ascii="Cambria Math" w:hAnsi="Cambria Math"/>
                    <w:sz w:val="18"/>
                    <w:szCs w:val="18"/>
                    <w:lang w:val="en-US"/>
                  </w:rPr>
                  <m:t xml:space="preserve">      (39)</m:t>
                </m:r>
              </m:oMath>
            </m:oMathPara>
          </w:p>
        </w:tc>
        <w:tc>
          <w:tcPr>
            <w:tcW w:w="5499" w:type="dxa"/>
            <w:tcBorders>
              <w:top w:val="single" w:sz="4" w:space="0" w:color="auto"/>
              <w:left w:val="nil"/>
              <w:bottom w:val="single" w:sz="4" w:space="0" w:color="auto"/>
              <w:right w:val="nil"/>
            </w:tcBorders>
            <w:vAlign w:val="center"/>
            <w:hideMark/>
          </w:tcPr>
          <w:p w14:paraId="707F1CE4" w14:textId="2AC4ACD9" w:rsidR="00F7525E" w:rsidRPr="0002052A" w:rsidRDefault="00A81AD1">
            <w:pPr>
              <w:spacing w:line="276" w:lineRule="auto"/>
              <w:jc w:val="center"/>
              <w:rPr>
                <w:sz w:val="18"/>
                <w:szCs w:val="18"/>
                <w:lang w:val="en-US"/>
              </w:rPr>
            </w:pPr>
            <w:proofErr w:type="spellStart"/>
            <w:r w:rsidRPr="0002052A">
              <w:rPr>
                <w:b/>
                <w:bCs/>
                <w:i/>
                <w:sz w:val="18"/>
                <w:szCs w:val="18"/>
                <w:lang w:val="en-US"/>
              </w:rPr>
              <w:t>C</w:t>
            </w:r>
            <w:r w:rsidRPr="0002052A">
              <w:rPr>
                <w:b/>
                <w:bCs/>
                <w:i/>
                <w:sz w:val="18"/>
                <w:szCs w:val="18"/>
                <w:vertAlign w:val="subscript"/>
                <w:lang w:val="en-US"/>
              </w:rPr>
              <w:t>m_ref</w:t>
            </w:r>
            <w:proofErr w:type="spellEnd"/>
            <w:r w:rsidRPr="0002052A">
              <w:rPr>
                <w:sz w:val="18"/>
                <w:szCs w:val="18"/>
                <w:lang w:val="en-US"/>
              </w:rPr>
              <w:t xml:space="preserve"> = Chemical species background concentration in</w:t>
            </w:r>
            <w:r w:rsidRPr="0002052A">
              <w:rPr>
                <w:rStyle w:val="tlid-translation"/>
                <w:sz w:val="18"/>
                <w:szCs w:val="18"/>
                <w:lang w:val="en"/>
              </w:rPr>
              <w:t xml:space="preserve"> the soil or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578437DC" w14:textId="77777777" w:rsidR="00F7525E" w:rsidRPr="00F7525E" w:rsidRDefault="00F7525E">
            <w:pPr>
              <w:spacing w:line="360" w:lineRule="auto"/>
              <w:jc w:val="center"/>
              <w:rPr>
                <w:rStyle w:val="tlid-translation"/>
                <w:sz w:val="20"/>
                <w:szCs w:val="20"/>
                <w:lang w:val="en"/>
              </w:rPr>
            </w:pPr>
            <w:r w:rsidRPr="00F7525E">
              <w:rPr>
                <w:sz w:val="20"/>
                <w:szCs w:val="20"/>
              </w:rPr>
              <w:t>Müller</w:t>
            </w:r>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(1969)</w:t>
            </w:r>
            <w:r w:rsidRPr="00F7525E">
              <w:rPr>
                <w:rFonts w:eastAsia="Times New Roman"/>
                <w:sz w:val="20"/>
                <w:szCs w:val="20"/>
                <w:lang w:eastAsia="pt-BR"/>
              </w:rPr>
              <w:fldChar w:fldCharType="end"/>
            </w:r>
            <w:r w:rsidRPr="00F7525E">
              <w:rPr>
                <w:rStyle w:val="tlid-translation"/>
                <w:sz w:val="20"/>
                <w:szCs w:val="20"/>
                <w:lang w:val="en"/>
              </w:rPr>
              <w:t xml:space="preserve"> </w:t>
            </w:r>
          </w:p>
        </w:tc>
      </w:tr>
      <w:tr w:rsidR="00F7525E" w:rsidRPr="00F7525E" w14:paraId="1C4C0AAE" w14:textId="77777777" w:rsidTr="0089298D">
        <w:trPr>
          <w:trHeight w:val="1790"/>
          <w:jc w:val="center"/>
        </w:trPr>
        <w:tc>
          <w:tcPr>
            <w:tcW w:w="2127" w:type="dxa"/>
            <w:tcBorders>
              <w:top w:val="single" w:sz="4" w:space="0" w:color="auto"/>
              <w:left w:val="nil"/>
              <w:bottom w:val="single" w:sz="4" w:space="0" w:color="auto"/>
              <w:right w:val="nil"/>
            </w:tcBorders>
            <w:vAlign w:val="center"/>
            <w:hideMark/>
          </w:tcPr>
          <w:p w14:paraId="258C9783" w14:textId="77777777" w:rsidR="00F7525E" w:rsidRPr="00F7525E" w:rsidRDefault="00F7525E">
            <w:pPr>
              <w:spacing w:line="360" w:lineRule="auto"/>
              <w:jc w:val="center"/>
              <w:rPr>
                <w:sz w:val="20"/>
                <w:szCs w:val="20"/>
                <w:lang w:val="en-US"/>
              </w:rPr>
            </w:pPr>
            <w:r w:rsidRPr="00F7525E">
              <w:rPr>
                <w:sz w:val="20"/>
                <w:szCs w:val="20"/>
                <w:lang w:val="en-US"/>
              </w:rPr>
              <w:t>Enrichment factor</w:t>
            </w:r>
          </w:p>
        </w:tc>
        <w:tc>
          <w:tcPr>
            <w:tcW w:w="6095" w:type="dxa"/>
            <w:tcBorders>
              <w:top w:val="single" w:sz="4" w:space="0" w:color="auto"/>
              <w:left w:val="nil"/>
              <w:bottom w:val="single" w:sz="4" w:space="0" w:color="auto"/>
              <w:right w:val="nil"/>
            </w:tcBorders>
            <w:vAlign w:val="center"/>
            <w:hideMark/>
          </w:tcPr>
          <w:p w14:paraId="1D9D444C" w14:textId="322D7B1D" w:rsidR="00F7525E" w:rsidRPr="0002052A" w:rsidRDefault="00A10B4C">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EF</m:t>
                    </m:r>
                  </m:e>
                  <m:sub>
                    <m:r>
                      <w:rPr>
                        <w:rFonts w:ascii="Cambria Math" w:hAnsi="Cambria Math"/>
                        <w:sz w:val="18"/>
                        <w:szCs w:val="18"/>
                      </w:rPr>
                      <m:t>m</m:t>
                    </m:r>
                  </m:sub>
                </m:sSub>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m:t>
                </m:r>
                <m:f>
                  <m:fPr>
                    <m:ctrlPr>
                      <w:rPr>
                        <w:rFonts w:ascii="Cambria Math" w:hAnsi="Cambria Math"/>
                        <w:i/>
                        <w:sz w:val="18"/>
                        <w:szCs w:val="18"/>
                        <w:lang w:val="en-US"/>
                      </w:rPr>
                    </m:ctrlPr>
                  </m:fPr>
                  <m:num>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num>
                  <m:den>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x_ref</m:t>
                                </m:r>
                              </m:sub>
                            </m:sSub>
                          </m:den>
                        </m:f>
                      </m:e>
                    </m:d>
                  </m:den>
                </m:f>
                <m:r>
                  <w:rPr>
                    <w:rStyle w:val="tlid-translation"/>
                    <w:rFonts w:ascii="Cambria Math" w:hAnsi="Cambria Math"/>
                    <w:sz w:val="18"/>
                    <w:szCs w:val="18"/>
                    <w:lang w:val="en-US"/>
                  </w:rPr>
                  <m:t xml:space="preserve">       (40)</m:t>
                </m:r>
              </m:oMath>
            </m:oMathPara>
          </w:p>
        </w:tc>
        <w:tc>
          <w:tcPr>
            <w:tcW w:w="5499" w:type="dxa"/>
            <w:tcBorders>
              <w:top w:val="single" w:sz="4" w:space="0" w:color="auto"/>
              <w:left w:val="nil"/>
              <w:bottom w:val="single" w:sz="4" w:space="0" w:color="auto"/>
              <w:right w:val="nil"/>
            </w:tcBorders>
            <w:vAlign w:val="center"/>
            <w:hideMark/>
          </w:tcPr>
          <w:p w14:paraId="3551EAEE" w14:textId="77777777" w:rsidR="00F7525E" w:rsidRPr="0002052A" w:rsidRDefault="00F7525E">
            <w:pPr>
              <w:spacing w:line="276" w:lineRule="auto"/>
              <w:jc w:val="center"/>
              <w:rPr>
                <w:sz w:val="18"/>
                <w:szCs w:val="18"/>
                <w:lang w:val="en-US"/>
              </w:rPr>
            </w:pPr>
            <w:proofErr w:type="spellStart"/>
            <w:r w:rsidRPr="0002052A">
              <w:rPr>
                <w:b/>
                <w:bCs/>
                <w:i/>
                <w:sz w:val="18"/>
                <w:szCs w:val="18"/>
                <w:lang w:val="en-US"/>
              </w:rPr>
              <w:t>C</w:t>
            </w:r>
            <w:r w:rsidRPr="0002052A">
              <w:rPr>
                <w:b/>
                <w:bCs/>
                <w:i/>
                <w:sz w:val="18"/>
                <w:szCs w:val="18"/>
                <w:vertAlign w:val="subscript"/>
                <w:lang w:val="en-US"/>
              </w:rPr>
              <w:t>m_ref</w:t>
            </w:r>
            <w:proofErr w:type="spellEnd"/>
            <w:r w:rsidRPr="0002052A">
              <w:rPr>
                <w:sz w:val="18"/>
                <w:szCs w:val="18"/>
                <w:lang w:val="en-US"/>
              </w:rPr>
              <w:t xml:space="preserve"> = Chemical species background concentration in</w:t>
            </w:r>
            <w:r w:rsidRPr="0002052A">
              <w:rPr>
                <w:rStyle w:val="tlid-translation"/>
                <w:sz w:val="18"/>
                <w:szCs w:val="18"/>
                <w:lang w:val="en"/>
              </w:rPr>
              <w:t xml:space="preserve"> the soil or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proofErr w:type="spellStart"/>
            <w:r w:rsidRPr="0002052A">
              <w:rPr>
                <w:b/>
                <w:bCs/>
                <w:i/>
                <w:sz w:val="18"/>
                <w:szCs w:val="18"/>
                <w:lang w:val="en-US"/>
              </w:rPr>
              <w:t>C</w:t>
            </w:r>
            <w:r w:rsidRPr="0002052A">
              <w:rPr>
                <w:b/>
                <w:bCs/>
                <w:i/>
                <w:sz w:val="18"/>
                <w:szCs w:val="18"/>
                <w:vertAlign w:val="subscript"/>
                <w:lang w:val="en-US"/>
              </w:rPr>
              <w:t>x</w:t>
            </w:r>
            <w:proofErr w:type="spellEnd"/>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Reference chemical species concentration (Al, Fe or Mn)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proofErr w:type="spellStart"/>
            <w:r w:rsidRPr="0002052A">
              <w:rPr>
                <w:b/>
                <w:bCs/>
                <w:i/>
                <w:sz w:val="18"/>
                <w:szCs w:val="18"/>
                <w:lang w:val="en-US"/>
              </w:rPr>
              <w:t>C</w:t>
            </w:r>
            <w:r w:rsidRPr="0002052A">
              <w:rPr>
                <w:b/>
                <w:bCs/>
                <w:i/>
                <w:sz w:val="18"/>
                <w:szCs w:val="18"/>
                <w:vertAlign w:val="subscript"/>
                <w:lang w:val="en-US"/>
              </w:rPr>
              <w:t>x_ref</w:t>
            </w:r>
            <w:proofErr w:type="spellEnd"/>
            <w:r w:rsidRPr="0002052A">
              <w:rPr>
                <w:sz w:val="18"/>
                <w:szCs w:val="18"/>
                <w:lang w:val="en-US"/>
              </w:rPr>
              <w:t xml:space="preserve"> = Reference chemical species background concentration in</w:t>
            </w:r>
            <w:r w:rsidRPr="0002052A">
              <w:rPr>
                <w:rStyle w:val="tlid-translation"/>
                <w:sz w:val="18"/>
                <w:szCs w:val="18"/>
                <w:lang w:val="en"/>
              </w:rPr>
              <w:t xml:space="preserve"> the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or for soil matrix was used the reference chemical species concentration in the upper continental crust (</w:t>
            </w:r>
            <w:r w:rsidRPr="0002052A">
              <w:rPr>
                <w:b/>
                <w:bCs/>
                <w:i/>
                <w:sz w:val="18"/>
                <w:szCs w:val="18"/>
                <w:lang w:val="en-US"/>
              </w:rPr>
              <w:t>C</w:t>
            </w:r>
            <w:r w:rsidRPr="0002052A">
              <w:rPr>
                <w:b/>
                <w:bCs/>
                <w:i/>
                <w:sz w:val="18"/>
                <w:szCs w:val="18"/>
                <w:vertAlign w:val="subscript"/>
                <w:lang w:val="en-US"/>
              </w:rPr>
              <w:t>UCC</w:t>
            </w:r>
            <w:r w:rsidRPr="0002052A">
              <w:rPr>
                <w:iCs/>
                <w:sz w:val="18"/>
                <w:szCs w:val="18"/>
                <w:lang w:val="en-US"/>
              </w:rPr>
              <w: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22AE85B4"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proofErr w:type="spellStart"/>
            <w:r w:rsidRPr="00F7525E">
              <w:rPr>
                <w:rFonts w:eastAsia="Times New Roman"/>
                <w:sz w:val="20"/>
                <w:szCs w:val="20"/>
                <w:lang w:eastAsia="pt-BR"/>
              </w:rPr>
              <w:t>menike</w:t>
            </w:r>
            <w:proofErr w:type="spellEnd"/>
            <w:r w:rsidRPr="00F7525E">
              <w:rPr>
                <w:rFonts w:eastAsia="Times New Roman"/>
                <w:sz w:val="20"/>
                <w:szCs w:val="20"/>
                <w:lang w:eastAsia="pt-BR"/>
              </w:rPr>
              <w:t xml:space="preserv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2557B488" w14:textId="77777777" w:rsidTr="0089298D">
        <w:trPr>
          <w:trHeight w:val="425"/>
          <w:jc w:val="center"/>
        </w:trPr>
        <w:tc>
          <w:tcPr>
            <w:tcW w:w="2127" w:type="dxa"/>
            <w:tcBorders>
              <w:top w:val="single" w:sz="4" w:space="0" w:color="auto"/>
              <w:left w:val="nil"/>
              <w:bottom w:val="double" w:sz="4" w:space="0" w:color="auto"/>
              <w:right w:val="nil"/>
            </w:tcBorders>
            <w:vAlign w:val="center"/>
            <w:hideMark/>
          </w:tcPr>
          <w:p w14:paraId="2C428935" w14:textId="77777777" w:rsidR="00F7525E" w:rsidRPr="00F7525E" w:rsidRDefault="00F7525E">
            <w:pPr>
              <w:spacing w:line="360" w:lineRule="auto"/>
              <w:jc w:val="center"/>
              <w:rPr>
                <w:sz w:val="20"/>
                <w:szCs w:val="20"/>
                <w:lang w:val="en-US"/>
              </w:rPr>
            </w:pPr>
            <w:r w:rsidRPr="00F7525E">
              <w:rPr>
                <w:sz w:val="20"/>
                <w:szCs w:val="20"/>
                <w:lang w:val="en-US"/>
              </w:rPr>
              <w:t>Single pollution index</w:t>
            </w:r>
          </w:p>
        </w:tc>
        <w:tc>
          <w:tcPr>
            <w:tcW w:w="6095" w:type="dxa"/>
            <w:tcBorders>
              <w:top w:val="single" w:sz="4" w:space="0" w:color="auto"/>
              <w:left w:val="nil"/>
              <w:bottom w:val="double" w:sz="4" w:space="0" w:color="auto"/>
              <w:right w:val="nil"/>
            </w:tcBorders>
            <w:vAlign w:val="center"/>
            <w:hideMark/>
          </w:tcPr>
          <w:p w14:paraId="0F96817C" w14:textId="779CF5CD" w:rsidR="00F7525E" w:rsidRPr="0002052A" w:rsidRDefault="00A10B4C">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UCC</m:t>
                        </m:r>
                      </m:sub>
                    </m:sSub>
                  </m:den>
                </m:f>
                <m:r>
                  <w:rPr>
                    <w:rFonts w:ascii="Cambria Math" w:eastAsiaTheme="minorEastAsia" w:hAnsi="Cambria Math"/>
                    <w:sz w:val="18"/>
                    <w:szCs w:val="18"/>
                    <w:lang w:val="en-US"/>
                  </w:rPr>
                  <m:t xml:space="preserve">          (41)</m:t>
                </m:r>
              </m:oMath>
            </m:oMathPara>
          </w:p>
        </w:tc>
        <w:tc>
          <w:tcPr>
            <w:tcW w:w="5499" w:type="dxa"/>
            <w:tcBorders>
              <w:top w:val="single" w:sz="4" w:space="0" w:color="auto"/>
              <w:left w:val="nil"/>
              <w:bottom w:val="double" w:sz="4" w:space="0" w:color="auto"/>
              <w:right w:val="nil"/>
            </w:tcBorders>
            <w:vAlign w:val="center"/>
            <w:hideMark/>
          </w:tcPr>
          <w:p w14:paraId="1BF2339D" w14:textId="77777777" w:rsidR="00F7525E" w:rsidRPr="0002052A" w:rsidRDefault="00F7525E">
            <w:pPr>
              <w:spacing w:line="360" w:lineRule="auto"/>
              <w:jc w:val="center"/>
              <w:rPr>
                <w:b/>
                <w:bCs/>
                <w:i/>
                <w:sz w:val="18"/>
                <w:szCs w:val="18"/>
                <w:lang w:val="en-US"/>
              </w:rPr>
            </w:pPr>
            <w:r w:rsidRPr="0002052A">
              <w:rPr>
                <w:b/>
                <w:bCs/>
                <w:i/>
                <w:sz w:val="18"/>
                <w:szCs w:val="18"/>
                <w:lang w:val="en-US"/>
              </w:rPr>
              <w:t>C</w:t>
            </w:r>
            <w:r w:rsidRPr="0002052A">
              <w:rPr>
                <w:b/>
                <w:bCs/>
                <w:i/>
                <w:sz w:val="18"/>
                <w:szCs w:val="18"/>
                <w:vertAlign w:val="subscript"/>
                <w:lang w:val="en-US"/>
              </w:rPr>
              <w:t>UCC</w:t>
            </w:r>
            <w:r w:rsidRPr="0002052A">
              <w:rPr>
                <w:b/>
                <w:bCs/>
                <w:sz w:val="18"/>
                <w:szCs w:val="18"/>
                <w:lang w:val="en-US"/>
              </w:rPr>
              <w:t xml:space="preserve"> </w:t>
            </w:r>
            <w:r w:rsidRPr="0002052A">
              <w:rPr>
                <w:sz w:val="18"/>
                <w:szCs w:val="18"/>
                <w:lang w:val="en-US"/>
              </w:rPr>
              <w:t>= Chemical species concentration in the upper continental crust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35B2BF0A"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proofErr w:type="spellStart"/>
            <w:r w:rsidRPr="00F7525E">
              <w:rPr>
                <w:rFonts w:eastAsia="Times New Roman"/>
                <w:sz w:val="20"/>
                <w:szCs w:val="20"/>
                <w:lang w:eastAsia="pt-BR"/>
              </w:rPr>
              <w:t>menike</w:t>
            </w:r>
            <w:proofErr w:type="spellEnd"/>
            <w:r w:rsidRPr="00F7525E">
              <w:rPr>
                <w:rFonts w:eastAsia="Times New Roman"/>
                <w:sz w:val="20"/>
                <w:szCs w:val="20"/>
                <w:lang w:eastAsia="pt-BR"/>
              </w:rPr>
              <w:t xml:space="preserv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FFC0478"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30B58D57" w14:textId="77777777" w:rsidR="00F7525E" w:rsidRPr="0002052A" w:rsidRDefault="00F7525E">
            <w:pPr>
              <w:jc w:val="center"/>
              <w:rPr>
                <w:rFonts w:eastAsia="Times New Roman"/>
                <w:sz w:val="18"/>
                <w:szCs w:val="18"/>
                <w:lang w:val="en-US" w:eastAsia="pt-BR"/>
              </w:rPr>
            </w:pPr>
            <w:r w:rsidRPr="0002052A">
              <w:rPr>
                <w:b/>
                <w:bCs/>
                <w:sz w:val="18"/>
                <w:szCs w:val="18"/>
                <w:lang w:val="en-US"/>
              </w:rPr>
              <w:lastRenderedPageBreak/>
              <w:t>Combined pollution indices</w:t>
            </w:r>
          </w:p>
        </w:tc>
      </w:tr>
      <w:tr w:rsidR="001F3EFE" w:rsidRPr="001F3EFE" w14:paraId="10F45211" w14:textId="77777777" w:rsidTr="0089298D">
        <w:trPr>
          <w:trHeight w:val="706"/>
          <w:jc w:val="center"/>
        </w:trPr>
        <w:tc>
          <w:tcPr>
            <w:tcW w:w="2127" w:type="dxa"/>
            <w:tcBorders>
              <w:top w:val="double" w:sz="4" w:space="0" w:color="auto"/>
              <w:left w:val="nil"/>
              <w:bottom w:val="single" w:sz="4" w:space="0" w:color="auto"/>
              <w:right w:val="nil"/>
            </w:tcBorders>
            <w:vAlign w:val="center"/>
          </w:tcPr>
          <w:p w14:paraId="08A3E1A0" w14:textId="791F4032" w:rsidR="001F3EFE" w:rsidRPr="00F7525E" w:rsidRDefault="001F3EFE">
            <w:pPr>
              <w:spacing w:line="360" w:lineRule="auto"/>
              <w:jc w:val="center"/>
              <w:rPr>
                <w:sz w:val="20"/>
                <w:szCs w:val="20"/>
                <w:lang w:val="en-US"/>
              </w:rPr>
            </w:pPr>
            <w:r w:rsidRPr="001F3EFE">
              <w:rPr>
                <w:rStyle w:val="tlid-translation"/>
                <w:sz w:val="20"/>
                <w:szCs w:val="20"/>
                <w:lang w:val="en-US"/>
              </w:rPr>
              <w:t>Pollution load index</w:t>
            </w:r>
          </w:p>
        </w:tc>
        <w:tc>
          <w:tcPr>
            <w:tcW w:w="6095" w:type="dxa"/>
            <w:tcBorders>
              <w:top w:val="double" w:sz="4" w:space="0" w:color="auto"/>
              <w:left w:val="nil"/>
              <w:bottom w:val="single" w:sz="4" w:space="0" w:color="auto"/>
              <w:right w:val="nil"/>
            </w:tcBorders>
            <w:vAlign w:val="center"/>
          </w:tcPr>
          <w:p w14:paraId="121376F8" w14:textId="1C61E1BD" w:rsidR="001F3EFE" w:rsidRPr="0002052A" w:rsidRDefault="00A10B4C">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PLI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 xml:space="preserve"> =</m:t>
                </m:r>
                <m:rad>
                  <m:radPr>
                    <m:ctrlPr>
                      <w:rPr>
                        <w:rFonts w:ascii="Cambria Math" w:hAnsi="Cambria Math"/>
                        <w:i/>
                        <w:sz w:val="18"/>
                        <w:szCs w:val="18"/>
                      </w:rPr>
                    </m:ctrlPr>
                  </m:radPr>
                  <m:deg>
                    <m:r>
                      <w:rPr>
                        <w:rFonts w:ascii="Cambria Math" w:hAnsi="Cambria Math"/>
                        <w:sz w:val="18"/>
                        <w:szCs w:val="18"/>
                      </w:rPr>
                      <m:t>n</m:t>
                    </m:r>
                  </m:deg>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hAnsi="Cambria Math"/>
                            <w:sz w:val="18"/>
                            <w:szCs w:val="18"/>
                          </w:rPr>
                          <m:t xml:space="preserve"> (t)</m:t>
                        </m:r>
                      </m:e>
                    </m:nary>
                  </m:e>
                </m:rad>
                <m:r>
                  <w:rPr>
                    <w:rFonts w:ascii="Cambria Math" w:eastAsiaTheme="minorEastAsia" w:hAnsi="Cambria Math"/>
                    <w:sz w:val="18"/>
                    <w:szCs w:val="18"/>
                    <w:lang w:val="en-US"/>
                  </w:rPr>
                  <m:t xml:space="preserve">          (42)</m:t>
                </m:r>
              </m:oMath>
            </m:oMathPara>
          </w:p>
        </w:tc>
        <w:tc>
          <w:tcPr>
            <w:tcW w:w="5499" w:type="dxa"/>
            <w:tcBorders>
              <w:top w:val="double" w:sz="4" w:space="0" w:color="auto"/>
              <w:left w:val="nil"/>
              <w:bottom w:val="single" w:sz="4" w:space="0" w:color="auto"/>
              <w:right w:val="nil"/>
            </w:tcBorders>
            <w:vAlign w:val="center"/>
          </w:tcPr>
          <w:p w14:paraId="0FC7B248" w14:textId="6F71B2A1" w:rsidR="001F3EFE" w:rsidRPr="0002052A" w:rsidRDefault="001F3EFE">
            <w:pPr>
              <w:spacing w:line="360" w:lineRule="auto"/>
              <w:jc w:val="center"/>
              <w:rPr>
                <w:b/>
                <w:bCs/>
                <w:i/>
                <w:sz w:val="18"/>
                <w:szCs w:val="18"/>
                <w:lang w:val="en-US"/>
              </w:rPr>
            </w:pPr>
            <w:proofErr w:type="spellStart"/>
            <w:proofErr w:type="gramStart"/>
            <w:r w:rsidRPr="0002052A">
              <w:rPr>
                <w:rFonts w:eastAsiaTheme="minorEastAsia"/>
                <w:b/>
                <w:bCs/>
                <w:i/>
                <w:sz w:val="18"/>
                <w:szCs w:val="18"/>
                <w:lang w:val="en-US"/>
              </w:rPr>
              <w:t>CF</w:t>
            </w:r>
            <w:r w:rsidRPr="0002052A">
              <w:rPr>
                <w:rFonts w:eastAsiaTheme="minorEastAsia"/>
                <w:b/>
                <w:bCs/>
                <w:i/>
                <w:sz w:val="18"/>
                <w:szCs w:val="18"/>
                <w:vertAlign w:val="subscript"/>
                <w:lang w:val="en-US"/>
              </w:rPr>
              <w:t>m,i</w:t>
            </w:r>
            <w:proofErr w:type="spellEnd"/>
            <w:proofErr w:type="gramEnd"/>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Matrix contamination factor due to chemical species </w:t>
            </w:r>
            <w:r w:rsidRPr="0002052A">
              <w:rPr>
                <w:i/>
                <w:iCs/>
                <w:sz w:val="18"/>
                <w:szCs w:val="18"/>
                <w:lang w:val="en-US"/>
              </w:rPr>
              <w:t>j</w:t>
            </w:r>
            <w:r w:rsidRPr="0002052A">
              <w:rPr>
                <w:sz w:val="18"/>
                <w:szCs w:val="18"/>
                <w:lang w:val="en-US"/>
              </w:rPr>
              <w:t xml:space="preserve"> at time </w:t>
            </w:r>
            <w:r w:rsidRPr="0002052A">
              <w:rPr>
                <w:i/>
                <w:iCs/>
                <w:sz w:val="18"/>
                <w:szCs w:val="18"/>
                <w:lang w:val="en-US"/>
              </w:rPr>
              <w:t>t</w:t>
            </w:r>
            <w:r w:rsidRPr="0002052A">
              <w:rPr>
                <w:rFonts w:eastAsiaTheme="minorEastAsia"/>
                <w:i/>
                <w:iCs/>
                <w:sz w:val="18"/>
                <w:szCs w:val="18"/>
                <w:lang w:val="en-US"/>
              </w:rPr>
              <w:t xml:space="preserve">; </w:t>
            </w:r>
            <w:r w:rsidRPr="0002052A">
              <w:rPr>
                <w:b/>
                <w:bCs/>
                <w:i/>
                <w:iCs/>
                <w:sz w:val="18"/>
                <w:szCs w:val="18"/>
                <w:lang w:val="en-US"/>
              </w:rPr>
              <w:t>n</w:t>
            </w:r>
            <w:r w:rsidRPr="0002052A">
              <w:rPr>
                <w:sz w:val="18"/>
                <w:szCs w:val="18"/>
                <w:lang w:val="en-US"/>
              </w:rPr>
              <w:t xml:space="preserve"> = Number of chemical species.</w:t>
            </w:r>
          </w:p>
        </w:tc>
        <w:tc>
          <w:tcPr>
            <w:tcW w:w="1539" w:type="dxa"/>
            <w:tcBorders>
              <w:top w:val="double" w:sz="4" w:space="0" w:color="auto"/>
              <w:left w:val="nil"/>
              <w:bottom w:val="single" w:sz="4" w:space="0" w:color="auto"/>
              <w:right w:val="nil"/>
            </w:tcBorders>
            <w:vAlign w:val="center"/>
          </w:tcPr>
          <w:p w14:paraId="7B0F31BE" w14:textId="008239DD" w:rsidR="001F3EFE"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Doležalová Weissmannová</w:t>
            </w:r>
            <w:r w:rsidRPr="00456905">
              <w:rPr>
                <w:rStyle w:val="tlid-translation"/>
                <w:sz w:val="20"/>
                <w:szCs w:val="20"/>
                <w:lang w:val="en-US"/>
              </w:rPr>
              <w:t xml:space="preserve"> </w:t>
            </w:r>
            <w:r>
              <w:rPr>
                <w:rStyle w:val="tlid-translation"/>
                <w:sz w:val="20"/>
                <w:szCs w:val="20"/>
                <w:lang w:val="en-US"/>
              </w:rPr>
              <w:t>e</w:t>
            </w:r>
            <w:r w:rsidRPr="00456905">
              <w:rPr>
                <w:rStyle w:val="tlid-translation"/>
                <w:sz w:val="20"/>
                <w:szCs w:val="20"/>
                <w:lang w:val="en-US"/>
              </w:rPr>
              <w:t>t al.</w:t>
            </w:r>
            <w:r>
              <w:rPr>
                <w:rStyle w:val="tlid-translation"/>
                <w:sz w:val="20"/>
                <w:szCs w:val="20"/>
                <w:lang w:val="en-US"/>
              </w:rPr>
              <w:t xml:space="preserve"> </w:t>
            </w:r>
            <w:r w:rsidRPr="00456905">
              <w:rPr>
                <w:rStyle w:val="tlid-translation"/>
                <w:sz w:val="20"/>
                <w:szCs w:val="20"/>
                <w:lang w:val="en-US"/>
              </w:rPr>
              <w:fldChar w:fldCharType="begin" w:fldLock="1"/>
            </w:r>
            <w:r>
              <w:rPr>
                <w:rStyle w:val="tlid-translation"/>
                <w:sz w:val="20"/>
                <w:szCs w:val="20"/>
                <w:lang w:val="en-US"/>
              </w:rPr>
              <w:instrText>ADDIN CSL_CITATION {"citationItems":[{"id":"ITEM-1","itemData":{"DOI":"10.3390/ijerph16224495","ISSN":"1660-4601","abstract":"The heavy metal pollution of soils has become serious environmental problem, mainly in localities with high industrialization and rapid growth. The purpose of this detailed research was to determine the actual status of heavy metal pollution of soils and an assessment of heavy metal pollution in a highly industrialized city, Ostrava, with a history of long-term impacts from the metallurgy industry and mining. The ecological risks to the area was subsequently also assessed. The heavy metals Cd, Hg, Cu, Mn, Pb, V, Zn, Cr and Fe were determined in top-soils (0–20 cm) using atomic absorption spectrometry (F AAS, GF AAS) from three areas with different anthropogenic loads. The obtained data expressed as mean metal concentrations were very varied among the sampled soils and values of all analyzed metal concentrations were higher than its background levels. To identify the ecological risk and assessment of soil pollution, various pollution indices were calculated, such as single pollution indices (Igeo, CF, EF, PI) and total complex indices (IPI, PLI, PINemerow, Cdeg, mCdeg, Er and PERI). The identification of pollution sources was assessed using Pearson’s correlation analysis and multivariate methods (HCA, PCA/FA). The obtained results confirmed three major groups of metals (Fe–Cr, Pb–Cu and Mn–V). A human health risk was identified in the case of Pb, Cd and Cr, and the HI value of V for children also exceeded 1.","author":[{"dropping-particle":"","family":"Doležalová Weissmannová","given":"H.","non-dropping-particle":"","parse-names":false,"suffix":""},{"dropping-particle":"","family":"Mihočová","given":"S.","non-dropping-particle":"","parse-names":false,"suffix":""},{"dropping-particle":"","family":"Chovanec","given":"P.","non-dropping-particle":"","parse-names":false,"suffix":""},{"dropping-particle":"","family":"Pavlovský","given":"J.","non-dropping-particle":"","parse-names":false,"suffix":""}],"container-title":"International Journal of Environmental Research and Public Health","id":"ITEM-1","issue":"22","issued":{"date-parts":[["2019","11","14"]]},"page":"4495","title":"Potential Ecological Risk and Human Health Risk Assessment of Heavy Metal Pollution in Industrial Affected Soils by Coal Mining and Metallurgy in Ostrava, Czech Republic","type":"article-journal","volume":"16"},"suppress-author":1,"uris":["http://www.mendeley.com/documents/?uuid=d1112d63-2354-4656-94ef-6fa751ea386a"]}],"mendeley":{"formattedCitation":"(2019)","plainTextFormattedCitation":"(2019)","previouslyFormattedCitation":"(2019)"},"properties":{"noteIndex":0},"schema":"https://github.com/citation-style-language/schema/raw/master/csl-citation.json"}</w:instrText>
            </w:r>
            <w:r w:rsidRPr="00456905">
              <w:rPr>
                <w:rStyle w:val="tlid-translation"/>
                <w:sz w:val="20"/>
                <w:szCs w:val="20"/>
                <w:lang w:val="en-US"/>
              </w:rPr>
              <w:fldChar w:fldCharType="separate"/>
            </w:r>
            <w:r w:rsidRPr="00456905">
              <w:rPr>
                <w:rStyle w:val="tlid-translation"/>
                <w:noProof/>
                <w:sz w:val="20"/>
                <w:szCs w:val="20"/>
                <w:lang w:val="en-US"/>
              </w:rPr>
              <w:t>(2019)</w:t>
            </w:r>
            <w:r w:rsidRPr="00456905">
              <w:rPr>
                <w:rStyle w:val="tlid-translation"/>
                <w:sz w:val="20"/>
                <w:szCs w:val="20"/>
                <w:lang w:val="en-US"/>
              </w:rPr>
              <w:fldChar w:fldCharType="end"/>
            </w:r>
          </w:p>
        </w:tc>
      </w:tr>
      <w:tr w:rsidR="00F7525E" w:rsidRPr="00F7525E" w14:paraId="064E607D" w14:textId="77777777" w:rsidTr="0089298D">
        <w:trPr>
          <w:trHeight w:val="706"/>
          <w:jc w:val="center"/>
        </w:trPr>
        <w:tc>
          <w:tcPr>
            <w:tcW w:w="2127" w:type="dxa"/>
            <w:tcBorders>
              <w:top w:val="single" w:sz="4" w:space="0" w:color="auto"/>
              <w:left w:val="nil"/>
              <w:bottom w:val="single" w:sz="4" w:space="0" w:color="auto"/>
              <w:right w:val="nil"/>
            </w:tcBorders>
            <w:vAlign w:val="center"/>
            <w:hideMark/>
          </w:tcPr>
          <w:p w14:paraId="42443C78" w14:textId="77777777" w:rsidR="00F7525E" w:rsidRPr="00F7525E" w:rsidRDefault="00F7525E">
            <w:pPr>
              <w:spacing w:line="360" w:lineRule="auto"/>
              <w:jc w:val="center"/>
              <w:rPr>
                <w:sz w:val="20"/>
                <w:szCs w:val="20"/>
                <w:lang w:val="en-US"/>
              </w:rPr>
            </w:pPr>
            <w:r w:rsidRPr="00F7525E">
              <w:rPr>
                <w:sz w:val="20"/>
                <w:szCs w:val="20"/>
                <w:lang w:val="en-US"/>
              </w:rPr>
              <w:t>Water combined risk</w:t>
            </w:r>
          </w:p>
        </w:tc>
        <w:tc>
          <w:tcPr>
            <w:tcW w:w="6095" w:type="dxa"/>
            <w:tcBorders>
              <w:top w:val="single" w:sz="4" w:space="0" w:color="auto"/>
              <w:left w:val="nil"/>
              <w:bottom w:val="single" w:sz="4" w:space="0" w:color="auto"/>
              <w:right w:val="nil"/>
            </w:tcBorders>
            <w:vAlign w:val="center"/>
            <w:hideMark/>
          </w:tcPr>
          <w:p w14:paraId="4ED0AF5E" w14:textId="1835FE45" w:rsidR="00F7525E" w:rsidRPr="0002052A" w:rsidRDefault="00A10B4C">
            <w:pPr>
              <w:spacing w:line="360" w:lineRule="auto"/>
              <w:jc w:val="center"/>
              <w:rPr>
                <w:rFonts w:eastAsia="Calibri"/>
                <w:i/>
                <w:sz w:val="18"/>
                <w:szCs w:val="18"/>
                <w:lang w:val="en-US"/>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W-comb</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1-</m:t>
                                </m:r>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R</m:t>
                                    </m:r>
                                  </m:e>
                                  <m:sub>
                                    <m:r>
                                      <w:rPr>
                                        <w:rStyle w:val="tlid-translation"/>
                                        <w:rFonts w:ascii="Cambria Math" w:eastAsiaTheme="minorEastAsia" w:hAnsi="Cambria Math"/>
                                        <w:sz w:val="18"/>
                                        <w:szCs w:val="18"/>
                                        <w:lang w:val="en-US"/>
                                      </w:rPr>
                                      <m:t xml:space="preserve">w </m:t>
                                    </m:r>
                                  </m:sub>
                                </m:sSub>
                                <m:r>
                                  <w:rPr>
                                    <w:rStyle w:val="tlid-translation"/>
                                    <w:rFonts w:ascii="Cambria Math" w:eastAsiaTheme="minorEastAsia" w:hAnsi="Cambria Math"/>
                                    <w:sz w:val="18"/>
                                    <w:szCs w:val="18"/>
                                    <w:lang w:val="en-US"/>
                                  </w:rPr>
                                  <m:t>(t)</m:t>
                                </m:r>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r>
                  <w:rPr>
                    <w:rStyle w:val="tlid-translation"/>
                    <w:rFonts w:ascii="Cambria Math" w:eastAsiaTheme="minorEastAsia" w:hAnsi="Cambria Math"/>
                    <w:sz w:val="18"/>
                    <w:szCs w:val="18"/>
                    <w:lang w:val="en-US"/>
                  </w:rPr>
                  <m:t>(43)</m:t>
                </m:r>
              </m:oMath>
            </m:oMathPara>
          </w:p>
        </w:tc>
        <w:tc>
          <w:tcPr>
            <w:tcW w:w="5499" w:type="dxa"/>
            <w:tcBorders>
              <w:top w:val="single" w:sz="4" w:space="0" w:color="auto"/>
              <w:left w:val="nil"/>
              <w:bottom w:val="single" w:sz="4" w:space="0" w:color="auto"/>
              <w:right w:val="nil"/>
            </w:tcBorders>
            <w:vAlign w:val="center"/>
            <w:hideMark/>
          </w:tcPr>
          <w:p w14:paraId="36E498F1" w14:textId="77DEBC87" w:rsidR="00F7525E" w:rsidRPr="0002052A" w:rsidRDefault="00F7525E">
            <w:pPr>
              <w:spacing w:line="360" w:lineRule="auto"/>
              <w:jc w:val="center"/>
              <w:rPr>
                <w:b/>
                <w:bCs/>
                <w:i/>
                <w:sz w:val="18"/>
                <w:szCs w:val="18"/>
                <w:lang w:val="en-US"/>
              </w:rPr>
            </w:pPr>
            <w:proofErr w:type="spellStart"/>
            <w:r w:rsidRPr="0002052A">
              <w:rPr>
                <w:b/>
                <w:bCs/>
                <w:i/>
                <w:sz w:val="18"/>
                <w:szCs w:val="18"/>
                <w:lang w:val="en-US"/>
              </w:rPr>
              <w:t>R</w:t>
            </w:r>
            <w:r w:rsidRPr="0002052A">
              <w:rPr>
                <w:b/>
                <w:bCs/>
                <w:i/>
                <w:sz w:val="18"/>
                <w:szCs w:val="18"/>
                <w:vertAlign w:val="subscript"/>
                <w:lang w:val="en-US"/>
              </w:rPr>
              <w:t>Wi</w:t>
            </w:r>
            <w:proofErr w:type="spellEnd"/>
            <w:r w:rsidRPr="0002052A">
              <w:rPr>
                <w:sz w:val="18"/>
                <w:szCs w:val="18"/>
                <w:lang w:val="en-US"/>
              </w:rPr>
              <w:t xml:space="preserve"> </w:t>
            </w:r>
            <w:r w:rsidRPr="0002052A">
              <w:rPr>
                <w:b/>
                <w:bCs/>
                <w:i/>
                <w:iCs/>
                <w:sz w:val="18"/>
                <w:szCs w:val="18"/>
                <w:lang w:val="en-US"/>
              </w:rPr>
              <w:t>(t)</w:t>
            </w:r>
            <w:r w:rsidRPr="0002052A">
              <w:rPr>
                <w:sz w:val="18"/>
                <w:szCs w:val="18"/>
                <w:lang w:val="en-US"/>
              </w:rPr>
              <w:t xml:space="preserve">= </w:t>
            </w:r>
            <w:r w:rsidRPr="0002052A">
              <w:rPr>
                <w:rFonts w:eastAsiaTheme="minorEastAsia"/>
                <w:sz w:val="18"/>
                <w:szCs w:val="18"/>
                <w:lang w:val="en-US"/>
              </w:rPr>
              <w:t xml:space="preserve">Water individual risk for chemical species </w:t>
            </w:r>
            <w:r w:rsidRPr="0002052A">
              <w:rPr>
                <w:rFonts w:eastAsiaTheme="minorEastAsia"/>
                <w:i/>
                <w:iCs/>
                <w:sz w:val="18"/>
                <w:szCs w:val="18"/>
                <w:lang w:val="en-US"/>
              </w:rPr>
              <w:t>j</w:t>
            </w:r>
            <w:r w:rsidRPr="0002052A">
              <w:rPr>
                <w:rFonts w:eastAsiaTheme="minorEastAsia"/>
                <w:sz w:val="18"/>
                <w:szCs w:val="18"/>
                <w:lang w:val="en-US"/>
              </w:rPr>
              <w:t xml:space="preserve"> at time </w:t>
            </w:r>
            <w:r w:rsidRPr="0002052A">
              <w:rPr>
                <w:rFonts w:eastAsiaTheme="minorEastAsia"/>
                <w:i/>
                <w:iCs/>
                <w:sz w:val="18"/>
                <w:szCs w:val="18"/>
                <w:lang w:val="en-US"/>
              </w:rPr>
              <w:t>t</w:t>
            </w:r>
            <w:r w:rsidR="001F3EFE">
              <w:rPr>
                <w:rFonts w:eastAsiaTheme="minorEastAsia"/>
                <w:i/>
                <w:iCs/>
                <w:sz w:val="18"/>
                <w:szCs w:val="18"/>
                <w:lang w:val="en-US"/>
              </w:rPr>
              <w:t>.</w:t>
            </w:r>
          </w:p>
        </w:tc>
        <w:tc>
          <w:tcPr>
            <w:tcW w:w="1539" w:type="dxa"/>
            <w:tcBorders>
              <w:top w:val="single" w:sz="4" w:space="0" w:color="auto"/>
              <w:left w:val="nil"/>
              <w:bottom w:val="single" w:sz="4" w:space="0" w:color="auto"/>
              <w:right w:val="nil"/>
            </w:tcBorders>
            <w:vAlign w:val="center"/>
            <w:hideMark/>
          </w:tcPr>
          <w:p w14:paraId="7ACC2FB0" w14:textId="77777777" w:rsidR="00F7525E" w:rsidRPr="00F7525E" w:rsidRDefault="00F7525E">
            <w:pPr>
              <w:spacing w:line="360" w:lineRule="auto"/>
              <w:jc w:val="center"/>
              <w:rPr>
                <w:rFonts w:eastAsia="Times New Roman"/>
                <w:sz w:val="20"/>
                <w:szCs w:val="20"/>
                <w:lang w:val="en-US" w:eastAsia="pt-BR"/>
              </w:rPr>
            </w:pPr>
            <w:proofErr w:type="spellStart"/>
            <w:r w:rsidRPr="00F7525E">
              <w:rPr>
                <w:rFonts w:eastAsia="Times New Roman"/>
                <w:sz w:val="20"/>
                <w:szCs w:val="20"/>
                <w:lang w:val="en-US" w:eastAsia="pt-BR"/>
              </w:rPr>
              <w:t>Pagliarini</w:t>
            </w:r>
            <w:proofErr w:type="spellEnd"/>
            <w:r w:rsidRPr="00F7525E">
              <w:rPr>
                <w:rFonts w:eastAsia="Times New Roman"/>
                <w:sz w:val="20"/>
                <w:szCs w:val="20"/>
                <w:lang w:val="en-US" w:eastAsia="pt-BR"/>
              </w:rPr>
              <w:t xml:space="preserve">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58CD985E"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7D83E1B" w14:textId="77777777" w:rsidR="00F7525E" w:rsidRPr="00F7525E" w:rsidRDefault="00F7525E">
            <w:pPr>
              <w:spacing w:line="360" w:lineRule="auto"/>
              <w:jc w:val="center"/>
              <w:rPr>
                <w:sz w:val="20"/>
                <w:szCs w:val="20"/>
                <w:lang w:val="en-US"/>
              </w:rPr>
            </w:pPr>
            <w:r w:rsidRPr="00F7525E">
              <w:rPr>
                <w:sz w:val="20"/>
                <w:szCs w:val="20"/>
                <w:lang w:val="en-US"/>
              </w:rPr>
              <w:t>Modified degree of contamination</w:t>
            </w:r>
          </w:p>
        </w:tc>
        <w:tc>
          <w:tcPr>
            <w:tcW w:w="6095" w:type="dxa"/>
            <w:tcBorders>
              <w:top w:val="single" w:sz="4" w:space="0" w:color="auto"/>
              <w:left w:val="nil"/>
              <w:bottom w:val="single" w:sz="4" w:space="0" w:color="auto"/>
              <w:right w:val="nil"/>
            </w:tcBorders>
            <w:vAlign w:val="center"/>
            <w:hideMark/>
          </w:tcPr>
          <w:p w14:paraId="0DD3491C" w14:textId="7841F1C5" w:rsidR="00F7525E" w:rsidRPr="0002052A" w:rsidRDefault="00A10B4C">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mC</m:t>
                    </m:r>
                  </m:e>
                  <m:sub>
                    <m:r>
                      <w:rPr>
                        <w:rFonts w:ascii="Cambria Math" w:hAnsi="Cambria Math"/>
                        <w:sz w:val="18"/>
                        <w:szCs w:val="18"/>
                      </w:rPr>
                      <m:t>d</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44</m:t>
                    </m:r>
                  </m:e>
                </m:d>
              </m:oMath>
            </m:oMathPara>
          </w:p>
        </w:tc>
        <w:tc>
          <w:tcPr>
            <w:tcW w:w="5499" w:type="dxa"/>
            <w:tcBorders>
              <w:top w:val="single" w:sz="4" w:space="0" w:color="auto"/>
              <w:left w:val="nil"/>
              <w:bottom w:val="single" w:sz="4" w:space="0" w:color="auto"/>
              <w:right w:val="nil"/>
            </w:tcBorders>
            <w:vAlign w:val="center"/>
          </w:tcPr>
          <w:p w14:paraId="7DA86C98" w14:textId="36F37291" w:rsidR="00F7525E" w:rsidRPr="0002052A" w:rsidRDefault="00F7525E">
            <w:pPr>
              <w:spacing w:line="360" w:lineRule="auto"/>
              <w:jc w:val="center"/>
              <w:rPr>
                <w:b/>
                <w:bCs/>
                <w:i/>
                <w:sz w:val="18"/>
                <w:szCs w:val="18"/>
                <w:lang w:val="en-US"/>
              </w:rPr>
            </w:pPr>
          </w:p>
        </w:tc>
        <w:tc>
          <w:tcPr>
            <w:tcW w:w="1539" w:type="dxa"/>
            <w:tcBorders>
              <w:top w:val="single" w:sz="4" w:space="0" w:color="auto"/>
              <w:left w:val="nil"/>
              <w:bottom w:val="single" w:sz="4" w:space="0" w:color="auto"/>
              <w:right w:val="nil"/>
            </w:tcBorders>
            <w:vAlign w:val="center"/>
            <w:hideMark/>
          </w:tcPr>
          <w:p w14:paraId="415AF09D"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H</w:t>
            </w:r>
            <w:proofErr w:type="spellStart"/>
            <w:r w:rsidRPr="00F7525E">
              <w:rPr>
                <w:rFonts w:eastAsia="Times New Roman"/>
                <w:sz w:val="20"/>
                <w:szCs w:val="20"/>
                <w:lang w:eastAsia="pt-BR"/>
              </w:rPr>
              <w:t>akanson</w:t>
            </w:r>
            <w:proofErr w:type="spellEnd"/>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(1980)</w:t>
            </w:r>
            <w:r w:rsidRPr="00F7525E">
              <w:rPr>
                <w:rFonts w:eastAsia="Times New Roman"/>
                <w:sz w:val="20"/>
                <w:szCs w:val="20"/>
                <w:lang w:eastAsia="pt-BR"/>
              </w:rPr>
              <w:fldChar w:fldCharType="end"/>
            </w:r>
          </w:p>
        </w:tc>
      </w:tr>
      <w:tr w:rsidR="00F7525E" w:rsidRPr="00F7525E" w14:paraId="2A41B706"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625B261D" w14:textId="77777777" w:rsidR="00F7525E" w:rsidRPr="00F7525E" w:rsidRDefault="00F7525E">
            <w:pPr>
              <w:spacing w:line="360" w:lineRule="auto"/>
              <w:jc w:val="center"/>
              <w:rPr>
                <w:sz w:val="20"/>
                <w:szCs w:val="20"/>
                <w:lang w:val="en-US"/>
              </w:rPr>
            </w:pPr>
            <w:r w:rsidRPr="00F7525E">
              <w:rPr>
                <w:sz w:val="20"/>
                <w:szCs w:val="20"/>
                <w:lang w:val="en-US"/>
              </w:rPr>
              <w:t>Integrated threshold pollution index</w:t>
            </w:r>
          </w:p>
        </w:tc>
        <w:tc>
          <w:tcPr>
            <w:tcW w:w="6095" w:type="dxa"/>
            <w:tcBorders>
              <w:top w:val="single" w:sz="4" w:space="0" w:color="auto"/>
              <w:left w:val="nil"/>
              <w:bottom w:val="single" w:sz="4" w:space="0" w:color="auto"/>
              <w:right w:val="nil"/>
            </w:tcBorders>
            <w:vAlign w:val="center"/>
            <w:hideMark/>
          </w:tcPr>
          <w:p w14:paraId="5DD209D0" w14:textId="7DEAEFAC" w:rsidR="00F7525E" w:rsidRPr="0002052A" w:rsidRDefault="00A10B4C">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IPI</m:t>
                    </m:r>
                  </m:e>
                  <m:sub>
                    <m:r>
                      <w:rPr>
                        <w:rFonts w:ascii="Cambria Math" w:hAnsi="Cambria Math"/>
                        <w:sz w:val="18"/>
                        <w:szCs w:val="18"/>
                      </w:rPr>
                      <m:t>Th</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TL</m:t>
                                    </m:r>
                                  </m:sub>
                                </m:sSub>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45</m:t>
                    </m:r>
                  </m:e>
                </m:d>
              </m:oMath>
            </m:oMathPara>
          </w:p>
        </w:tc>
        <w:tc>
          <w:tcPr>
            <w:tcW w:w="5499" w:type="dxa"/>
            <w:tcBorders>
              <w:top w:val="single" w:sz="4" w:space="0" w:color="auto"/>
              <w:left w:val="nil"/>
              <w:bottom w:val="single" w:sz="4" w:space="0" w:color="auto"/>
              <w:right w:val="nil"/>
            </w:tcBorders>
            <w:vAlign w:val="center"/>
            <w:hideMark/>
          </w:tcPr>
          <w:p w14:paraId="5DCF6440" w14:textId="77777777" w:rsidR="00F7525E" w:rsidRPr="0002052A" w:rsidRDefault="00F7525E">
            <w:pPr>
              <w:spacing w:line="360" w:lineRule="auto"/>
              <w:jc w:val="center"/>
              <w:rPr>
                <w:rFonts w:eastAsiaTheme="minorEastAsia"/>
                <w:b/>
                <w:bCs/>
                <w:i/>
                <w:sz w:val="18"/>
                <w:szCs w:val="18"/>
                <w:lang w:val="en-US"/>
              </w:rPr>
            </w:pPr>
            <w:r w:rsidRPr="0002052A">
              <w:rPr>
                <w:b/>
                <w:bCs/>
                <w:i/>
                <w:iCs/>
                <w:sz w:val="18"/>
                <w:szCs w:val="18"/>
                <w:lang w:val="en-US"/>
              </w:rPr>
              <w:t>C</w:t>
            </w:r>
            <w:r w:rsidRPr="0002052A">
              <w:rPr>
                <w:b/>
                <w:bCs/>
                <w:i/>
                <w:iCs/>
                <w:sz w:val="18"/>
                <w:szCs w:val="18"/>
                <w:vertAlign w:val="subscript"/>
                <w:lang w:val="en-US"/>
              </w:rPr>
              <w:t>TL</w:t>
            </w:r>
            <w:r w:rsidRPr="0002052A">
              <w:rPr>
                <w:sz w:val="18"/>
                <w:szCs w:val="18"/>
                <w:lang w:val="en-US"/>
              </w:rPr>
              <w:t xml:space="preserve"> = Guideline value established by the national legislation for the chemical specie </w:t>
            </w:r>
            <w:r w:rsidRPr="0002052A">
              <w:rPr>
                <w:i/>
                <w:iCs/>
                <w:sz w:val="18"/>
                <w:szCs w:val="18"/>
                <w:lang w:val="en-US"/>
              </w:rPr>
              <w:t>j</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or mg L</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7845D678" w14:textId="77777777" w:rsidR="00F7525E" w:rsidRPr="00F7525E" w:rsidRDefault="00F7525E">
            <w:pPr>
              <w:spacing w:line="360" w:lineRule="auto"/>
              <w:jc w:val="center"/>
              <w:rPr>
                <w:rFonts w:eastAsia="Times New Roman"/>
                <w:sz w:val="20"/>
                <w:szCs w:val="20"/>
                <w:lang w:val="en-US" w:eastAsia="pt-BR"/>
              </w:rPr>
            </w:pPr>
            <w:proofErr w:type="spellStart"/>
            <w:r w:rsidRPr="00F7525E">
              <w:rPr>
                <w:rFonts w:eastAsia="Times New Roman"/>
                <w:sz w:val="20"/>
                <w:szCs w:val="20"/>
                <w:lang w:val="en-US" w:eastAsia="pt-BR"/>
              </w:rPr>
              <w:t>Qingjie</w:t>
            </w:r>
            <w:proofErr w:type="spellEnd"/>
            <w:r w:rsidRPr="00F7525E">
              <w:rPr>
                <w:rFonts w:eastAsia="Times New Roman"/>
                <w:sz w:val="20"/>
                <w:szCs w:val="20"/>
                <w:lang w:val="en-US" w:eastAsia="pt-BR"/>
              </w:rPr>
              <w:t xml:space="preserve"> e</w:t>
            </w:r>
            <w:r w:rsidRPr="00F7525E">
              <w:rPr>
                <w:rFonts w:eastAsia="Times New Roman"/>
                <w:sz w:val="20"/>
                <w:szCs w:val="20"/>
                <w:lang w:eastAsia="pt-BR"/>
              </w:rPr>
              <w:t xml:space="preserv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{"citationItems":[{"id":"ITEM-1","itemData":{"DOI":"10.1016/S1002-0705(08)60042-4","ISSN":"10020705","abstract":"Pollution index is a powerful tool for ecological geochemistry assessment. The commonly used pollution indices by heavy metals in soils and sediments were classified as two types of single index and integrated index in an algorithm point of view. Four single indices of contamination factor (or concentration factor), ecological risk factor, enrichment factor, and index of geo-accumulation were illustrated, and the reference values for calculating single indices were distinguished into background levels and threshold pollution values. Eight integrated indices were divided into two groups. One group is suitable for the normal distribution single indices including the sum, average, weighted average, vector modulus, and Nemerow pollution indices, and the other for log-normal distribution including the product, root of product, and weighted power product pollution indices. Using background levels as reference values, five contamination classes were divided, and the terminologies are suggested for the single and integrated indices to unify the assessment results. Software of EGAPI was developed in a single document interface to calculate the four single and eight integrated indices by heavy metals to assess the quality of soil and sediment ecological geochemistry. Pollution indices by heavy metals of Cu, Pb, and Zn in soils in parks of Beijing were calculated using EGAPI software, and these five contamination classes and terminologies suggested in this study were evaluated and used. Results of integrated indices of Cu, Pb, and Zn in soils indicated that the soil qualities are unpolluted as a whole and varied from low polluted to unpolluted status from the center to the outskirts of Beijing City. © 2008 China University of Geosciences.","author":[{"dropping-particle":"","family":"Qingjie","given":"G.","non-dropping-particle":"","parse-names":false,"suffix":""},{"dropping-particle":"","family":"Jun","given":"D.","non-dropping-particle":"","parse-names":false,"suffix":""},{"dropping-particle":"","family":"Yunchuan","given":"X.","non-dropping-particle":"","parse-names":false,"suffix":""},{"dropping-particle":"","family":"Qingfei","given":"W.","non-dropping-particle":"","parse-names":false,"suffix":""},{"dropping-particle":"","family":"Liqiang","given":"Y.","non-dropping-particle":"","parse-names":false,"suffix":""}],"container-title":"Journal of China University of Geosciences","id":"ITEM-1","issue":"3","issued":{"date-parts":[["2008","6"]]},"page":"230-241","title":"Calculating Pollution Indices by Heavy Metals in Ecological Geochemistry Assessment and a Case Study in Parks of Beijing","type":"article-journal","volume":"19"},"suppress-author":1,"uris":["http://www.mendeley.com/documents/?uuid=7853c77a-c9d9-42f5-b3cb-16d1b2655ce5"]}],"mendeley":{"formattedCitation":"(2008)","plainTextFormattedCitation":"(2008)","previouslyFormattedCitation":"(2008)"},"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(2008)</w:t>
            </w:r>
            <w:r w:rsidRPr="00F7525E">
              <w:rPr>
                <w:rFonts w:eastAsia="Times New Roman"/>
                <w:sz w:val="20"/>
                <w:szCs w:val="20"/>
                <w:lang w:val="en-US" w:eastAsia="pt-BR"/>
              </w:rPr>
              <w:fldChar w:fldCharType="end"/>
            </w:r>
          </w:p>
        </w:tc>
      </w:tr>
      <w:tr w:rsidR="001F3EFE" w:rsidRPr="00456905" w14:paraId="531A27E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E3DB34A" w14:textId="55D00374" w:rsidR="001F3EFE" w:rsidRPr="00F7525E" w:rsidRDefault="001F3EFE">
            <w:pPr>
              <w:spacing w:line="360" w:lineRule="auto"/>
              <w:jc w:val="center"/>
              <w:rPr>
                <w:sz w:val="20"/>
                <w:szCs w:val="20"/>
                <w:lang w:val="en-US"/>
              </w:rPr>
            </w:pPr>
            <w:r>
              <w:rPr>
                <w:rStyle w:val="tlid-translation"/>
                <w:sz w:val="20"/>
                <w:szCs w:val="20"/>
                <w:lang w:val="en-US"/>
              </w:rPr>
              <w:t>P</w:t>
            </w:r>
            <w:r w:rsidRPr="001F3EFE">
              <w:rPr>
                <w:rStyle w:val="tlid-translation"/>
                <w:sz w:val="20"/>
                <w:szCs w:val="20"/>
                <w:lang w:val="en-US"/>
              </w:rPr>
              <w:t>otential ecological risk index</w:t>
            </w:r>
          </w:p>
        </w:tc>
        <w:tc>
          <w:tcPr>
            <w:tcW w:w="6095" w:type="dxa"/>
            <w:tcBorders>
              <w:top w:val="single" w:sz="4" w:space="0" w:color="auto"/>
              <w:left w:val="nil"/>
              <w:bottom w:val="single" w:sz="4" w:space="0" w:color="auto"/>
              <w:right w:val="nil"/>
            </w:tcBorders>
            <w:vAlign w:val="center"/>
          </w:tcPr>
          <w:p w14:paraId="4013DF38" w14:textId="58E58A3F" w:rsidR="001F3EFE" w:rsidRPr="0002052A" w:rsidRDefault="00A10B4C">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PERI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r</m:t>
                        </m:r>
                      </m:sub>
                      <m:sup>
                        <m:r>
                          <w:rPr>
                            <w:rFonts w:ascii="Cambria Math" w:hAnsi="Cambria Math"/>
                            <w:sz w:val="18"/>
                            <w:szCs w:val="18"/>
                          </w:rPr>
                          <m:t>j</m:t>
                        </m:r>
                      </m:sup>
                    </m:sSubSup>
                  </m:e>
                </m:nary>
                <m:r>
                  <w:rPr>
                    <w:rFonts w:ascii="Cambria Math" w:eastAsiaTheme="minorEastAsia"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eastAsiaTheme="minorEastAsia" w:hAnsi="Cambria Math"/>
                    <w:sz w:val="18"/>
                    <w:szCs w:val="18"/>
                    <w:lang w:val="en-US"/>
                  </w:rPr>
                  <m:t>(t)         (46)</m:t>
                </m:r>
              </m:oMath>
            </m:oMathPara>
          </w:p>
        </w:tc>
        <w:tc>
          <w:tcPr>
            <w:tcW w:w="5499" w:type="dxa"/>
            <w:tcBorders>
              <w:top w:val="single" w:sz="4" w:space="0" w:color="auto"/>
              <w:left w:val="nil"/>
              <w:bottom w:val="single" w:sz="4" w:space="0" w:color="auto"/>
              <w:right w:val="nil"/>
            </w:tcBorders>
            <w:vAlign w:val="center"/>
          </w:tcPr>
          <w:p w14:paraId="5567502B" w14:textId="1C8CF749" w:rsidR="001F3EFE" w:rsidRPr="00EE7CCA" w:rsidRDefault="001F3EFE" w:rsidP="00EE7CCA">
            <w:pPr>
              <w:spacing w:line="276" w:lineRule="auto"/>
              <w:ind w:left="425" w:hanging="425"/>
              <w:jc w:val="center"/>
              <w:rPr>
                <w:sz w:val="18"/>
                <w:szCs w:val="18"/>
                <w:lang w:val="en-US"/>
              </w:rPr>
            </w:pPr>
            <w:r w:rsidRPr="00DF30B8">
              <w:rPr>
                <w:b/>
                <w:bCs/>
                <w:i/>
                <w:iCs/>
                <w:sz w:val="18"/>
                <w:szCs w:val="18"/>
                <w:lang w:val="en-US"/>
              </w:rPr>
              <w:t>T</w:t>
            </w:r>
            <w:r w:rsidRPr="00DF30B8">
              <w:rPr>
                <w:b/>
                <w:bCs/>
                <w:i/>
                <w:iCs/>
                <w:sz w:val="18"/>
                <w:szCs w:val="18"/>
                <w:vertAlign w:val="subscript"/>
                <w:lang w:val="en-US"/>
              </w:rPr>
              <w:t>r</w:t>
            </w:r>
            <w:r w:rsidRPr="001F3EFE">
              <w:rPr>
                <w:i/>
                <w:iCs/>
                <w:sz w:val="18"/>
                <w:szCs w:val="18"/>
                <w:lang w:val="en-US"/>
              </w:rPr>
              <w:t xml:space="preserve"> </w:t>
            </w:r>
            <w:r w:rsidRPr="001F3EFE">
              <w:rPr>
                <w:sz w:val="18"/>
                <w:szCs w:val="18"/>
                <w:lang w:val="en-US"/>
              </w:rPr>
              <w:t>– Toxic response factor</w:t>
            </w:r>
            <w:r>
              <w:rPr>
                <w:sz w:val="18"/>
                <w:szCs w:val="18"/>
                <w:lang w:val="en-US"/>
              </w:rPr>
              <w:t xml:space="preserve"> of</w:t>
            </w:r>
            <w:r w:rsidRPr="0002052A">
              <w:rPr>
                <w:sz w:val="18"/>
                <w:szCs w:val="18"/>
                <w:lang w:val="en-US"/>
              </w:rPr>
              <w:t xml:space="preserve"> the chemical specie </w:t>
            </w:r>
            <w:r w:rsidRPr="0002052A">
              <w:rPr>
                <w:i/>
                <w:iCs/>
                <w:sz w:val="18"/>
                <w:szCs w:val="18"/>
                <w:lang w:val="en-US"/>
              </w:rPr>
              <w:t>j</w:t>
            </w:r>
            <w:r>
              <w:rPr>
                <w:sz w:val="18"/>
                <w:szCs w:val="18"/>
                <w:lang w:val="en-US"/>
              </w:rPr>
              <w:t>.</w:t>
            </w:r>
          </w:p>
        </w:tc>
        <w:tc>
          <w:tcPr>
            <w:tcW w:w="1539" w:type="dxa"/>
            <w:tcBorders>
              <w:top w:val="single" w:sz="4" w:space="0" w:color="auto"/>
              <w:left w:val="nil"/>
              <w:bottom w:val="single" w:sz="4" w:space="0" w:color="auto"/>
              <w:right w:val="nil"/>
            </w:tcBorders>
            <w:vAlign w:val="center"/>
          </w:tcPr>
          <w:p w14:paraId="777B5FE1" w14:textId="344F5A82" w:rsidR="001F3EFE" w:rsidRPr="00F7525E" w:rsidRDefault="00456905">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proofErr w:type="spellStart"/>
            <w:r w:rsidRPr="00F7525E">
              <w:rPr>
                <w:rFonts w:eastAsia="Times New Roman"/>
                <w:sz w:val="20"/>
                <w:szCs w:val="20"/>
                <w:lang w:eastAsia="pt-BR"/>
              </w:rPr>
              <w:t>menike</w:t>
            </w:r>
            <w:proofErr w:type="spellEnd"/>
            <w:r w:rsidRPr="00F7525E">
              <w:rPr>
                <w:rFonts w:eastAsia="Times New Roman"/>
                <w:sz w:val="20"/>
                <w:szCs w:val="20"/>
                <w:lang w:eastAsia="pt-BR"/>
              </w:rPr>
              <w:t xml:space="preserv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4A5350" w:rsidRPr="00456905" w14:paraId="6060EDE3"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70969AF9" w14:textId="2888F08C" w:rsidR="004A5350" w:rsidRDefault="004A5350" w:rsidP="004A5350">
            <w:pPr>
              <w:spacing w:line="360" w:lineRule="auto"/>
              <w:jc w:val="center"/>
              <w:rPr>
                <w:rStyle w:val="tlid-translation"/>
                <w:sz w:val="20"/>
                <w:szCs w:val="20"/>
                <w:lang w:val="en-US"/>
              </w:rPr>
            </w:pPr>
            <w:r w:rsidRPr="00F7525E">
              <w:rPr>
                <w:sz w:val="20"/>
                <w:szCs w:val="20"/>
                <w:lang w:val="en-US"/>
              </w:rPr>
              <w:t xml:space="preserve">Nemerov pollution index </w:t>
            </w:r>
          </w:p>
        </w:tc>
        <w:tc>
          <w:tcPr>
            <w:tcW w:w="6095" w:type="dxa"/>
            <w:tcBorders>
              <w:top w:val="single" w:sz="4" w:space="0" w:color="auto"/>
              <w:left w:val="nil"/>
              <w:bottom w:val="single" w:sz="4" w:space="0" w:color="auto"/>
              <w:right w:val="nil"/>
            </w:tcBorders>
            <w:vAlign w:val="center"/>
          </w:tcPr>
          <w:p w14:paraId="5CC4262F" w14:textId="445259AF" w:rsidR="004A5350" w:rsidRPr="001F3EFE" w:rsidRDefault="00A10B4C" w:rsidP="004A535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Nem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PI</m:t>
                                    </m:r>
                                  </m:e>
                                  <m:sub>
                                    <m:r>
                                      <w:rPr>
                                        <w:rFonts w:ascii="Cambria Math" w:hAnsi="Cambria Math"/>
                                        <w:sz w:val="18"/>
                                        <w:szCs w:val="18"/>
                                        <w:lang w:val="en-US"/>
                                      </w:rPr>
                                      <m:t>m</m:t>
                                    </m:r>
                                  </m:sub>
                                </m:sSub>
                                <m:r>
                                  <w:rPr>
                                    <w:rFonts w:ascii="Cambria Math" w:hAnsi="Cambria Math"/>
                                    <w:sz w:val="18"/>
                                    <w:szCs w:val="18"/>
                                    <w:lang w:val="en-US"/>
                                  </w:rPr>
                                  <m:t xml:space="preserve"> (t)</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PI</m:t>
                                </m:r>
                              </m:e>
                              <m:sub>
                                <m:r>
                                  <w:rPr>
                                    <w:rFonts w:ascii="Cambria Math" w:hAnsi="Cambria Math"/>
                                    <w:sz w:val="18"/>
                                    <w:szCs w:val="18"/>
                                    <w:lang w:val="en-US"/>
                                  </w:rPr>
                                  <m:t>m</m:t>
                                </m:r>
                              </m:sub>
                              <m:sup>
                                <m:r>
                                  <w:rPr>
                                    <w:rFonts w:ascii="Cambria Math" w:hAnsi="Cambria Math"/>
                                    <w:sz w:val="18"/>
                                    <w:szCs w:val="18"/>
                                    <w:lang w:val="en-US"/>
                                  </w:rPr>
                                  <m:t>max</m:t>
                                </m:r>
                              </m:sup>
                            </m:sSubSup>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e>
                          <m:sup>
                            <m:r>
                              <w:rPr>
                                <w:rFonts w:ascii="Cambria Math" w:hAnsi="Cambria Math"/>
                                <w:sz w:val="18"/>
                                <w:szCs w:val="18"/>
                                <w:lang w:val="en-US"/>
                              </w:rPr>
                              <m:t>2</m:t>
                            </m:r>
                          </m:sup>
                        </m:sSup>
                      </m:num>
                      <m:den>
                        <m:r>
                          <w:rPr>
                            <w:rFonts w:ascii="Cambria Math" w:hAnsi="Cambria Math"/>
                            <w:sz w:val="18"/>
                            <w:szCs w:val="18"/>
                            <w:lang w:val="en-US"/>
                          </w:rPr>
                          <m:t>2</m:t>
                        </m:r>
                      </m:den>
                    </m:f>
                  </m:e>
                </m:rad>
                <m:r>
                  <w:rPr>
                    <w:rFonts w:ascii="Cambria Math" w:eastAsiaTheme="minorEastAsia" w:hAnsi="Cambria Math"/>
                    <w:sz w:val="18"/>
                    <w:szCs w:val="18"/>
                    <w:lang w:val="en-US"/>
                  </w:rPr>
                  <m:t xml:space="preserve">         (47)</m:t>
                </m:r>
              </m:oMath>
            </m:oMathPara>
          </w:p>
        </w:tc>
        <w:tc>
          <w:tcPr>
            <w:tcW w:w="5499" w:type="dxa"/>
            <w:tcBorders>
              <w:top w:val="single" w:sz="4" w:space="0" w:color="auto"/>
              <w:left w:val="nil"/>
              <w:bottom w:val="single" w:sz="4" w:space="0" w:color="auto"/>
              <w:right w:val="nil"/>
            </w:tcBorders>
            <w:vAlign w:val="center"/>
          </w:tcPr>
          <w:p w14:paraId="6BF9D048" w14:textId="784ABC72" w:rsidR="004A5350" w:rsidRPr="001F3EFE" w:rsidRDefault="004A5350" w:rsidP="004A5350">
            <w:pPr>
              <w:spacing w:line="276" w:lineRule="auto"/>
              <w:ind w:left="425" w:hanging="425"/>
              <w:jc w:val="center"/>
              <w:rPr>
                <w:i/>
                <w:iCs/>
                <w:sz w:val="18"/>
                <w:szCs w:val="18"/>
                <w:lang w:val="en-US"/>
              </w:rPr>
            </w:pPr>
            <w:r w:rsidRPr="0002052A">
              <w:rPr>
                <w:rFonts w:eastAsiaTheme="minorEastAsia"/>
                <w:b/>
                <w:bCs/>
                <w:i/>
                <w:sz w:val="18"/>
                <w:szCs w:val="18"/>
                <w:lang w:val="en-US"/>
              </w:rPr>
              <w:t>‹</w:t>
            </w:r>
            <w:proofErr w:type="spellStart"/>
            <w:r w:rsidRPr="0002052A">
              <w:rPr>
                <w:rFonts w:eastAsiaTheme="minorEastAsia"/>
                <w:b/>
                <w:bCs/>
                <w:i/>
                <w:sz w:val="18"/>
                <w:szCs w:val="18"/>
                <w:lang w:val="en-US"/>
              </w:rPr>
              <w:t>PI</w:t>
            </w:r>
            <w:r w:rsidRPr="0002052A">
              <w:rPr>
                <w:rFonts w:eastAsiaTheme="minorEastAsia"/>
                <w:b/>
                <w:bCs/>
                <w:i/>
                <w:sz w:val="18"/>
                <w:szCs w:val="18"/>
                <w:vertAlign w:val="subscript"/>
                <w:lang w:val="en-US"/>
              </w:rPr>
              <w:t>m</w:t>
            </w:r>
            <w:proofErr w:type="spellEnd"/>
            <w:r w:rsidRPr="0002052A">
              <w:rPr>
                <w:sz w:val="18"/>
                <w:szCs w:val="18"/>
                <w:lang w:val="en-US"/>
              </w:rPr>
              <w:t xml:space="preserve"> </w:t>
            </w:r>
            <w:r w:rsidRPr="0002052A">
              <w:rPr>
                <w:b/>
                <w:bCs/>
                <w:i/>
                <w:iCs/>
                <w:sz w:val="18"/>
                <w:szCs w:val="18"/>
                <w:lang w:val="en-US"/>
              </w:rPr>
              <w:t>(t)</w:t>
            </w:r>
            <w:r w:rsidRPr="0002052A">
              <w:rPr>
                <w:rFonts w:eastAsiaTheme="minorEastAsia"/>
                <w:b/>
                <w:bCs/>
                <w:i/>
                <w:sz w:val="18"/>
                <w:szCs w:val="18"/>
                <w:lang w:val="en-US"/>
              </w:rPr>
              <w:t>›</w:t>
            </w:r>
            <w:r w:rsidRPr="0002052A">
              <w:rPr>
                <w:sz w:val="18"/>
                <w:szCs w:val="18"/>
                <w:lang w:val="en-US"/>
              </w:rPr>
              <w:t xml:space="preserve"> = Average values of the single pollution index at time </w:t>
            </w:r>
            <w:r w:rsidRPr="0002052A">
              <w:rPr>
                <w:i/>
                <w:iCs/>
                <w:sz w:val="18"/>
                <w:szCs w:val="18"/>
                <w:lang w:val="en-US"/>
              </w:rPr>
              <w:t>t</w:t>
            </w:r>
            <w:r w:rsidRPr="0002052A">
              <w:rPr>
                <w:sz w:val="18"/>
                <w:szCs w:val="18"/>
                <w:lang w:val="en-US"/>
              </w:rPr>
              <w:t xml:space="preserve">; </w:t>
            </w:r>
            <w:proofErr w:type="spellStart"/>
            <w:r w:rsidRPr="0002052A">
              <w:rPr>
                <w:rFonts w:eastAsiaTheme="minorEastAsia"/>
                <w:b/>
                <w:bCs/>
                <w:i/>
                <w:sz w:val="18"/>
                <w:szCs w:val="18"/>
                <w:lang w:val="en-US"/>
              </w:rPr>
              <w:t>PI</w:t>
            </w:r>
            <w:r w:rsidRPr="0002052A">
              <w:rPr>
                <w:rFonts w:eastAsiaTheme="minorEastAsia"/>
                <w:b/>
                <w:bCs/>
                <w:i/>
                <w:sz w:val="18"/>
                <w:szCs w:val="18"/>
                <w:vertAlign w:val="subscript"/>
                <w:lang w:val="en-US"/>
              </w:rPr>
              <w:t>m</w:t>
            </w:r>
            <w:proofErr w:type="spellEnd"/>
            <w:r w:rsidRPr="0002052A">
              <w:rPr>
                <w:rFonts w:eastAsiaTheme="minorEastAsia"/>
                <w:b/>
                <w:bCs/>
                <w:i/>
                <w:sz w:val="18"/>
                <w:szCs w:val="18"/>
                <w:vertAlign w:val="subscript"/>
                <w:lang w:val="en-US"/>
              </w:rPr>
              <w:t xml:space="preserve"> </w:t>
            </w:r>
            <w:r w:rsidRPr="0002052A">
              <w:rPr>
                <w:rFonts w:eastAsiaTheme="minorEastAsia"/>
                <w:b/>
                <w:bCs/>
                <w:i/>
                <w:sz w:val="18"/>
                <w:szCs w:val="18"/>
                <w:vertAlign w:val="superscript"/>
                <w:lang w:val="en-US"/>
              </w:rPr>
              <w:t>max</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Maximum obtained value of the single pollution index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9B859FB" w14:textId="662C6596" w:rsidR="004A5350" w:rsidRPr="00F7525E" w:rsidRDefault="004A5350" w:rsidP="004A5350">
            <w:pPr>
              <w:spacing w:line="360" w:lineRule="auto"/>
              <w:jc w:val="center"/>
              <w:rPr>
                <w:rFonts w:eastAsia="Times New Roman"/>
                <w:sz w:val="20"/>
                <w:szCs w:val="20"/>
                <w:lang w:val="en-US" w:eastAsia="pt-BR"/>
              </w:rPr>
            </w:pPr>
            <w:proofErr w:type="spellStart"/>
            <w:r w:rsidRPr="00F7525E">
              <w:rPr>
                <w:rStyle w:val="tlid-translation"/>
                <w:color w:val="000000" w:themeColor="text1"/>
                <w:sz w:val="20"/>
                <w:szCs w:val="20"/>
                <w:lang w:val="en-US"/>
              </w:rPr>
              <w:t>Keshavarzi</w:t>
            </w:r>
            <w:proofErr w:type="spellEnd"/>
            <w:r w:rsidRPr="00F7525E">
              <w:rPr>
                <w:rStyle w:val="tlid-translation"/>
                <w:color w:val="000000" w:themeColor="text1"/>
                <w:sz w:val="20"/>
                <w:szCs w:val="20"/>
                <w:lang w:val="en-US"/>
              </w:rPr>
              <w:t xml:space="preserve">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4A5350" w:rsidRPr="00456905" w14:paraId="1BCFB22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3528856B" w14:textId="2A2D9F9D" w:rsidR="004A5350" w:rsidRDefault="004A5350" w:rsidP="004A5350">
            <w:pPr>
              <w:spacing w:line="360" w:lineRule="auto"/>
              <w:jc w:val="center"/>
              <w:rPr>
                <w:rStyle w:val="tlid-translation"/>
                <w:sz w:val="20"/>
                <w:szCs w:val="20"/>
                <w:lang w:val="en-US"/>
              </w:rPr>
            </w:pPr>
            <w:r w:rsidRPr="00F7525E">
              <w:rPr>
                <w:sz w:val="20"/>
                <w:szCs w:val="20"/>
                <w:lang w:val="en-US"/>
              </w:rPr>
              <w:t>Mean probable effect level quotient</w:t>
            </w:r>
          </w:p>
        </w:tc>
        <w:tc>
          <w:tcPr>
            <w:tcW w:w="6095" w:type="dxa"/>
            <w:tcBorders>
              <w:top w:val="single" w:sz="4" w:space="0" w:color="auto"/>
              <w:left w:val="nil"/>
              <w:bottom w:val="single" w:sz="4" w:space="0" w:color="auto"/>
              <w:right w:val="nil"/>
            </w:tcBorders>
            <w:vAlign w:val="center"/>
          </w:tcPr>
          <w:p w14:paraId="6E932090" w14:textId="6ADF553B"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m-PEL-q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48</m:t>
                    </m:r>
                  </m:e>
                </m:d>
              </m:oMath>
            </m:oMathPara>
          </w:p>
        </w:tc>
        <w:tc>
          <w:tcPr>
            <w:tcW w:w="5499" w:type="dxa"/>
            <w:tcBorders>
              <w:top w:val="single" w:sz="4" w:space="0" w:color="auto"/>
              <w:left w:val="nil"/>
              <w:bottom w:val="single" w:sz="4" w:space="0" w:color="auto"/>
              <w:right w:val="nil"/>
            </w:tcBorders>
            <w:vAlign w:val="center"/>
          </w:tcPr>
          <w:p w14:paraId="1D552FD6" w14:textId="46E1F7C3"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PEL</w:t>
            </w:r>
            <w:r w:rsidRPr="0002052A">
              <w:rPr>
                <w:sz w:val="18"/>
                <w:szCs w:val="18"/>
                <w:lang w:val="en-US"/>
              </w:rPr>
              <w:t xml:space="preserve"> = Probable effect level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818D5D1" w14:textId="65EADF66" w:rsidR="004A5350" w:rsidRPr="00F7525E" w:rsidRDefault="004A5350" w:rsidP="004A5350">
            <w:pPr>
              <w:spacing w:line="360" w:lineRule="auto"/>
              <w:jc w:val="center"/>
              <w:rPr>
                <w:rFonts w:eastAsia="Times New Roman"/>
                <w:sz w:val="20"/>
                <w:szCs w:val="20"/>
                <w:lang w:val="en-US" w:eastAsia="pt-BR"/>
              </w:rPr>
            </w:pPr>
            <w:r w:rsidRPr="00F7525E">
              <w:rPr>
                <w:rStyle w:val="tlid-translation"/>
                <w:sz w:val="20"/>
                <w:szCs w:val="20"/>
                <w:lang w:val="en"/>
              </w:rPr>
              <w:t xml:space="preserve">Fairey et al.  </w:t>
            </w:r>
            <w:r w:rsidRPr="00F7525E">
              <w:rPr>
                <w:rStyle w:val="tlid-translation"/>
                <w:sz w:val="20"/>
                <w:szCs w:val="20"/>
                <w:lang w:val="en"/>
              </w:rPr>
              <w:fldChar w:fldCharType="begin" w:fldLock="1"/>
            </w:r>
            <w:r w:rsidRPr="00F7525E">
              <w:rPr>
                <w:rStyle w:val="tlid-translation"/>
                <w:sz w:val="20"/>
                <w:szCs w:val="20"/>
                <w:lang w:val="en"/>
              </w:rPr>
              <w:instrText>ADDIN CSL_CITATION {"citationItems":[{"id":"ITEM-1","itemData":{"DOI":"10.1002/etc.5620201021","ISSN":"07307268","abstract":"Mean sediment quality guideline quotients (mean SQGQs) were developed to represent the presence of chemical mixtures in sediments and are derived by normalizing a suite of chemicals to their respective numerical sediment quality guidelines (SQGs). Mean SQGQs incorporate the number of SQGs exceeded and the degree to which they are exceeded and are used for comparison with observed biological effects in the laboratory or field. The current research makes it clear, however, that the number and type of SQGs used in the derivation of these mean quotients can influence the ability of mean SQGQ values to correctly predict acute toxicity to marine amphipods in laboratory toxicity tests. To determine the optimal predictive ability of mean SQGQs, a total of 18 different chemical combinations were developed and compared. The ability of each set of mean SQGQs to correctly predict the presence and absence of acute toxicity to amphipods was determined using three independent databases (n = 605, 2753, 226). Calculated mean SQGQ values for all chemical combinations ranged from 0.002 to 100. The mean SQGQ that was most predictive of acute toxicity to amphipods is calculated as SQGQ1 = ((∑ ([cadmium]/4.21)([copper]/270)([lead]/112.18)([silver]/1.77) ([zinc]/410)([total chlordane]/6)([dieldrin]/8)([total PAHoc]/1, 800) ([total PCB]/400))/9). Both the incidence and magnitude of acute toxicity to amphipods increased with increasing SQGQ1 values. To provide better comparability between regions and national surveys, SQGQ1 is recommended to serve as the standard method for combination of chemicals and respective SQGs when calculating mean SQGQs.","author":[{"dropping-particle":"","family":"Fairey","given":"Russell","non-dropping-particle":"","parse-names":false,"suffix":""},{"dropping-particle":"","family":"Long","given":"Edward R.","non-dropping-particle":"","parse-names":false,"suffix":""},{"dropping-particle":"","family":"Roberts","given":"Cassandra A.","non-dropping-particle":"","parse-names":false,"suffix":""},{"dropping-particle":"","family":"Anderson","given":"Brian S.","non-dropping-particle":"","parse-names":false,"suffix":""},{"dropping-particle":"","family":"Phillips","given":"Bryn M.","non-dropping-particle":"","parse-names":false,"suffix":""},{"dropping-particle":"","family":"Hunt","given":"John W.","non-dropping-particle":"","parse-names":false,"suffix":""},{"dropping-particle":"","family":"Puckett","given":"Howard R.","non-dropping-particle":"","parse-names":false,"suffix":""},{"dropping-particle":"","family":"Wilson","given":"Craig J.","non-dropping-particle":"","parse-names":false,"suffix":""}],"container-title":"Environmental Toxicology and Chemistry","id":"ITEM-1","issue":"10","issued":{"date-parts":[["2001","10"]]},"page":"2276-2286","title":"An evaluation of methods for calculating mean sediment quality guideline quotients as indicators of contamination and acute toxicity to amphipods by chemical mixtures","type":"article-journal","volume":"20"},"suppress-author":1,"uris":["http://www.mendeley.com/documents/?uuid=118405a4-1fc8-4da5-b0c3-d464c243c40d"]}],"mendeley":{"formattedCitation":"(2001)","plainTextFormattedCitation":"(2001)","previouslyFormattedCitation":"(2001)"},"properties":{"noteIndex":0},"schema":"https://github.com/citation-style-language/schema/raw/master/csl-citation.json"}</w:instrText>
            </w:r>
            <w:r w:rsidRPr="00F7525E">
              <w:rPr>
                <w:rStyle w:val="tlid-translation"/>
                <w:sz w:val="20"/>
                <w:szCs w:val="20"/>
                <w:lang w:val="en"/>
              </w:rPr>
              <w:fldChar w:fldCharType="separate"/>
            </w:r>
            <w:r w:rsidRPr="00F7525E">
              <w:rPr>
                <w:rStyle w:val="tlid-translation"/>
                <w:noProof/>
                <w:sz w:val="20"/>
                <w:szCs w:val="20"/>
                <w:lang w:val="en"/>
              </w:rPr>
              <w:t>(2001)</w:t>
            </w:r>
            <w:r w:rsidRPr="00F7525E">
              <w:rPr>
                <w:rStyle w:val="tlid-translation"/>
                <w:sz w:val="20"/>
                <w:szCs w:val="20"/>
                <w:lang w:val="en"/>
              </w:rPr>
              <w:fldChar w:fldCharType="end"/>
            </w:r>
          </w:p>
        </w:tc>
      </w:tr>
      <w:tr w:rsidR="004A5350" w:rsidRPr="00C47575" w14:paraId="26E6019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86DA0C6" w14:textId="7E892F42" w:rsidR="004A5350" w:rsidRDefault="004A5350" w:rsidP="004A5350">
            <w:pPr>
              <w:spacing w:line="360" w:lineRule="auto"/>
              <w:jc w:val="center"/>
              <w:rPr>
                <w:rStyle w:val="tlid-translation"/>
                <w:sz w:val="20"/>
                <w:szCs w:val="20"/>
                <w:lang w:val="en-US"/>
              </w:rPr>
            </w:pPr>
            <w:r w:rsidRPr="00F7525E">
              <w:rPr>
                <w:sz w:val="20"/>
                <w:szCs w:val="20"/>
                <w:lang w:val="en-US"/>
              </w:rPr>
              <w:t>Mean effects range-median quotient</w:t>
            </w:r>
          </w:p>
        </w:tc>
        <w:tc>
          <w:tcPr>
            <w:tcW w:w="6095" w:type="dxa"/>
            <w:tcBorders>
              <w:top w:val="single" w:sz="4" w:space="0" w:color="auto"/>
              <w:left w:val="nil"/>
              <w:bottom w:val="single" w:sz="4" w:space="0" w:color="auto"/>
              <w:right w:val="nil"/>
            </w:tcBorders>
            <w:vAlign w:val="center"/>
          </w:tcPr>
          <w:p w14:paraId="40BD9476" w14:textId="40782DBA"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m:t>
                </m:r>
                <m:r>
                  <w:rPr>
                    <w:rFonts w:ascii="Cambria Math" w:hAnsi="Cambria Math"/>
                    <w:sz w:val="18"/>
                    <w:szCs w:val="18"/>
                    <w:lang w:val="en-US"/>
                  </w:rPr>
                  <m:t>-</m:t>
                </m:r>
                <m:r>
                  <w:rPr>
                    <w:rFonts w:ascii="Cambria Math" w:hAnsi="Cambria Math"/>
                    <w:sz w:val="18"/>
                    <w:szCs w:val="18"/>
                  </w:rPr>
                  <m:t>ERM</m:t>
                </m:r>
                <m:r>
                  <w:rPr>
                    <w:rFonts w:ascii="Cambria Math" w:hAnsi="Cambria Math"/>
                    <w:sz w:val="18"/>
                    <w:szCs w:val="18"/>
                    <w:lang w:val="en-US"/>
                  </w:rPr>
                  <m:t>-</m:t>
                </m:r>
                <m:r>
                  <w:rPr>
                    <w:rFonts w:ascii="Cambria Math" w:hAnsi="Cambria Math"/>
                    <w:sz w:val="18"/>
                    <w:szCs w:val="18"/>
                  </w:rPr>
                  <m:t>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ERM</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49</m:t>
                    </m:r>
                  </m:e>
                </m:d>
              </m:oMath>
            </m:oMathPara>
          </w:p>
        </w:tc>
        <w:tc>
          <w:tcPr>
            <w:tcW w:w="5499" w:type="dxa"/>
            <w:tcBorders>
              <w:top w:val="single" w:sz="4" w:space="0" w:color="auto"/>
              <w:left w:val="nil"/>
              <w:bottom w:val="single" w:sz="4" w:space="0" w:color="auto"/>
              <w:right w:val="nil"/>
            </w:tcBorders>
            <w:vAlign w:val="center"/>
          </w:tcPr>
          <w:p w14:paraId="43F5461D" w14:textId="07BA1316"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ERM</w:t>
            </w:r>
            <w:r w:rsidRPr="0002052A">
              <w:rPr>
                <w:sz w:val="18"/>
                <w:szCs w:val="18"/>
                <w:lang w:val="en-US"/>
              </w:rPr>
              <w:t xml:space="preserve"> = Effects range-median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338F98CF" w14:textId="087AEA5E" w:rsidR="004A5350" w:rsidRPr="00F7525E" w:rsidRDefault="004A5350" w:rsidP="004A5350">
            <w:pPr>
              <w:spacing w:line="360" w:lineRule="auto"/>
              <w:jc w:val="center"/>
              <w:rPr>
                <w:rFonts w:eastAsia="Times New Roman"/>
                <w:sz w:val="20"/>
                <w:szCs w:val="20"/>
                <w:lang w:val="en-US" w:eastAsia="pt-BR"/>
              </w:rPr>
            </w:pPr>
            <w:r w:rsidRPr="00F7525E">
              <w:rPr>
                <w:rStyle w:val="tlid-translation"/>
                <w:sz w:val="20"/>
                <w:szCs w:val="20"/>
                <w:lang w:val="en"/>
              </w:rPr>
              <w:t xml:space="preserve">Fairey et al.  </w:t>
            </w:r>
            <w:r w:rsidRPr="00F7525E">
              <w:rPr>
                <w:rStyle w:val="tlid-translation"/>
                <w:sz w:val="20"/>
                <w:szCs w:val="20"/>
                <w:lang w:val="en"/>
              </w:rPr>
              <w:fldChar w:fldCharType="begin" w:fldLock="1"/>
            </w:r>
            <w:r w:rsidRPr="00F7525E">
              <w:rPr>
                <w:rStyle w:val="tlid-translation"/>
                <w:sz w:val="20"/>
                <w:szCs w:val="20"/>
                <w:lang w:val="en"/>
              </w:rPr>
              <w:instrText>ADDIN CSL_CITATION {"citationItems":[{"id":"ITEM-1","itemData":{"DOI":"10.1002/etc.5620201021","ISSN":"07307268","abstract":"Mean sediment quality guideline quotients (mean SQGQs) were developed to represent the presence of chemical mixtures in sediments and are derived by normalizing a suite of chemicals to their respective numerical sediment quality guidelines (SQGs). Mean SQGQs incorporate the number of SQGs exceeded and the degree to which they are exceeded and are used for comparison with observed biological effects in the laboratory or field. The current research makes it clear, however, that the number and type of SQGs used in the derivation of these mean quotients can influence the ability of mean SQGQ values to correctly predict acute toxicity to marine amphipods in laboratory toxicity tests. To determine the optimal predictive ability of mean SQGQs, a total of 18 different chemical combinations were developed and compared. The ability of each set of mean SQGQs to correctly predict the presence and absence of acute toxicity to amphipods was determined using three independent databases (n = 605, 2753, 226). Calculated mean SQGQ values for all chemical combinations ranged from 0.002 to 100. The mean SQGQ that was most predictive of acute toxicity to amphipods is calculated as SQGQ1 = ((∑ ([cadmium]/4.21)([copper]/270)([lead]/112.18)([silver]/1.77) ([zinc]/410)([total chlordane]/6)([dieldrin]/8)([total PAHoc]/1, 800) ([total PCB]/400))/9). Both the incidence and magnitude of acute toxicity to amphipods increased with increasing SQGQ1 values. To provide better comparability between regions and national surveys, SQGQ1 is recommended to serve as the standard method for combination of chemicals and respective SQGs when calculating mean SQGQs.","author":[{"dropping-particle":"","family":"Fairey","given":"Russell","non-dropping-particle":"","parse-names":false,"suffix":""},{"dropping-particle":"","family":"Long","given":"Edward R.","non-dropping-particle":"","parse-names":false,"suffix":""},{"dropping-particle":"","family":"Roberts","given":"Cassandra A.","non-dropping-particle":"","parse-names":false,"suffix":""},{"dropping-particle":"","family":"Anderson","given":"Brian S.","non-dropping-particle":"","parse-names":false,"suffix":""},{"dropping-particle":"","family":"Phillips","given":"Bryn M.","non-dropping-particle":"","parse-names":false,"suffix":""},{"dropping-particle":"","family":"Hunt","given":"John W.","non-dropping-particle":"","parse-names":false,"suffix":""},{"dropping-particle":"","family":"Puckett","given":"Howard R.","non-dropping-particle":"","parse-names":false,"suffix":""},{"dropping-particle":"","family":"Wilson","given":"Craig J.","non-dropping-particle":"","parse-names":false,"suffix":""}],"container-title":"Environmental Toxicology and Chemistry","id":"ITEM-1","issue":"10","issued":{"date-parts":[["2001","10"]]},"page":"2276-2286","title":"An evaluation of methods for calculating mean sediment quality guideline quotients as indicators of contamination and acute toxicity to amphipods by chemical mixtures","type":"article-journal","volume":"20"},"suppress-author":1,"uris":["http://www.mendeley.com/documents/?uuid=118405a4-1fc8-4da5-b0c3-d464c243c40d"]}],"mendeley":{"formattedCitation":"(2001)","plainTextFormattedCitation":"(2001)","previouslyFormattedCitation":"(2001)"},"properties":{"noteIndex":0},"schema":"https://github.com/citation-style-language/schema/raw/master/csl-citation.json"}</w:instrText>
            </w:r>
            <w:r w:rsidRPr="00F7525E">
              <w:rPr>
                <w:rStyle w:val="tlid-translation"/>
                <w:sz w:val="20"/>
                <w:szCs w:val="20"/>
                <w:lang w:val="en"/>
              </w:rPr>
              <w:fldChar w:fldCharType="separate"/>
            </w:r>
            <w:r w:rsidRPr="00F7525E">
              <w:rPr>
                <w:rStyle w:val="tlid-translation"/>
                <w:noProof/>
                <w:sz w:val="20"/>
                <w:szCs w:val="20"/>
                <w:lang w:val="en"/>
              </w:rPr>
              <w:t>(2001)</w:t>
            </w:r>
            <w:r w:rsidRPr="00F7525E">
              <w:rPr>
                <w:rStyle w:val="tlid-translation"/>
                <w:sz w:val="20"/>
                <w:szCs w:val="20"/>
                <w:lang w:val="en"/>
              </w:rPr>
              <w:fldChar w:fldCharType="end"/>
            </w:r>
          </w:p>
        </w:tc>
      </w:tr>
      <w:tr w:rsidR="00F7525E" w:rsidRPr="00F7525E" w14:paraId="349553C5" w14:textId="77777777" w:rsidTr="0089298D">
        <w:trPr>
          <w:trHeight w:val="839"/>
          <w:jc w:val="center"/>
        </w:trPr>
        <w:tc>
          <w:tcPr>
            <w:tcW w:w="2127" w:type="dxa"/>
            <w:tcBorders>
              <w:top w:val="single" w:sz="4" w:space="0" w:color="auto"/>
              <w:left w:val="nil"/>
              <w:bottom w:val="double" w:sz="4" w:space="0" w:color="auto"/>
              <w:right w:val="nil"/>
            </w:tcBorders>
            <w:vAlign w:val="center"/>
            <w:hideMark/>
          </w:tcPr>
          <w:p w14:paraId="0ECE7437" w14:textId="77777777" w:rsidR="00F7525E" w:rsidRPr="00F7525E" w:rsidRDefault="00F7525E">
            <w:pPr>
              <w:spacing w:line="360" w:lineRule="auto"/>
              <w:jc w:val="center"/>
              <w:rPr>
                <w:sz w:val="20"/>
                <w:szCs w:val="20"/>
                <w:lang w:val="en-US"/>
              </w:rPr>
            </w:pPr>
            <w:r w:rsidRPr="00F7525E">
              <w:rPr>
                <w:sz w:val="20"/>
                <w:szCs w:val="20"/>
                <w:lang w:val="en-US"/>
              </w:rPr>
              <w:t>Toxic risk index</w:t>
            </w:r>
          </w:p>
        </w:tc>
        <w:tc>
          <w:tcPr>
            <w:tcW w:w="6095" w:type="dxa"/>
            <w:tcBorders>
              <w:top w:val="single" w:sz="4" w:space="0" w:color="auto"/>
              <w:left w:val="nil"/>
              <w:bottom w:val="double" w:sz="4" w:space="0" w:color="auto"/>
              <w:right w:val="nil"/>
            </w:tcBorders>
            <w:vAlign w:val="center"/>
            <w:hideMark/>
          </w:tcPr>
          <w:p w14:paraId="214D1D2D" w14:textId="3165DEFB" w:rsidR="00F7525E" w:rsidRPr="0002052A" w:rsidRDefault="00F7525E">
            <w:pPr>
              <w:spacing w:line="360" w:lineRule="auto"/>
              <w:jc w:val="center"/>
              <w:rPr>
                <w:rFonts w:eastAsia="Calibri"/>
                <w:sz w:val="18"/>
                <w:szCs w:val="18"/>
                <w:lang w:val="en-US"/>
              </w:rPr>
            </w:pPr>
            <m:oMathPara>
              <m:oMath>
                <m:r>
                  <w:rPr>
                    <w:rFonts w:ascii="Cambria Math" w:hAnsi="Cambria Math"/>
                    <w:sz w:val="18"/>
                    <w:szCs w:val="18"/>
                  </w:rPr>
                  <m:t>TRI</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j=1</m:t>
                    </m:r>
                  </m:sub>
                  <m:sup>
                    <m:r>
                      <w:rPr>
                        <w:rFonts w:ascii="Cambria Math" w:hAnsi="Cambria Math"/>
                        <w:sz w:val="18"/>
                        <w:szCs w:val="18"/>
                        <w:lang w:val="en-US"/>
                      </w:rPr>
                      <m:t>z</m:t>
                    </m:r>
                  </m:sup>
                  <m:e>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r>
                              <w:rPr>
                                <w:rFonts w:ascii="Cambria Math" w:hAnsi="Cambria Math"/>
                                <w:sz w:val="18"/>
                                <w:szCs w:val="18"/>
                                <w:lang w:val="en-US"/>
                              </w:rPr>
                              <m:t>+</m:t>
                            </m:r>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TEL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num>
                          <m:den>
                            <m:r>
                              <w:rPr>
                                <w:rFonts w:ascii="Cambria Math" w:hAnsi="Cambria Math"/>
                                <w:sz w:val="18"/>
                                <w:szCs w:val="18"/>
                                <w:lang w:val="en-US"/>
                              </w:rPr>
                              <m:t>2</m:t>
                            </m:r>
                          </m:den>
                        </m:f>
                      </m:e>
                    </m:rad>
                  </m:e>
                </m:nary>
                <m:r>
                  <w:rPr>
                    <w:rFonts w:ascii="Cambria Math" w:eastAsiaTheme="minorEastAsia" w:hAnsi="Cambria Math"/>
                    <w:sz w:val="18"/>
                    <w:szCs w:val="18"/>
                    <w:lang w:val="en-US"/>
                  </w:rPr>
                  <m:t xml:space="preserve">         (50)</m:t>
                </m:r>
              </m:oMath>
            </m:oMathPara>
          </w:p>
        </w:tc>
        <w:tc>
          <w:tcPr>
            <w:tcW w:w="5499" w:type="dxa"/>
            <w:tcBorders>
              <w:top w:val="single" w:sz="4" w:space="0" w:color="auto"/>
              <w:left w:val="nil"/>
              <w:bottom w:val="double" w:sz="4" w:space="0" w:color="auto"/>
              <w:right w:val="nil"/>
            </w:tcBorders>
            <w:vAlign w:val="center"/>
            <w:hideMark/>
          </w:tcPr>
          <w:p w14:paraId="26650DDB" w14:textId="77777777" w:rsidR="00F7525E" w:rsidRPr="0002052A" w:rsidRDefault="00F7525E">
            <w:pPr>
              <w:spacing w:line="360" w:lineRule="auto"/>
              <w:jc w:val="center"/>
              <w:rPr>
                <w:b/>
                <w:bCs/>
                <w:i/>
                <w:sz w:val="18"/>
                <w:szCs w:val="18"/>
                <w:lang w:val="en-US"/>
              </w:rPr>
            </w:pPr>
            <w:r w:rsidRPr="0002052A">
              <w:rPr>
                <w:b/>
                <w:bCs/>
                <w:i/>
                <w:iCs/>
                <w:sz w:val="18"/>
                <w:szCs w:val="18"/>
                <w:lang w:val="en-US"/>
              </w:rPr>
              <w:t>TEL</w:t>
            </w:r>
            <w:r w:rsidRPr="0002052A">
              <w:rPr>
                <w:sz w:val="18"/>
                <w:szCs w:val="18"/>
                <w:lang w:val="en-US"/>
              </w:rPr>
              <w:t xml:space="preserve"> = Threshold effect limit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0DD1617B" w14:textId="77777777" w:rsidR="00F7525E" w:rsidRPr="00F7525E" w:rsidRDefault="00F7525E">
            <w:pPr>
              <w:spacing w:line="360" w:lineRule="auto"/>
              <w:jc w:val="center"/>
              <w:rPr>
                <w:rFonts w:eastAsia="Times New Roman"/>
                <w:sz w:val="20"/>
                <w:szCs w:val="20"/>
                <w:lang w:val="en-US" w:eastAsia="pt-BR"/>
              </w:rPr>
            </w:pPr>
            <w:proofErr w:type="spellStart"/>
            <w:r w:rsidRPr="00F7525E">
              <w:rPr>
                <w:rFonts w:eastAsia="Times New Roman"/>
                <w:sz w:val="20"/>
                <w:szCs w:val="20"/>
                <w:lang w:val="en-US" w:eastAsia="pt-BR"/>
              </w:rPr>
              <w:t>Emenike</w:t>
            </w:r>
            <w:proofErr w:type="spellEnd"/>
            <w:r w:rsidRPr="00F7525E">
              <w:rPr>
                <w:rFonts w:eastAsia="Times New Roman"/>
                <w:sz w:val="20"/>
                <w:szCs w:val="20"/>
                <w:lang w:val="en-US" w:eastAsia="pt-BR"/>
              </w:rPr>
              <w:t xml:space="preserve"> et al. </w:t>
            </w:r>
            <w:r w:rsidRPr="00F7525E">
              <w:rPr>
                <w:rFonts w:eastAsia="Times New Roman"/>
                <w:sz w:val="20"/>
                <w:szCs w:val="20"/>
                <w:lang w:eastAsia="pt-BR"/>
              </w:rPr>
              <w:fldChar w:fldCharType="begin" w:fldLock="1"/>
            </w:r>
            <w:r w:rsidRPr="00F7525E">
              <w:rPr>
                <w:rFonts w:eastAsia="Times New Roman"/>
                <w:sz w:val="20"/>
                <w:szCs w:val="20"/>
                <w:lang w:val="en-US"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w:instrText>
            </w:r>
            <w:r w:rsidRPr="00C47575">
              <w:rPr>
                <w:rFonts w:eastAsia="Times New Roman"/>
                <w:sz w:val="20"/>
                <w:szCs w:val="20"/>
                <w:lang w:val="en-US" w:eastAsia="pt-BR"/>
              </w:rPr>
              <w:instrText xml:space="preserve">c </w:instrText>
            </w:r>
            <w:r w:rsidRPr="00F7525E">
              <w:rPr>
                <w:rFonts w:eastAsia="Times New Roman"/>
                <w:sz w:val="20"/>
                <w:szCs w:val="20"/>
                <w:lang w:eastAsia="pt-BR"/>
              </w:rPr>
              <w:instrText>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925A9AF"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5FBB8D39" w14:textId="5E1CA8A9" w:rsidR="00F7525E" w:rsidRPr="00F7525E" w:rsidRDefault="004A5350">
            <w:pPr>
              <w:jc w:val="center"/>
              <w:rPr>
                <w:rFonts w:eastAsia="Times New Roman"/>
                <w:sz w:val="20"/>
                <w:szCs w:val="20"/>
                <w:lang w:val="en-US" w:eastAsia="pt-BR"/>
              </w:rPr>
            </w:pPr>
            <w:r w:rsidRPr="00F7525E">
              <w:rPr>
                <w:b/>
                <w:bCs/>
                <w:sz w:val="20"/>
                <w:szCs w:val="20"/>
                <w:lang w:val="en-US"/>
              </w:rPr>
              <w:t>Integrated pollution indices</w:t>
            </w:r>
          </w:p>
        </w:tc>
      </w:tr>
      <w:tr w:rsidR="00F7525E" w:rsidRPr="00F7525E" w14:paraId="45066059" w14:textId="77777777" w:rsidTr="0089298D">
        <w:trPr>
          <w:trHeight w:val="706"/>
          <w:jc w:val="center"/>
        </w:trPr>
        <w:tc>
          <w:tcPr>
            <w:tcW w:w="2127" w:type="dxa"/>
            <w:tcBorders>
              <w:top w:val="double" w:sz="4" w:space="0" w:color="auto"/>
              <w:left w:val="nil"/>
              <w:bottom w:val="double" w:sz="4" w:space="0" w:color="auto"/>
              <w:right w:val="nil"/>
            </w:tcBorders>
            <w:vAlign w:val="center"/>
            <w:hideMark/>
          </w:tcPr>
          <w:p w14:paraId="74EB8094" w14:textId="77777777" w:rsidR="00F7525E" w:rsidRPr="00F7525E" w:rsidRDefault="00F7525E">
            <w:pPr>
              <w:spacing w:line="360" w:lineRule="auto"/>
              <w:jc w:val="center"/>
              <w:rPr>
                <w:sz w:val="20"/>
                <w:szCs w:val="20"/>
                <w:lang w:val="en-US"/>
              </w:rPr>
            </w:pPr>
            <w:r w:rsidRPr="00F7525E">
              <w:rPr>
                <w:sz w:val="20"/>
                <w:szCs w:val="20"/>
                <w:lang w:val="en-US"/>
              </w:rPr>
              <w:t>Mean distribution coefficient Log</w:t>
            </w:r>
          </w:p>
        </w:tc>
        <w:tc>
          <w:tcPr>
            <w:tcW w:w="6095" w:type="dxa"/>
            <w:tcBorders>
              <w:top w:val="double" w:sz="4" w:space="0" w:color="auto"/>
              <w:left w:val="nil"/>
              <w:bottom w:val="double" w:sz="4" w:space="0" w:color="auto"/>
              <w:right w:val="nil"/>
            </w:tcBorders>
            <w:vAlign w:val="center"/>
            <w:hideMark/>
          </w:tcPr>
          <w:p w14:paraId="09B09E16" w14:textId="03E8EEE0" w:rsidR="00F7525E" w:rsidRPr="00F7525E" w:rsidRDefault="00A10B4C">
            <w:pPr>
              <w:spacing w:line="360" w:lineRule="auto"/>
              <w:jc w:val="center"/>
              <w:rPr>
                <w:rFonts w:eastAsia="Calibri"/>
                <w:i/>
                <w:sz w:val="20"/>
                <w:szCs w:val="20"/>
                <w:lang w:val="en-US"/>
              </w:rPr>
            </w:pPr>
            <m:oMathPara>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d_MPI</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=log</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eastAsiaTheme="minorEastAsia" w:hAnsi="Cambria Math"/>
                                <w:i/>
                                <w:sz w:val="18"/>
                                <w:szCs w:val="18"/>
                              </w:rPr>
                            </m:ctrlPr>
                          </m:sSubPr>
                          <m:e>
                            <m:r>
                              <w:rPr>
                                <w:rStyle w:val="tlid-translation"/>
                                <w:rFonts w:ascii="Cambria Math" w:eastAsiaTheme="minorEastAsia" w:hAnsi="Cambria Math"/>
                                <w:sz w:val="18"/>
                                <w:szCs w:val="18"/>
                              </w:rPr>
                              <m:t>P</m:t>
                            </m:r>
                            <m:r>
                              <w:rPr>
                                <w:rStyle w:val="tlid-translation"/>
                                <w:rFonts w:ascii="Cambria Math" w:hAnsi="Cambria Math"/>
                                <w:sz w:val="18"/>
                                <w:szCs w:val="18"/>
                              </w:rPr>
                              <m:t>LI</m:t>
                            </m:r>
                          </m:e>
                          <m:sub>
                            <m:r>
                              <w:rPr>
                                <w:rStyle w:val="tlid-translation"/>
                                <w:rFonts w:ascii="Cambria Math" w:eastAsiaTheme="minorEastAsia" w:hAnsi="Cambria Math"/>
                                <w:sz w:val="18"/>
                                <w:szCs w:val="18"/>
                              </w:rPr>
                              <m:t>s</m:t>
                            </m:r>
                            <m:r>
                              <w:rPr>
                                <w:rStyle w:val="tlid-translation"/>
                                <w:rFonts w:ascii="Cambria Math" w:hAnsi="Cambria Math"/>
                                <w:sz w:val="18"/>
                                <w:szCs w:val="18"/>
                              </w:rPr>
                              <m:t>ed</m:t>
                            </m:r>
                          </m:sub>
                        </m:sSub>
                        <m:r>
                          <w:rPr>
                            <w:rStyle w:val="tlid-translation"/>
                            <w:rFonts w:ascii="Cambria Math" w:eastAsiaTheme="minorEastAsia" w:hAnsi="Cambria Math"/>
                            <w:sz w:val="18"/>
                            <w:szCs w:val="18"/>
                          </w:rPr>
                          <m:t xml:space="preserve"> (t)</m:t>
                        </m:r>
                      </m:num>
                      <m:den>
                        <m:r>
                          <w:rPr>
                            <w:rFonts w:ascii="Cambria Math" w:hAnsi="Cambria Math"/>
                            <w:sz w:val="18"/>
                            <w:szCs w:val="18"/>
                            <w:lang w:val="en-US"/>
                          </w:rPr>
                          <m:t>MPI (t)</m:t>
                        </m:r>
                      </m:den>
                    </m:f>
                  </m:e>
                </m:d>
                <m:r>
                  <w:rPr>
                    <w:rFonts w:ascii="Cambria Math" w:eastAsiaTheme="minorEastAsia" w:hAnsi="Cambria Math"/>
                    <w:sz w:val="18"/>
                    <w:szCs w:val="18"/>
                    <w:lang w:val="en-US"/>
                  </w:rPr>
                  <m:t xml:space="preserve">         (51)</m:t>
                </m:r>
              </m:oMath>
            </m:oMathPara>
          </w:p>
        </w:tc>
        <w:tc>
          <w:tcPr>
            <w:tcW w:w="5499" w:type="dxa"/>
            <w:tcBorders>
              <w:top w:val="double" w:sz="4" w:space="0" w:color="auto"/>
              <w:left w:val="nil"/>
              <w:bottom w:val="double" w:sz="4" w:space="0" w:color="auto"/>
              <w:right w:val="nil"/>
            </w:tcBorders>
            <w:vAlign w:val="center"/>
            <w:hideMark/>
          </w:tcPr>
          <w:p w14:paraId="57AD7042" w14:textId="77777777" w:rsidR="00F7525E" w:rsidRPr="0002052A" w:rsidRDefault="00F7525E">
            <w:pPr>
              <w:spacing w:line="360" w:lineRule="auto"/>
              <w:jc w:val="center"/>
              <w:rPr>
                <w:sz w:val="18"/>
                <w:szCs w:val="18"/>
                <w:lang w:val="en-US"/>
              </w:rPr>
            </w:pPr>
            <w:proofErr w:type="spellStart"/>
            <w:r w:rsidRPr="0002052A">
              <w:rPr>
                <w:b/>
                <w:bCs/>
                <w:i/>
                <w:sz w:val="18"/>
                <w:szCs w:val="18"/>
                <w:lang w:val="en-US"/>
              </w:rPr>
              <w:t>PLI</w:t>
            </w:r>
            <w:r w:rsidRPr="0002052A">
              <w:rPr>
                <w:b/>
                <w:bCs/>
                <w:i/>
                <w:sz w:val="18"/>
                <w:szCs w:val="18"/>
                <w:vertAlign w:val="subscript"/>
                <w:lang w:val="en-US"/>
              </w:rPr>
              <w:t>sed</w:t>
            </w:r>
            <w:proofErr w:type="spellEnd"/>
            <w:r w:rsidRPr="0002052A">
              <w:rPr>
                <w:b/>
                <w:bCs/>
                <w:i/>
                <w:sz w:val="18"/>
                <w:szCs w:val="18"/>
                <w:lang w:val="en-US"/>
              </w:rPr>
              <w:t xml:space="preserve"> (t) </w:t>
            </w:r>
            <w:r w:rsidRPr="0002052A">
              <w:rPr>
                <w:iCs/>
                <w:sz w:val="18"/>
                <w:szCs w:val="18"/>
                <w:lang w:val="en-US"/>
              </w:rPr>
              <w:t>= Sediment p</w:t>
            </w:r>
            <w:r w:rsidRPr="0002052A">
              <w:rPr>
                <w:sz w:val="18"/>
                <w:szCs w:val="18"/>
                <w:lang w:val="en-US"/>
              </w:rPr>
              <w:t xml:space="preserve">ollution load index at time </w:t>
            </w:r>
            <w:r w:rsidRPr="0002052A">
              <w:rPr>
                <w:i/>
                <w:iCs/>
                <w:sz w:val="18"/>
                <w:szCs w:val="18"/>
                <w:lang w:val="en-US"/>
              </w:rPr>
              <w:t>t</w:t>
            </w:r>
            <w:r w:rsidRPr="0002052A">
              <w:rPr>
                <w:sz w:val="18"/>
                <w:szCs w:val="18"/>
                <w:lang w:val="en-US"/>
              </w:rPr>
              <w:t xml:space="preserve">; </w:t>
            </w:r>
            <w:r w:rsidRPr="0002052A">
              <w:rPr>
                <w:b/>
                <w:bCs/>
                <w:i/>
                <w:sz w:val="18"/>
                <w:szCs w:val="18"/>
                <w:lang w:val="en-US"/>
              </w:rPr>
              <w:t xml:space="preserve">MPI (t) </w:t>
            </w:r>
            <w:r w:rsidRPr="0002052A">
              <w:rPr>
                <w:iCs/>
                <w:sz w:val="18"/>
                <w:szCs w:val="18"/>
                <w:lang w:val="en-US"/>
              </w:rPr>
              <w:t xml:space="preserve">= </w:t>
            </w:r>
            <w:r w:rsidRPr="0002052A">
              <w:rPr>
                <w:sz w:val="18"/>
                <w:szCs w:val="18"/>
                <w:lang w:val="en-US"/>
              </w:rPr>
              <w:t>Metal pollution index at time</w:t>
            </w:r>
            <w:r w:rsidRPr="0002052A">
              <w:rPr>
                <w:i/>
                <w:iCs/>
                <w:sz w:val="18"/>
                <w:szCs w:val="18"/>
                <w:lang w:val="en-US"/>
              </w:rPr>
              <w:t xml:space="preserve"> t</w:t>
            </w:r>
            <w:r w:rsidRPr="0002052A">
              <w:rPr>
                <w:sz w:val="18"/>
                <w:szCs w:val="18"/>
                <w:lang w:val="en-US"/>
              </w:rPr>
              <w:t>.</w:t>
            </w:r>
          </w:p>
        </w:tc>
        <w:tc>
          <w:tcPr>
            <w:tcW w:w="1539" w:type="dxa"/>
            <w:tcBorders>
              <w:top w:val="double" w:sz="4" w:space="0" w:color="auto"/>
              <w:left w:val="nil"/>
              <w:bottom w:val="double" w:sz="4" w:space="0" w:color="auto"/>
              <w:right w:val="nil"/>
            </w:tcBorders>
            <w:vAlign w:val="center"/>
            <w:hideMark/>
          </w:tcPr>
          <w:p w14:paraId="33B86BA5" w14:textId="77777777" w:rsidR="00F7525E" w:rsidRPr="00F7525E" w:rsidRDefault="00F7525E">
            <w:pPr>
              <w:spacing w:line="360" w:lineRule="auto"/>
              <w:jc w:val="center"/>
              <w:rPr>
                <w:rFonts w:eastAsia="Times New Roman"/>
                <w:sz w:val="20"/>
                <w:szCs w:val="20"/>
                <w:lang w:val="en-US" w:eastAsia="pt-BR"/>
              </w:rPr>
            </w:pPr>
            <w:proofErr w:type="spellStart"/>
            <w:r w:rsidRPr="00F7525E">
              <w:rPr>
                <w:rFonts w:eastAsia="Times New Roman"/>
                <w:sz w:val="20"/>
                <w:szCs w:val="20"/>
                <w:lang w:val="en-US" w:eastAsia="pt-BR"/>
              </w:rPr>
              <w:t>Sedeño</w:t>
            </w:r>
            <w:proofErr w:type="spellEnd"/>
            <w:r w:rsidRPr="00F7525E">
              <w:rPr>
                <w:rFonts w:eastAsia="Times New Roman"/>
                <w:sz w:val="20"/>
                <w:szCs w:val="20"/>
                <w:lang w:val="en-US" w:eastAsia="pt-BR"/>
              </w:rPr>
              <w:t xml:space="preserve">-Díaz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{"citationItems":[{"id":"ITEM-1","itemData":{"DOI":"10.3390/w12010029","ISSN":"2073-4441","abstract":"The Lake of Texcoco is a closed basin with soils that confer salinity, conductivity, and alkalinity to it. It has undergone a reduction in size, incorporation of wastewater, and short-term desiccation, and includes temporary wetlands interconnected during the rainy season, some of which receive treated wastewater. Sediments contain metals, thus affecting water quality. Five artificial lakes were studied, and 12 metals (As, Ba, Cd, Cu, Cr, Fe, Mg, Mn, Hg, Ni, Pb, and Zn) were monitored bimonthly in water and sediments from June 2015 to March 2018. The Metal Pollution Index (MPI) and the Distribution Coefficient (Kd) were computed. Fe and Cd were the most and least stable metals in sediments, respectively (mean Log(Kd) = 4.24 and 2.079). Based on Log(Kd), metals were ranked as Fe &gt; Mn &gt; Zn &gt; Cu &gt; Mg &gt; Cr &gt; Ni &gt; Ba &gt; Pb &gt; Hg &gt; As &gt; Cd. Log(Kd) values &lt; 3 and &gt; 5 indicate that metals occur mainly in water and sediments, respectively. The Mean Distribution Coefficient Log(Kd MPI) is a novel index proposed to assess ecological risk from metals in a water body. This index allows determining the phase (liquid or solid) where metals predominate, negatively affecting either free-swimming or benthic organisms. Log(Kd MPI) values indicated that metals occur primarily in the liquid phase in all lakes studied.","author":[{"dropping-particle":"","family":"Sedeño-Díaz","given":"Jacinto Elías","non-dropping-particle":"","parse-names":false,"suffix":""},{"dropping-particle":"","family":"López-López","given":"Eugenia","non-dropping-particle":"","parse-names":false,"suffix":""},{"dropping-particle":"","family":"Mendoza-Martínez","given":"Erick","non-dropping-particle":"","parse-names":false,"suffix":""},{"dropping-particle":"","family":"Rodríguez-Romero","given":"Alexis Joseph","non-dropping-particle":"","parse-names":false,"suffix":""},{"dropping-particle":"","family":"Morales-García","given":"Sandra Soledad","non-dropping-particle":"","parse-names":false,"suffix":""}],"container-title":"Water","id":"ITEM-1","issue":"1","issued":{"date-parts":[["2019","12","19"]]},"page":"29","title":"Distribution Coefficient and Metal Pollution Index in Water and Sediments: Proposal of a New Index for Ecological Risk Assessment of Metals","type":"article-journal","volume":"12"},"suppress-author":1,"uris":["http://www.mendeley.com/documents/?uuid=8e467944-ed99-4ab8-b8d0-07e242798793"]}],"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4A5350" w:rsidRPr="00F7525E" w14:paraId="7874AE0B" w14:textId="77777777" w:rsidTr="00BE2A36">
        <w:trPr>
          <w:trHeight w:val="314"/>
          <w:jc w:val="center"/>
        </w:trPr>
        <w:tc>
          <w:tcPr>
            <w:tcW w:w="15260" w:type="dxa"/>
            <w:gridSpan w:val="4"/>
            <w:tcBorders>
              <w:top w:val="double" w:sz="4" w:space="0" w:color="auto"/>
              <w:left w:val="nil"/>
              <w:bottom w:val="double" w:sz="4" w:space="0" w:color="auto"/>
              <w:right w:val="nil"/>
            </w:tcBorders>
            <w:vAlign w:val="center"/>
          </w:tcPr>
          <w:p w14:paraId="17B0E603" w14:textId="0C7F48DE" w:rsidR="004A5350" w:rsidRPr="00F7525E" w:rsidRDefault="004A5350">
            <w:pPr>
              <w:jc w:val="center"/>
              <w:rPr>
                <w:i/>
                <w:iCs/>
                <w:sz w:val="20"/>
                <w:szCs w:val="20"/>
                <w:lang w:val="en-US"/>
              </w:rPr>
            </w:pPr>
            <w:r w:rsidRPr="00F7525E">
              <w:rPr>
                <w:b/>
                <w:bCs/>
                <w:sz w:val="20"/>
                <w:szCs w:val="20"/>
                <w:lang w:val="en-US"/>
              </w:rPr>
              <w:lastRenderedPageBreak/>
              <w:t>Integrated pollution indices</w:t>
            </w:r>
          </w:p>
        </w:tc>
      </w:tr>
      <w:tr w:rsidR="00F7525E" w:rsidRPr="00F7525E" w14:paraId="5E3092CD" w14:textId="77777777" w:rsidTr="00BE2A36">
        <w:trPr>
          <w:trHeight w:val="314"/>
          <w:jc w:val="center"/>
        </w:trPr>
        <w:tc>
          <w:tcPr>
            <w:tcW w:w="15260" w:type="dxa"/>
            <w:gridSpan w:val="4"/>
            <w:tcBorders>
              <w:top w:val="double" w:sz="4" w:space="0" w:color="auto"/>
              <w:left w:val="nil"/>
              <w:bottom w:val="single" w:sz="4" w:space="0" w:color="auto"/>
              <w:right w:val="nil"/>
            </w:tcBorders>
            <w:vAlign w:val="center"/>
            <w:hideMark/>
          </w:tcPr>
          <w:p w14:paraId="20AB1425" w14:textId="77777777" w:rsidR="00F7525E" w:rsidRPr="00F7525E" w:rsidRDefault="00F7525E">
            <w:pPr>
              <w:jc w:val="center"/>
              <w:rPr>
                <w:rFonts w:eastAsia="Times New Roman"/>
                <w:i/>
                <w:iCs/>
                <w:sz w:val="20"/>
                <w:szCs w:val="20"/>
                <w:lang w:val="en-US" w:eastAsia="pt-BR"/>
              </w:rPr>
            </w:pPr>
            <w:r w:rsidRPr="00F7525E">
              <w:rPr>
                <w:i/>
                <w:iCs/>
                <w:sz w:val="20"/>
                <w:szCs w:val="20"/>
                <w:lang w:val="en-US"/>
              </w:rPr>
              <w:t>Chemical Line of Evidence</w:t>
            </w:r>
          </w:p>
        </w:tc>
      </w:tr>
      <w:tr w:rsidR="00F7525E" w:rsidRPr="00F7525E" w14:paraId="4BD324BA"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87CA7A1" w14:textId="77777777" w:rsidR="00F7525E" w:rsidRPr="00F7525E" w:rsidRDefault="00F7525E">
            <w:pPr>
              <w:spacing w:line="360" w:lineRule="auto"/>
              <w:jc w:val="center"/>
              <w:rPr>
                <w:sz w:val="20"/>
                <w:szCs w:val="20"/>
                <w:lang w:val="en-US"/>
              </w:rPr>
            </w:pPr>
            <w:r w:rsidRPr="00F7525E">
              <w:rPr>
                <w:sz w:val="20"/>
                <w:szCs w:val="20"/>
                <w:lang w:val="en-US"/>
              </w:rPr>
              <w:t>Toxic pressure</w:t>
            </w:r>
          </w:p>
        </w:tc>
        <w:tc>
          <w:tcPr>
            <w:tcW w:w="6095" w:type="dxa"/>
            <w:tcBorders>
              <w:top w:val="single" w:sz="4" w:space="0" w:color="auto"/>
              <w:left w:val="nil"/>
              <w:bottom w:val="single" w:sz="4" w:space="0" w:color="auto"/>
              <w:right w:val="nil"/>
            </w:tcBorders>
            <w:vAlign w:val="center"/>
            <w:hideMark/>
          </w:tcPr>
          <w:p w14:paraId="31378735" w14:textId="76E91521" w:rsidR="00F7525E" w:rsidRPr="0002052A" w:rsidRDefault="00A10B4C">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52</m:t>
                    </m:r>
                  </m:e>
                </m:d>
              </m:oMath>
            </m:oMathPara>
          </w:p>
        </w:tc>
        <w:tc>
          <w:tcPr>
            <w:tcW w:w="5499" w:type="dxa"/>
            <w:tcBorders>
              <w:top w:val="single" w:sz="4" w:space="0" w:color="auto"/>
              <w:left w:val="nil"/>
              <w:bottom w:val="single" w:sz="4" w:space="0" w:color="auto"/>
              <w:right w:val="nil"/>
            </w:tcBorders>
            <w:vAlign w:val="center"/>
            <w:hideMark/>
          </w:tcPr>
          <w:p w14:paraId="3A4ACD2D" w14:textId="77777777" w:rsidR="00F7525E" w:rsidRPr="0002052A" w:rsidRDefault="00F7525E">
            <w:pPr>
              <w:spacing w:line="360" w:lineRule="auto"/>
              <w:jc w:val="center"/>
              <w:rPr>
                <w:iCs/>
                <w:sz w:val="18"/>
                <w:szCs w:val="18"/>
                <w:lang w:val="en-US"/>
              </w:rPr>
            </w:pPr>
            <w:r w:rsidRPr="0002052A">
              <w:rPr>
                <w:b/>
                <w:bCs/>
                <w:i/>
                <w:sz w:val="18"/>
                <w:szCs w:val="18"/>
                <w:lang w:val="en-US"/>
              </w:rPr>
              <w:t xml:space="preserve">α </w:t>
            </w:r>
            <w:r w:rsidRPr="0002052A">
              <w:rPr>
                <w:iCs/>
                <w:sz w:val="18"/>
                <w:szCs w:val="18"/>
                <w:lang w:val="en-US"/>
              </w:rPr>
              <w:t xml:space="preserve">= </w:t>
            </w:r>
            <w:r w:rsidRPr="0002052A">
              <w:rPr>
                <w:sz w:val="18"/>
                <w:szCs w:val="18"/>
                <w:lang w:val="en-US"/>
              </w:rPr>
              <w:t xml:space="preserve">log-transformed value of the toxicity of the chemical species </w:t>
            </w:r>
            <w:r w:rsidRPr="0002052A">
              <w:rPr>
                <w:bCs/>
                <w:i/>
                <w:sz w:val="18"/>
                <w:szCs w:val="18"/>
                <w:lang w:val="en-US"/>
              </w:rPr>
              <w:t>j</w:t>
            </w:r>
            <w:r w:rsidRPr="0002052A">
              <w:rPr>
                <w:bCs/>
                <w:sz w:val="18"/>
                <w:szCs w:val="18"/>
                <w:lang w:val="en-US"/>
              </w:rPr>
              <w:t>;</w:t>
            </w:r>
            <w:r w:rsidRPr="0002052A">
              <w:rPr>
                <w:b/>
                <w:bCs/>
                <w:i/>
                <w:sz w:val="18"/>
                <w:szCs w:val="18"/>
                <w:lang w:val="en-US"/>
              </w:rPr>
              <w:t xml:space="preserve"> β</w:t>
            </w:r>
            <w:r w:rsidRPr="0002052A">
              <w:rPr>
                <w:iCs/>
                <w:sz w:val="18"/>
                <w:szCs w:val="18"/>
                <w:lang w:val="en-US"/>
              </w:rPr>
              <w:t xml:space="preserve"> = S</w:t>
            </w:r>
            <w:r w:rsidRPr="0002052A">
              <w:rPr>
                <w:sz w:val="18"/>
                <w:szCs w:val="18"/>
                <w:lang w:val="en-US"/>
              </w:rPr>
              <w:t xml:space="preserve">lope parameter of the Specie Sensitivity Distribution for chemical species </w:t>
            </w:r>
            <w:r w:rsidRPr="0002052A">
              <w:rPr>
                <w:bCs/>
                <w:i/>
                <w:sz w:val="18"/>
                <w:szCs w:val="18"/>
                <w:lang w:val="en-US"/>
              </w:rPr>
              <w:t>j</w:t>
            </w:r>
            <w:r w:rsidRPr="0002052A">
              <w:rPr>
                <w:sz w:val="18"/>
                <w:szCs w:val="18"/>
                <w:lang w:val="en-US"/>
              </w:rPr>
              <w:t xml:space="preserve"> toxicity data.</w:t>
            </w:r>
          </w:p>
        </w:tc>
        <w:tc>
          <w:tcPr>
            <w:tcW w:w="1539" w:type="dxa"/>
            <w:tcBorders>
              <w:top w:val="single" w:sz="4" w:space="0" w:color="auto"/>
              <w:left w:val="nil"/>
              <w:bottom w:val="single" w:sz="4" w:space="0" w:color="auto"/>
              <w:right w:val="nil"/>
            </w:tcBorders>
            <w:vAlign w:val="center"/>
            <w:hideMark/>
          </w:tcPr>
          <w:p w14:paraId="62AE17C7" w14:textId="77777777" w:rsidR="00F7525E" w:rsidRPr="00F7525E" w:rsidRDefault="00F7525E">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7525E" w:rsidRPr="00C47575" w14:paraId="39DBC387"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7E34E1F0" w14:textId="77777777" w:rsidR="00F7525E" w:rsidRPr="00F7525E" w:rsidRDefault="00F7525E">
            <w:pPr>
              <w:spacing w:line="360" w:lineRule="auto"/>
              <w:jc w:val="center"/>
              <w:rPr>
                <w:sz w:val="20"/>
                <w:szCs w:val="20"/>
                <w:lang w:val="en-US"/>
              </w:rPr>
            </w:pPr>
            <w:r w:rsidRPr="00F7525E">
              <w:rPr>
                <w:sz w:val="20"/>
                <w:szCs w:val="20"/>
                <w:lang w:val="en-US"/>
              </w:rPr>
              <w:t>Background toxic pressure</w:t>
            </w:r>
          </w:p>
        </w:tc>
        <w:tc>
          <w:tcPr>
            <w:tcW w:w="6095" w:type="dxa"/>
            <w:tcBorders>
              <w:top w:val="single" w:sz="4" w:space="0" w:color="auto"/>
              <w:left w:val="nil"/>
              <w:bottom w:val="single" w:sz="4" w:space="0" w:color="auto"/>
              <w:right w:val="nil"/>
            </w:tcBorders>
            <w:vAlign w:val="center"/>
            <w:hideMark/>
          </w:tcPr>
          <w:p w14:paraId="4DCCA361" w14:textId="34CB8A36" w:rsidR="00F7525E" w:rsidRPr="0002052A" w:rsidRDefault="00A10B4C">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m_ref</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53</m:t>
                    </m:r>
                  </m:e>
                </m:d>
              </m:oMath>
            </m:oMathPara>
          </w:p>
        </w:tc>
        <w:tc>
          <w:tcPr>
            <w:tcW w:w="5499" w:type="dxa"/>
            <w:tcBorders>
              <w:top w:val="single" w:sz="4" w:space="0" w:color="auto"/>
              <w:left w:val="nil"/>
              <w:bottom w:val="single" w:sz="4" w:space="0" w:color="auto"/>
              <w:right w:val="nil"/>
            </w:tcBorders>
            <w:vAlign w:val="center"/>
          </w:tcPr>
          <w:p w14:paraId="3EA4AF5B" w14:textId="77777777" w:rsidR="00F7525E" w:rsidRPr="00F7525E" w:rsidRDefault="00F7525E">
            <w:pPr>
              <w:spacing w:line="360" w:lineRule="auto"/>
              <w:jc w:val="center"/>
              <w:rPr>
                <w:rFonts w:eastAsiaTheme="minorEastAsia"/>
                <w:sz w:val="20"/>
                <w:szCs w:val="20"/>
                <w:lang w:val="en-US"/>
              </w:rPr>
            </w:pPr>
          </w:p>
        </w:tc>
        <w:tc>
          <w:tcPr>
            <w:tcW w:w="1539" w:type="dxa"/>
            <w:tcBorders>
              <w:top w:val="single" w:sz="4" w:space="0" w:color="auto"/>
              <w:left w:val="nil"/>
              <w:bottom w:val="single" w:sz="4" w:space="0" w:color="auto"/>
              <w:right w:val="nil"/>
            </w:tcBorders>
            <w:vAlign w:val="center"/>
            <w:hideMark/>
          </w:tcPr>
          <w:p w14:paraId="4EE81E35" w14:textId="77777777" w:rsidR="00F7525E" w:rsidRPr="00F7525E" w:rsidRDefault="00F7525E">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D56603" w:rsidRPr="00C47575" w14:paraId="77A814F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5AE50ED7" w14:textId="20B78F78" w:rsidR="00D56603" w:rsidRPr="00F7525E" w:rsidRDefault="00D56603" w:rsidP="00D56603">
            <w:pPr>
              <w:spacing w:line="360" w:lineRule="auto"/>
              <w:jc w:val="center"/>
              <w:rPr>
                <w:sz w:val="20"/>
                <w:szCs w:val="20"/>
                <w:lang w:val="en-US"/>
              </w:rPr>
            </w:pPr>
            <w:r>
              <w:rPr>
                <w:sz w:val="20"/>
                <w:szCs w:val="20"/>
                <w:lang w:val="en-US"/>
              </w:rPr>
              <w:t>Corrected toxic pressure</w:t>
            </w:r>
          </w:p>
        </w:tc>
        <w:tc>
          <w:tcPr>
            <w:tcW w:w="6095" w:type="dxa"/>
            <w:tcBorders>
              <w:top w:val="single" w:sz="4" w:space="0" w:color="auto"/>
              <w:left w:val="nil"/>
              <w:bottom w:val="single" w:sz="4" w:space="0" w:color="auto"/>
              <w:right w:val="nil"/>
            </w:tcBorders>
            <w:vAlign w:val="center"/>
          </w:tcPr>
          <w:p w14:paraId="20773463" w14:textId="388B0B35" w:rsidR="00D56603" w:rsidRPr="00D51121" w:rsidRDefault="00A10B4C" w:rsidP="00D56603">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54</m:t>
                    </m:r>
                  </m:e>
                </m:d>
              </m:oMath>
            </m:oMathPara>
          </w:p>
        </w:tc>
        <w:tc>
          <w:tcPr>
            <w:tcW w:w="5499" w:type="dxa"/>
            <w:tcBorders>
              <w:top w:val="single" w:sz="4" w:space="0" w:color="auto"/>
              <w:left w:val="nil"/>
              <w:bottom w:val="single" w:sz="4" w:space="0" w:color="auto"/>
              <w:right w:val="nil"/>
            </w:tcBorders>
            <w:vAlign w:val="center"/>
          </w:tcPr>
          <w:p w14:paraId="18216B1F" w14:textId="6E22A1AF" w:rsidR="00D56603" w:rsidRPr="00F7525E" w:rsidRDefault="00D56603" w:rsidP="00D56603">
            <w:pPr>
              <w:spacing w:line="360" w:lineRule="auto"/>
              <w:jc w:val="center"/>
              <w:rPr>
                <w:rFonts w:eastAsiaTheme="minorEastAsia"/>
                <w:sz w:val="20"/>
                <w:szCs w:val="20"/>
                <w:lang w:val="en-US"/>
              </w:rPr>
            </w:pPr>
            <w:proofErr w:type="spellStart"/>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proofErr w:type="spellEnd"/>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Toxic pressure of chemical species </w:t>
            </w:r>
            <w:r>
              <w:rPr>
                <w:i/>
                <w:iCs/>
                <w:sz w:val="18"/>
                <w:szCs w:val="18"/>
                <w:lang w:val="en-US"/>
              </w:rPr>
              <w:t>j</w:t>
            </w:r>
            <w:r>
              <w:rPr>
                <w:sz w:val="18"/>
                <w:szCs w:val="18"/>
                <w:lang w:val="en-US"/>
              </w:rPr>
              <w:t xml:space="preserve"> at time </w:t>
            </w:r>
            <w:r>
              <w:rPr>
                <w:i/>
                <w:iCs/>
                <w:sz w:val="18"/>
                <w:szCs w:val="18"/>
                <w:lang w:val="en-US"/>
              </w:rPr>
              <w:t>t</w:t>
            </w:r>
            <w:r>
              <w:rPr>
                <w:sz w:val="18"/>
                <w:szCs w:val="18"/>
                <w:lang w:val="en-US"/>
              </w:rPr>
              <w:t>;</w:t>
            </w:r>
            <w:r>
              <w:rPr>
                <w:rStyle w:val="tlid-translation"/>
                <w:b/>
                <w:bCs/>
                <w:i/>
                <w:iCs/>
                <w:color w:val="000000" w:themeColor="text1"/>
                <w:sz w:val="18"/>
                <w:szCs w:val="18"/>
                <w:lang w:val="en-US"/>
              </w:rPr>
              <w:t xml:space="preserve"> TP</w:t>
            </w:r>
            <w:r>
              <w:rPr>
                <w:rStyle w:val="tlid-translation"/>
                <w:b/>
                <w:bCs/>
                <w:i/>
                <w:iCs/>
                <w:color w:val="000000" w:themeColor="text1"/>
                <w:sz w:val="18"/>
                <w:szCs w:val="18"/>
                <w:vertAlign w:val="subscript"/>
                <w:lang w:val="en-US"/>
              </w:rPr>
              <w:t>BG, 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Background toxic pressure 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55173DBB" w14:textId="41A1ABD6" w:rsidR="00D56603" w:rsidRPr="00F7525E" w:rsidRDefault="00D56603" w:rsidP="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D56603" w:rsidRPr="00C47575" w14:paraId="0B650BC6"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635A6643" w14:textId="724A14EB" w:rsidR="00D56603" w:rsidRPr="00F7525E" w:rsidRDefault="00D56603" w:rsidP="00D56603">
            <w:pPr>
              <w:spacing w:line="360" w:lineRule="auto"/>
              <w:jc w:val="center"/>
              <w:rPr>
                <w:sz w:val="20"/>
                <w:szCs w:val="20"/>
                <w:lang w:val="en-US"/>
              </w:rPr>
            </w:pPr>
            <w:r>
              <w:rPr>
                <w:sz w:val="20"/>
                <w:szCs w:val="22"/>
                <w:lang w:val="en-US"/>
              </w:rPr>
              <w:t>Risk value for Chemical Line of Evidence</w:t>
            </w:r>
          </w:p>
        </w:tc>
        <w:tc>
          <w:tcPr>
            <w:tcW w:w="6095" w:type="dxa"/>
            <w:tcBorders>
              <w:top w:val="single" w:sz="4" w:space="0" w:color="auto"/>
              <w:left w:val="nil"/>
              <w:bottom w:val="single" w:sz="4" w:space="0" w:color="auto"/>
              <w:right w:val="nil"/>
            </w:tcBorders>
            <w:vAlign w:val="center"/>
          </w:tcPr>
          <w:p w14:paraId="1E11F421" w14:textId="487B12DB" w:rsidR="00D56603" w:rsidRPr="00D51121" w:rsidRDefault="00A10B4C" w:rsidP="00D56603">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cstheme="minorBidi"/>
                                    <w:i/>
                                    <w:sz w:val="18"/>
                                    <w:szCs w:val="18"/>
                                    <w:lang w:val="en-US"/>
                                  </w:rPr>
                                </m:ctrlPr>
                              </m:dPr>
                              <m:e>
                                <m:r>
                                  <w:rPr>
                                    <w:rStyle w:val="tlid-translation"/>
                                    <w:rFonts w:ascii="Cambria Math" w:eastAsiaTheme="minorEastAsia" w:hAnsi="Cambria Math"/>
                                    <w:sz w:val="18"/>
                                    <w:szCs w:val="18"/>
                                    <w:lang w:val="en-US"/>
                                  </w:rPr>
                                  <m:t>1-</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22"/>
                    <w:szCs w:val="22"/>
                    <w:lang w:val="en-US"/>
                  </w:rPr>
                  <m:t xml:space="preserve"> </m:t>
                </m:r>
                <m:r>
                  <w:rPr>
                    <w:rStyle w:val="tlid-translation"/>
                    <w:rFonts w:ascii="Cambria Math" w:eastAsiaTheme="minorEastAsia" w:hAnsi="Cambria Math"/>
                    <w:sz w:val="18"/>
                    <w:szCs w:val="18"/>
                    <w:lang w:val="en-US"/>
                  </w:rPr>
                  <m:t>(55)</m:t>
                </m:r>
              </m:oMath>
            </m:oMathPara>
          </w:p>
        </w:tc>
        <w:tc>
          <w:tcPr>
            <w:tcW w:w="5499" w:type="dxa"/>
            <w:tcBorders>
              <w:top w:val="single" w:sz="4" w:space="0" w:color="auto"/>
              <w:left w:val="nil"/>
              <w:bottom w:val="single" w:sz="4" w:space="0" w:color="auto"/>
              <w:right w:val="nil"/>
            </w:tcBorders>
            <w:vAlign w:val="center"/>
          </w:tcPr>
          <w:p w14:paraId="31CF5D06" w14:textId="7BE6F1C5" w:rsidR="00D56603" w:rsidRPr="00F7525E" w:rsidRDefault="00D56603" w:rsidP="00D56603">
            <w:pPr>
              <w:spacing w:line="360" w:lineRule="auto"/>
              <w:jc w:val="center"/>
              <w:rPr>
                <w:rFonts w:eastAsiaTheme="minorEastAsia"/>
                <w:sz w:val="20"/>
                <w:szCs w:val="20"/>
                <w:lang w:val="en-US"/>
              </w:rPr>
            </w:pPr>
            <w:proofErr w:type="spellStart"/>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proofErr w:type="spellEnd"/>
            <w:r>
              <w:rPr>
                <w:rStyle w:val="tlid-translation"/>
                <w:b/>
                <w:bCs/>
                <w:i/>
                <w:iCs/>
                <w:color w:val="000000" w:themeColor="text1"/>
                <w:sz w:val="18"/>
                <w:szCs w:val="18"/>
                <w:vertAlign w:val="superscript"/>
                <w:lang w:val="en-US"/>
              </w:rPr>
              <w:t>’</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w:t>
            </w:r>
            <w:r>
              <w:rPr>
                <w:sz w:val="20"/>
                <w:szCs w:val="20"/>
                <w:lang w:val="en-US"/>
              </w:rPr>
              <w:t xml:space="preserve"> Corrected toxic pressure </w:t>
            </w:r>
            <w:r>
              <w:rPr>
                <w:sz w:val="18"/>
                <w:szCs w:val="18"/>
                <w:lang w:val="en-US"/>
              </w:rPr>
              <w:t xml:space="preserve">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7B306A25" w14:textId="65D6147D" w:rsidR="00D56603" w:rsidRPr="00F7525E" w:rsidRDefault="00D56603" w:rsidP="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D56603" w:rsidRPr="00C47575" w14:paraId="00F6312A" w14:textId="77777777" w:rsidTr="0089298D">
        <w:trPr>
          <w:trHeight w:val="839"/>
          <w:jc w:val="center"/>
        </w:trPr>
        <w:tc>
          <w:tcPr>
            <w:tcW w:w="2127" w:type="dxa"/>
            <w:tcBorders>
              <w:top w:val="single" w:sz="4" w:space="0" w:color="auto"/>
              <w:left w:val="nil"/>
              <w:bottom w:val="double" w:sz="4" w:space="0" w:color="auto"/>
              <w:right w:val="nil"/>
            </w:tcBorders>
            <w:vAlign w:val="center"/>
          </w:tcPr>
          <w:p w14:paraId="4659E8D6" w14:textId="74012B03" w:rsidR="00D56603" w:rsidRPr="00F7525E" w:rsidRDefault="00DF30B8">
            <w:pPr>
              <w:spacing w:line="360" w:lineRule="auto"/>
              <w:jc w:val="center"/>
              <w:rPr>
                <w:sz w:val="20"/>
                <w:szCs w:val="20"/>
                <w:lang w:val="en-US"/>
              </w:rPr>
            </w:pPr>
            <w:r w:rsidRPr="00DF30B8">
              <w:rPr>
                <w:sz w:val="20"/>
                <w:szCs w:val="20"/>
                <w:lang w:val="en-US"/>
              </w:rPr>
              <w:t xml:space="preserve">Integrated risk for </w:t>
            </w:r>
            <w:r>
              <w:rPr>
                <w:sz w:val="20"/>
                <w:szCs w:val="20"/>
                <w:lang w:val="en-US"/>
              </w:rPr>
              <w:t>C</w:t>
            </w:r>
            <w:r w:rsidRPr="00DF30B8">
              <w:rPr>
                <w:sz w:val="20"/>
                <w:szCs w:val="20"/>
                <w:lang w:val="en-US"/>
              </w:rPr>
              <w:t xml:space="preserve">hemical </w:t>
            </w:r>
            <w:r>
              <w:rPr>
                <w:sz w:val="20"/>
                <w:szCs w:val="20"/>
                <w:lang w:val="en-US"/>
              </w:rPr>
              <w:t>L</w:t>
            </w:r>
            <w:r w:rsidRPr="00DF30B8">
              <w:rPr>
                <w:sz w:val="20"/>
                <w:szCs w:val="20"/>
                <w:lang w:val="en-US"/>
              </w:rPr>
              <w:t xml:space="preserve">ine of </w:t>
            </w:r>
            <w:r>
              <w:rPr>
                <w:sz w:val="20"/>
                <w:szCs w:val="20"/>
                <w:lang w:val="en-US"/>
              </w:rPr>
              <w:t>E</w:t>
            </w:r>
            <w:r w:rsidRPr="00DF30B8">
              <w:rPr>
                <w:sz w:val="20"/>
                <w:szCs w:val="20"/>
                <w:lang w:val="en-US"/>
              </w:rPr>
              <w:t>vidence</w:t>
            </w:r>
          </w:p>
        </w:tc>
        <w:tc>
          <w:tcPr>
            <w:tcW w:w="6095" w:type="dxa"/>
            <w:tcBorders>
              <w:top w:val="single" w:sz="4" w:space="0" w:color="auto"/>
              <w:left w:val="nil"/>
              <w:bottom w:val="double" w:sz="4" w:space="0" w:color="auto"/>
              <w:right w:val="nil"/>
            </w:tcBorders>
            <w:vAlign w:val="center"/>
          </w:tcPr>
          <w:p w14:paraId="02462F64" w14:textId="771143ED" w:rsidR="00D56603" w:rsidRPr="00D51121" w:rsidRDefault="00A10B4C">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IR</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=1-</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lang w:val="en-US"/>
                          </w:rPr>
                          <m:t>10</m:t>
                        </m:r>
                      </m:e>
                      <m:sup>
                        <m:r>
                          <w:rPr>
                            <w:rFonts w:ascii="Cambria Math" w:hAnsi="Cambria Math"/>
                            <w:sz w:val="18"/>
                            <w:szCs w:val="18"/>
                          </w:rPr>
                          <m:t>Γ</m:t>
                        </m:r>
                      </m:sup>
                    </m:sSup>
                  </m:e>
                </m:d>
                <m:r>
                  <w:rPr>
                    <w:rFonts w:ascii="Cambria Math" w:eastAsiaTheme="minorEastAsia" w:hAnsi="Cambria Math"/>
                    <w:sz w:val="18"/>
                    <w:szCs w:val="18"/>
                    <w:lang w:val="en-US"/>
                  </w:rPr>
                  <m:t xml:space="preserve">          Γ=</m:t>
                </m:r>
                <m:f>
                  <m:fPr>
                    <m:ctrlPr>
                      <w:rPr>
                        <w:rFonts w:ascii="Cambria Math" w:hAnsi="Cambria Math"/>
                        <w:i/>
                        <w:sz w:val="18"/>
                        <w:szCs w:val="18"/>
                      </w:rPr>
                    </m:ctrlPr>
                  </m:fPr>
                  <m:num>
                    <m:r>
                      <w:rPr>
                        <w:rFonts w:ascii="Cambria Math" w:hAnsi="Cambria Math"/>
                        <w:sz w:val="18"/>
                        <w:szCs w:val="18"/>
                        <w:lang w:val="en-US"/>
                      </w:rPr>
                      <m:t>1</m:t>
                    </m:r>
                  </m:num>
                  <m:den>
                    <m:r>
                      <w:rPr>
                        <w:rFonts w:ascii="Cambria Math" w:hAnsi="Cambria Math"/>
                        <w:sz w:val="18"/>
                        <w:szCs w:val="18"/>
                      </w:rPr>
                      <m:t>m</m:t>
                    </m:r>
                  </m:den>
                </m:f>
                <m:nary>
                  <m:naryPr>
                    <m:chr m:val="∑"/>
                    <m:limLoc m:val="undOvr"/>
                    <m:ctrlPr>
                      <w:rPr>
                        <w:rFonts w:ascii="Cambria Math" w:hAnsi="Cambria Math"/>
                        <w:i/>
                        <w:sz w:val="18"/>
                        <w:szCs w:val="18"/>
                      </w:rPr>
                    </m:ctrlPr>
                  </m:naryPr>
                  <m:sub>
                    <m:r>
                      <w:rPr>
                        <w:rFonts w:ascii="Cambria Math" w:hAnsi="Cambria Math"/>
                        <w:sz w:val="18"/>
                        <w:szCs w:val="18"/>
                      </w:rPr>
                      <m:t>k</m:t>
                    </m:r>
                    <m:r>
                      <w:rPr>
                        <w:rFonts w:ascii="Cambria Math" w:hAnsi="Cambria Math"/>
                        <w:sz w:val="18"/>
                        <w:szCs w:val="18"/>
                        <w:lang w:val="en-US"/>
                      </w:rPr>
                      <m:t>=1</m:t>
                    </m:r>
                  </m:sub>
                  <m:sup>
                    <m:r>
                      <w:rPr>
                        <w:rFonts w:ascii="Cambria Math" w:hAnsi="Cambria Math"/>
                        <w:sz w:val="18"/>
                        <w:szCs w:val="18"/>
                      </w:rPr>
                      <m:t>m</m:t>
                    </m:r>
                  </m:sup>
                  <m:e>
                    <m:sSub>
                      <m:sSubPr>
                        <m:ctrlPr>
                          <w:rPr>
                            <w:rFonts w:ascii="Cambria Math" w:hAnsi="Cambria Math"/>
                            <w:sz w:val="18"/>
                            <w:szCs w:val="18"/>
                          </w:rPr>
                        </m:ctrlPr>
                      </m:sSubPr>
                      <m:e>
                        <m:func>
                          <m:funcPr>
                            <m:ctrlPr>
                              <w:rPr>
                                <w:rFonts w:ascii="Cambria Math" w:hAnsi="Cambria Math"/>
                                <w:sz w:val="18"/>
                                <w:szCs w:val="18"/>
                              </w:rPr>
                            </m:ctrlPr>
                          </m:funcPr>
                          <m:fName>
                            <m:r>
                              <m:rPr>
                                <m:sty m:val="p"/>
                              </m:rPr>
                              <w:rPr>
                                <w:rFonts w:ascii="Cambria Math" w:hAnsi="Cambria Math"/>
                                <w:sz w:val="18"/>
                                <w:szCs w:val="18"/>
                                <w:lang w:val="en-US"/>
                              </w:rPr>
                              <m:t>log</m:t>
                            </m:r>
                          </m:fName>
                          <m:e>
                            <m:d>
                              <m:dPr>
                                <m:ctrlPr>
                                  <w:rPr>
                                    <w:rFonts w:ascii="Cambria Math" w:hAnsi="Cambria Math"/>
                                    <w:i/>
                                    <w:sz w:val="18"/>
                                    <w:szCs w:val="18"/>
                                  </w:rPr>
                                </m:ctrlPr>
                              </m:dPr>
                              <m:e>
                                <m:r>
                                  <w:rPr>
                                    <w:rFonts w:ascii="Cambria Math"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r>
                                  <w:rPr>
                                    <w:rFonts w:ascii="Cambria Math" w:hAnsi="Cambria Math"/>
                                    <w:sz w:val="18"/>
                                    <w:szCs w:val="18"/>
                                  </w:rPr>
                                  <m:t>t</m:t>
                                </m:r>
                                <m:r>
                                  <w:rPr>
                                    <w:rFonts w:ascii="Cambria Math" w:hAnsi="Cambria Math"/>
                                    <w:sz w:val="18"/>
                                    <w:szCs w:val="18"/>
                                    <w:lang w:val="en-US"/>
                                  </w:rPr>
                                  <m:t>)</m:t>
                                </m:r>
                              </m:e>
                            </m:d>
                          </m:e>
                        </m:func>
                      </m:e>
                      <m:sub>
                        <m:r>
                          <w:rPr>
                            <w:rFonts w:ascii="Cambria Math" w:hAnsi="Cambria Math"/>
                            <w:sz w:val="18"/>
                            <w:szCs w:val="18"/>
                          </w:rPr>
                          <m:t>k</m:t>
                        </m:r>
                      </m:sub>
                    </m:sSub>
                  </m:e>
                </m:nary>
                <m:r>
                  <w:rPr>
                    <w:rFonts w:ascii="Cambria Math" w:eastAsiaTheme="minorEastAsia" w:hAnsi="Cambria Math"/>
                    <w:sz w:val="18"/>
                    <w:szCs w:val="18"/>
                    <w:lang w:val="en-US"/>
                  </w:rPr>
                  <m:t xml:space="preserve">      (56)</m:t>
                </m:r>
              </m:oMath>
            </m:oMathPara>
          </w:p>
        </w:tc>
        <w:tc>
          <w:tcPr>
            <w:tcW w:w="5499" w:type="dxa"/>
            <w:tcBorders>
              <w:top w:val="single" w:sz="4" w:space="0" w:color="auto"/>
              <w:left w:val="nil"/>
              <w:bottom w:val="double" w:sz="4" w:space="0" w:color="auto"/>
              <w:right w:val="nil"/>
            </w:tcBorders>
            <w:vAlign w:val="center"/>
          </w:tcPr>
          <w:p w14:paraId="5994B40B" w14:textId="647E7C4D" w:rsidR="00D56603" w:rsidRPr="00DF30B8" w:rsidRDefault="00DF30B8">
            <w:pPr>
              <w:spacing w:line="360" w:lineRule="auto"/>
              <w:jc w:val="center"/>
              <w:rPr>
                <w:rFonts w:eastAsiaTheme="minorEastAsia"/>
                <w:sz w:val="20"/>
                <w:szCs w:val="20"/>
                <w:lang w:val="en-US"/>
              </w:rPr>
            </w:pPr>
            <w:proofErr w:type="spellStart"/>
            <w:r w:rsidRPr="00DF30B8">
              <w:rPr>
                <w:b/>
                <w:bCs/>
                <w:i/>
                <w:iCs/>
                <w:sz w:val="18"/>
                <w:szCs w:val="20"/>
                <w:lang w:val="en-US"/>
              </w:rPr>
              <w:t>Risk</w:t>
            </w:r>
            <w:r w:rsidRPr="00DF30B8">
              <w:rPr>
                <w:b/>
                <w:bCs/>
                <w:i/>
                <w:iCs/>
                <w:sz w:val="18"/>
                <w:szCs w:val="20"/>
                <w:vertAlign w:val="subscript"/>
                <w:lang w:val="en-US"/>
              </w:rPr>
              <w:t>ChemLoE</w:t>
            </w:r>
            <w:proofErr w:type="spellEnd"/>
            <w:r w:rsidRPr="00DF30B8">
              <w:rPr>
                <w:sz w:val="18"/>
                <w:szCs w:val="20"/>
                <w:lang w:val="en-US"/>
              </w:rPr>
              <w:t xml:space="preserve"> </w:t>
            </w:r>
            <w:r>
              <w:rPr>
                <w:sz w:val="18"/>
                <w:szCs w:val="20"/>
                <w:lang w:val="en-US"/>
              </w:rPr>
              <w:t xml:space="preserve">= </w:t>
            </w:r>
            <w:r w:rsidRPr="00DF30B8">
              <w:rPr>
                <w:sz w:val="18"/>
                <w:szCs w:val="20"/>
                <w:lang w:val="en-US"/>
              </w:rPr>
              <w:t>Risk value for Chemical Line of Evidence</w:t>
            </w:r>
            <w:r>
              <w:rPr>
                <w:sz w:val="18"/>
                <w:szCs w:val="20"/>
                <w:lang w:val="en-US"/>
              </w:rPr>
              <w:t xml:space="preserve"> for environmental compartment </w:t>
            </w:r>
            <w:r w:rsidRPr="00DF30B8">
              <w:rPr>
                <w:i/>
                <w:iCs/>
                <w:sz w:val="18"/>
                <w:szCs w:val="20"/>
                <w:lang w:val="en-US"/>
              </w:rPr>
              <w:t>m</w:t>
            </w:r>
            <w:r>
              <w:rPr>
                <w:sz w:val="18"/>
                <w:szCs w:val="20"/>
                <w:lang w:val="en-US"/>
              </w:rPr>
              <w:t xml:space="preserve">; </w:t>
            </w:r>
            <w:r w:rsidRPr="00DF30B8">
              <w:rPr>
                <w:b/>
                <w:bCs/>
                <w:i/>
                <w:iCs/>
                <w:sz w:val="18"/>
                <w:szCs w:val="20"/>
                <w:lang w:val="en-US"/>
              </w:rPr>
              <w:t>m</w:t>
            </w:r>
            <w:r>
              <w:rPr>
                <w:sz w:val="18"/>
                <w:szCs w:val="20"/>
                <w:lang w:val="en-US"/>
              </w:rPr>
              <w:t xml:space="preserve"> = Number of environmental </w:t>
            </w:r>
            <w:r w:rsidR="006A5C9A">
              <w:rPr>
                <w:sz w:val="18"/>
                <w:szCs w:val="20"/>
                <w:lang w:val="en-US"/>
              </w:rPr>
              <w:t>compartments</w:t>
            </w:r>
            <w:r>
              <w:rPr>
                <w:sz w:val="18"/>
                <w:szCs w:val="20"/>
                <w:lang w:val="en-US"/>
              </w:rPr>
              <w:t>.</w:t>
            </w:r>
          </w:p>
        </w:tc>
        <w:tc>
          <w:tcPr>
            <w:tcW w:w="1539" w:type="dxa"/>
            <w:tcBorders>
              <w:top w:val="single" w:sz="4" w:space="0" w:color="auto"/>
              <w:left w:val="nil"/>
              <w:bottom w:val="double" w:sz="4" w:space="0" w:color="auto"/>
              <w:right w:val="nil"/>
            </w:tcBorders>
            <w:vAlign w:val="center"/>
          </w:tcPr>
          <w:p w14:paraId="38CBE3FD" w14:textId="2959AB69" w:rsidR="00D56603" w:rsidRPr="00F7525E" w:rsidRDefault="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bl>
    <w:p w14:paraId="3CB33D38" w14:textId="434063BC" w:rsidR="00C01D25" w:rsidRDefault="00C01D25" w:rsidP="0024583B">
      <w:pPr>
        <w:spacing w:after="120"/>
        <w:jc w:val="both"/>
        <w:rPr>
          <w:sz w:val="28"/>
          <w:lang w:val="en"/>
        </w:rPr>
      </w:pPr>
    </w:p>
    <w:p w14:paraId="183F0DB3" w14:textId="1F128E31" w:rsidR="00C01D25" w:rsidRDefault="00C01D25" w:rsidP="0024583B">
      <w:pPr>
        <w:spacing w:after="120"/>
        <w:jc w:val="both"/>
        <w:rPr>
          <w:sz w:val="28"/>
          <w:lang w:val="en"/>
        </w:rPr>
      </w:pPr>
      <w:r>
        <w:rPr>
          <w:sz w:val="28"/>
          <w:lang w:val="en"/>
        </w:rPr>
        <w:br w:type="page"/>
      </w:r>
    </w:p>
    <w:p w14:paraId="0349F077" w14:textId="003EEF59" w:rsidR="006F3072" w:rsidRDefault="006F3072" w:rsidP="006F3072">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18</w:t>
      </w:r>
      <w:r>
        <w:rPr>
          <w:sz w:val="28"/>
          <w:lang w:val="en-US"/>
        </w:rPr>
        <w:t xml:space="preserve"> – Some 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ecological risk calculations</w:t>
      </w:r>
    </w:p>
    <w:tbl>
      <w:tblPr>
        <w:tblStyle w:val="Tabelacomgrade1"/>
        <w:tblW w:w="146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2441"/>
        <w:gridCol w:w="1650"/>
        <w:gridCol w:w="2852"/>
        <w:gridCol w:w="1800"/>
        <w:gridCol w:w="1650"/>
        <w:gridCol w:w="1350"/>
        <w:gridCol w:w="1548"/>
      </w:tblGrid>
      <w:tr w:rsidR="001A68DA" w:rsidRPr="00C47575" w14:paraId="09A7C6A9" w14:textId="77777777" w:rsidTr="001A68DA">
        <w:trPr>
          <w:trHeight w:val="495"/>
          <w:jc w:val="center"/>
        </w:trPr>
        <w:tc>
          <w:tcPr>
            <w:tcW w:w="1310" w:type="dxa"/>
            <w:tcBorders>
              <w:top w:val="double" w:sz="4" w:space="0" w:color="auto"/>
              <w:left w:val="nil"/>
              <w:bottom w:val="double" w:sz="4" w:space="0" w:color="auto"/>
              <w:right w:val="nil"/>
            </w:tcBorders>
            <w:vAlign w:val="center"/>
            <w:hideMark/>
          </w:tcPr>
          <w:p w14:paraId="4231C81E" w14:textId="77777777" w:rsidR="001A68DA" w:rsidRPr="00D51121" w:rsidRDefault="001A68DA">
            <w:pPr>
              <w:spacing w:line="360" w:lineRule="auto"/>
              <w:jc w:val="center"/>
              <w:rPr>
                <w:rStyle w:val="tlid-translation"/>
                <w:b/>
                <w:lang w:val="en-US"/>
              </w:rPr>
            </w:pPr>
            <w:r>
              <w:rPr>
                <w:rStyle w:val="tlid-translation"/>
                <w:b/>
                <w:sz w:val="20"/>
                <w:szCs w:val="20"/>
                <w:lang w:val="en-US"/>
              </w:rPr>
              <w:t>Chemical species</w:t>
            </w:r>
          </w:p>
        </w:tc>
        <w:tc>
          <w:tcPr>
            <w:tcW w:w="2441" w:type="dxa"/>
            <w:tcBorders>
              <w:top w:val="double" w:sz="4" w:space="0" w:color="auto"/>
              <w:left w:val="nil"/>
              <w:bottom w:val="double" w:sz="4" w:space="0" w:color="auto"/>
              <w:right w:val="nil"/>
            </w:tcBorders>
            <w:vAlign w:val="center"/>
            <w:hideMark/>
          </w:tcPr>
          <w:p w14:paraId="0AD6F2CE" w14:textId="77777777" w:rsidR="001A68DA" w:rsidRDefault="001A68DA">
            <w:pPr>
              <w:spacing w:line="360" w:lineRule="auto"/>
              <w:jc w:val="center"/>
              <w:rPr>
                <w:rStyle w:val="tlid-translation"/>
                <w:b/>
                <w:bCs/>
                <w:sz w:val="20"/>
                <w:szCs w:val="20"/>
                <w:vertAlign w:val="superscript"/>
                <w:lang w:val="en-US"/>
              </w:rPr>
            </w:pPr>
            <w:proofErr w:type="spellStart"/>
            <w:r>
              <w:rPr>
                <w:b/>
                <w:bCs/>
                <w:i/>
                <w:iCs/>
                <w:sz w:val="20"/>
                <w:szCs w:val="20"/>
                <w:lang w:val="en-US"/>
              </w:rPr>
              <w:t>C</w:t>
            </w:r>
            <w:r>
              <w:rPr>
                <w:b/>
                <w:bCs/>
                <w:i/>
                <w:iCs/>
                <w:sz w:val="20"/>
                <w:szCs w:val="20"/>
                <w:vertAlign w:val="subscript"/>
                <w:lang w:val="en-US"/>
              </w:rPr>
              <w:t>soil_</w:t>
            </w:r>
            <w:proofErr w:type="gramStart"/>
            <w:r>
              <w:rPr>
                <w:b/>
                <w:bCs/>
                <w:i/>
                <w:iCs/>
                <w:sz w:val="20"/>
                <w:szCs w:val="20"/>
                <w:vertAlign w:val="subscript"/>
                <w:lang w:val="en-US"/>
              </w:rPr>
              <w:t>ref</w:t>
            </w:r>
            <w:proofErr w:type="spellEnd"/>
            <w:r>
              <w:rPr>
                <w:rStyle w:val="tlid-translation"/>
                <w:b/>
                <w:bCs/>
                <w:sz w:val="20"/>
                <w:szCs w:val="20"/>
                <w:lang w:val="en-US"/>
              </w:rPr>
              <w:t xml:space="preserve"> </w:t>
            </w:r>
            <w:r>
              <w:rPr>
                <w:rStyle w:val="tlid-translation"/>
                <w:b/>
                <w:bCs/>
                <w:sz w:val="20"/>
                <w:szCs w:val="20"/>
                <w:vertAlign w:val="superscript"/>
                <w:lang w:val="en-US"/>
              </w:rPr>
              <w:t xml:space="preserve"> a</w:t>
            </w:r>
            <w:proofErr w:type="gramEnd"/>
          </w:p>
          <w:p w14:paraId="732D7C62" w14:textId="77777777" w:rsidR="001A68DA" w:rsidRDefault="001A68DA">
            <w:pPr>
              <w:spacing w:line="360" w:lineRule="auto"/>
              <w:jc w:val="center"/>
              <w:rPr>
                <w:rStyle w:val="tlid-translation"/>
                <w:b/>
                <w:b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650" w:type="dxa"/>
            <w:tcBorders>
              <w:top w:val="double" w:sz="4" w:space="0" w:color="auto"/>
              <w:left w:val="nil"/>
              <w:bottom w:val="double" w:sz="4" w:space="0" w:color="auto"/>
              <w:right w:val="nil"/>
            </w:tcBorders>
            <w:hideMark/>
          </w:tcPr>
          <w:p w14:paraId="3309BA9B" w14:textId="77777777" w:rsidR="001A68DA" w:rsidRDefault="001A68DA">
            <w:pPr>
              <w:spacing w:line="360" w:lineRule="auto"/>
              <w:jc w:val="center"/>
              <w:rPr>
                <w:rStyle w:val="tlid-translation"/>
                <w:b/>
                <w:bCs/>
                <w:sz w:val="20"/>
                <w:szCs w:val="20"/>
                <w:vertAlign w:val="superscript"/>
                <w:lang w:val="en-US"/>
              </w:rPr>
            </w:pPr>
            <w:proofErr w:type="spellStart"/>
            <w:r>
              <w:rPr>
                <w:b/>
                <w:bCs/>
                <w:i/>
                <w:iCs/>
                <w:sz w:val="20"/>
                <w:szCs w:val="20"/>
                <w:lang w:val="en-US"/>
              </w:rPr>
              <w:t>C</w:t>
            </w:r>
            <w:r>
              <w:rPr>
                <w:b/>
                <w:bCs/>
                <w:i/>
                <w:iCs/>
                <w:sz w:val="20"/>
                <w:szCs w:val="20"/>
                <w:vertAlign w:val="subscript"/>
                <w:lang w:val="en-US"/>
              </w:rPr>
              <w:t>TL_</w:t>
            </w:r>
            <w:proofErr w:type="gramStart"/>
            <w:r>
              <w:rPr>
                <w:b/>
                <w:bCs/>
                <w:i/>
                <w:iCs/>
                <w:sz w:val="20"/>
                <w:szCs w:val="20"/>
                <w:vertAlign w:val="subscript"/>
                <w:lang w:val="en-US"/>
              </w:rPr>
              <w:t>soil</w:t>
            </w:r>
            <w:proofErr w:type="spellEnd"/>
            <w:r>
              <w:rPr>
                <w:b/>
                <w:bCs/>
                <w:i/>
                <w:iCs/>
                <w:sz w:val="20"/>
                <w:szCs w:val="20"/>
                <w:vertAlign w:val="subscript"/>
                <w:lang w:val="en-US"/>
              </w:rPr>
              <w:t xml:space="preserve"> </w:t>
            </w:r>
            <w:r>
              <w:rPr>
                <w:b/>
                <w:bCs/>
                <w:i/>
                <w:iCs/>
                <w:sz w:val="20"/>
                <w:szCs w:val="20"/>
                <w:vertAlign w:val="superscript"/>
                <w:lang w:val="en-US"/>
              </w:rPr>
              <w:t xml:space="preserve"> </w:t>
            </w:r>
            <w:r>
              <w:rPr>
                <w:i/>
                <w:iCs/>
                <w:sz w:val="20"/>
                <w:szCs w:val="20"/>
                <w:vertAlign w:val="superscript"/>
                <w:lang w:val="en-US"/>
              </w:rPr>
              <w:t>b</w:t>
            </w:r>
            <w:proofErr w:type="gramEnd"/>
          </w:p>
          <w:p w14:paraId="1748A1A8" w14:textId="77777777" w:rsidR="001A68DA" w:rsidRPr="001A68DA" w:rsidRDefault="001A68DA">
            <w:pPr>
              <w:spacing w:line="360" w:lineRule="auto"/>
              <w:jc w:val="center"/>
              <w:rPr>
                <w:i/>
                <w:iCs/>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852" w:type="dxa"/>
            <w:tcBorders>
              <w:top w:val="double" w:sz="4" w:space="0" w:color="auto"/>
              <w:left w:val="nil"/>
              <w:bottom w:val="double" w:sz="4" w:space="0" w:color="auto"/>
              <w:right w:val="nil"/>
            </w:tcBorders>
            <w:vAlign w:val="center"/>
            <w:hideMark/>
          </w:tcPr>
          <w:p w14:paraId="586E593C" w14:textId="77777777" w:rsidR="001A68DA" w:rsidRPr="001A68DA" w:rsidRDefault="001A68DA">
            <w:pPr>
              <w:spacing w:line="360" w:lineRule="auto"/>
              <w:jc w:val="center"/>
              <w:rPr>
                <w:rStyle w:val="tlid-translation"/>
                <w:vertAlign w:val="superscript"/>
                <w:lang w:val="en-US"/>
              </w:rPr>
            </w:pPr>
            <w:proofErr w:type="spellStart"/>
            <w:r>
              <w:rPr>
                <w:b/>
                <w:bCs/>
                <w:i/>
                <w:iCs/>
                <w:sz w:val="20"/>
                <w:szCs w:val="20"/>
                <w:lang w:val="en-US"/>
              </w:rPr>
              <w:t>C</w:t>
            </w:r>
            <w:r>
              <w:rPr>
                <w:b/>
                <w:bCs/>
                <w:i/>
                <w:iCs/>
                <w:sz w:val="20"/>
                <w:szCs w:val="20"/>
                <w:vertAlign w:val="subscript"/>
                <w:lang w:val="en-US"/>
              </w:rPr>
              <w:t>water_ref</w:t>
            </w:r>
            <w:proofErr w:type="spellEnd"/>
            <w:r>
              <w:rPr>
                <w:rStyle w:val="tlid-translation"/>
                <w:b/>
                <w:bCs/>
                <w:sz w:val="20"/>
                <w:szCs w:val="20"/>
                <w:lang w:val="en-US"/>
              </w:rPr>
              <w:t xml:space="preserve"> and </w:t>
            </w:r>
            <w:proofErr w:type="spellStart"/>
            <w:r>
              <w:rPr>
                <w:b/>
                <w:bCs/>
                <w:i/>
                <w:iCs/>
                <w:sz w:val="20"/>
                <w:szCs w:val="20"/>
                <w:lang w:val="en-US"/>
              </w:rPr>
              <w:t>C</w:t>
            </w:r>
            <w:r>
              <w:rPr>
                <w:b/>
                <w:bCs/>
                <w:i/>
                <w:iCs/>
                <w:sz w:val="20"/>
                <w:szCs w:val="20"/>
                <w:vertAlign w:val="subscript"/>
                <w:lang w:val="en-US"/>
              </w:rPr>
              <w:t>TL_</w:t>
            </w:r>
            <w:proofErr w:type="gramStart"/>
            <w:r>
              <w:rPr>
                <w:b/>
                <w:bCs/>
                <w:i/>
                <w:iCs/>
                <w:sz w:val="20"/>
                <w:szCs w:val="20"/>
                <w:vertAlign w:val="subscript"/>
                <w:lang w:val="en-US"/>
              </w:rPr>
              <w:t>water</w:t>
            </w:r>
            <w:proofErr w:type="spellEnd"/>
            <w:r>
              <w:rPr>
                <w:b/>
                <w:bCs/>
                <w:i/>
                <w:iCs/>
                <w:sz w:val="20"/>
                <w:szCs w:val="20"/>
                <w:vertAlign w:val="subscript"/>
                <w:lang w:val="en-US"/>
              </w:rPr>
              <w:t xml:space="preserve"> </w:t>
            </w:r>
            <w:r>
              <w:rPr>
                <w:b/>
                <w:bCs/>
                <w:i/>
                <w:iCs/>
                <w:sz w:val="20"/>
                <w:szCs w:val="20"/>
                <w:vertAlign w:val="superscript"/>
                <w:lang w:val="en-US"/>
              </w:rPr>
              <w:t xml:space="preserve"> </w:t>
            </w:r>
            <w:r>
              <w:rPr>
                <w:sz w:val="20"/>
                <w:szCs w:val="20"/>
                <w:vertAlign w:val="superscript"/>
                <w:lang w:val="en-US"/>
              </w:rPr>
              <w:t>c</w:t>
            </w:r>
            <w:proofErr w:type="gramEnd"/>
          </w:p>
          <w:p w14:paraId="1C623D46" w14:textId="77777777" w:rsidR="001A68DA" w:rsidRDefault="001A68DA">
            <w:pPr>
              <w:spacing w:line="360" w:lineRule="auto"/>
              <w:jc w:val="center"/>
              <w:rPr>
                <w:rStyle w:val="tlid-translation"/>
                <w:b/>
                <w:bCs/>
                <w:sz w:val="20"/>
                <w:szCs w:val="20"/>
                <w:lang w:val="en-US"/>
              </w:rPr>
            </w:pPr>
            <w:r>
              <w:rPr>
                <w:rStyle w:val="tlid-translation"/>
                <w:b/>
                <w:bCs/>
                <w:sz w:val="20"/>
                <w:szCs w:val="20"/>
                <w:lang w:val="en-US"/>
              </w:rPr>
              <w:t>(mg L</w:t>
            </w:r>
            <w:r>
              <w:rPr>
                <w:rStyle w:val="tlid-translation"/>
                <w:b/>
                <w:bCs/>
                <w:sz w:val="20"/>
                <w:szCs w:val="20"/>
                <w:vertAlign w:val="superscript"/>
                <w:lang w:val="en-US"/>
              </w:rPr>
              <w:t>-1</w:t>
            </w:r>
            <w:r>
              <w:rPr>
                <w:rStyle w:val="tlid-translation"/>
                <w:b/>
                <w:bCs/>
                <w:sz w:val="20"/>
                <w:szCs w:val="20"/>
                <w:lang w:val="en-US"/>
              </w:rPr>
              <w:t>)</w:t>
            </w:r>
          </w:p>
        </w:tc>
        <w:tc>
          <w:tcPr>
            <w:tcW w:w="1800" w:type="dxa"/>
            <w:tcBorders>
              <w:top w:val="double" w:sz="4" w:space="0" w:color="auto"/>
              <w:left w:val="nil"/>
              <w:bottom w:val="double" w:sz="4" w:space="0" w:color="auto"/>
              <w:right w:val="nil"/>
            </w:tcBorders>
            <w:vAlign w:val="center"/>
            <w:hideMark/>
          </w:tcPr>
          <w:p w14:paraId="7FD55E2C" w14:textId="77777777" w:rsidR="001A68DA" w:rsidRPr="00D51121" w:rsidRDefault="001A68DA">
            <w:pPr>
              <w:spacing w:line="360" w:lineRule="auto"/>
              <w:jc w:val="center"/>
              <w:rPr>
                <w:i/>
                <w:iCs/>
                <w:vertAlign w:val="superscript"/>
                <w:lang w:val="en-US"/>
              </w:rPr>
            </w:pPr>
            <w:proofErr w:type="gramStart"/>
            <w:r>
              <w:rPr>
                <w:b/>
                <w:bCs/>
                <w:i/>
                <w:iCs/>
                <w:sz w:val="20"/>
                <w:szCs w:val="20"/>
                <w:lang w:val="en-US"/>
              </w:rPr>
              <w:t>C</w:t>
            </w:r>
            <w:r>
              <w:rPr>
                <w:b/>
                <w:bCs/>
                <w:i/>
                <w:iCs/>
                <w:sz w:val="20"/>
                <w:szCs w:val="20"/>
                <w:vertAlign w:val="subscript"/>
                <w:lang w:val="en-US"/>
              </w:rPr>
              <w:t>UCC</w:t>
            </w:r>
            <w:r>
              <w:rPr>
                <w:b/>
                <w:bCs/>
                <w:i/>
                <w:iCs/>
                <w:sz w:val="20"/>
                <w:szCs w:val="20"/>
                <w:vertAlign w:val="superscript"/>
                <w:lang w:val="en-US"/>
              </w:rPr>
              <w:t xml:space="preserve">  d</w:t>
            </w:r>
            <w:proofErr w:type="gramEnd"/>
          </w:p>
          <w:p w14:paraId="378AC395" w14:textId="77777777" w:rsidR="001A68DA" w:rsidRPr="00D51121" w:rsidRDefault="001A68DA">
            <w:pPr>
              <w:spacing w:line="360" w:lineRule="auto"/>
              <w:jc w:val="center"/>
              <w:rPr>
                <w:rStyle w:val="tlid-translation"/>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r>
              <w:rPr>
                <w:b/>
                <w:bCs/>
                <w:sz w:val="20"/>
                <w:szCs w:val="20"/>
                <w:lang w:val="en-US"/>
              </w:rPr>
              <w:t xml:space="preserve"> </w:t>
            </w:r>
          </w:p>
        </w:tc>
        <w:tc>
          <w:tcPr>
            <w:tcW w:w="1650" w:type="dxa"/>
            <w:tcBorders>
              <w:top w:val="double" w:sz="4" w:space="0" w:color="auto"/>
              <w:left w:val="nil"/>
              <w:bottom w:val="double" w:sz="4" w:space="0" w:color="auto"/>
              <w:right w:val="nil"/>
            </w:tcBorders>
            <w:vAlign w:val="center"/>
            <w:hideMark/>
          </w:tcPr>
          <w:p w14:paraId="617DFFDF" w14:textId="77777777" w:rsidR="001A68DA" w:rsidRDefault="001A68DA">
            <w:pPr>
              <w:spacing w:line="360" w:lineRule="auto"/>
              <w:jc w:val="center"/>
              <w:rPr>
                <w:rStyle w:val="tlid-translation"/>
                <w:b/>
                <w:bCs/>
                <w:i/>
                <w:iCs/>
                <w:sz w:val="20"/>
                <w:szCs w:val="20"/>
                <w:vertAlign w:val="superscript"/>
                <w:lang w:val="en-US"/>
              </w:rPr>
            </w:pPr>
            <w:proofErr w:type="gramStart"/>
            <w:r>
              <w:rPr>
                <w:b/>
                <w:bCs/>
                <w:i/>
                <w:iCs/>
                <w:sz w:val="20"/>
                <w:szCs w:val="20"/>
                <w:lang w:val="en-US"/>
              </w:rPr>
              <w:t>T</w:t>
            </w:r>
            <w:r>
              <w:rPr>
                <w:b/>
                <w:bCs/>
                <w:i/>
                <w:iCs/>
                <w:sz w:val="20"/>
                <w:szCs w:val="20"/>
                <w:vertAlign w:val="subscript"/>
                <w:lang w:val="en-US"/>
              </w:rPr>
              <w:t>r</w:t>
            </w:r>
            <w:r>
              <w:rPr>
                <w:b/>
                <w:bCs/>
                <w:i/>
                <w:iCs/>
                <w:sz w:val="20"/>
                <w:szCs w:val="20"/>
                <w:vertAlign w:val="superscript"/>
                <w:lang w:val="en-US"/>
              </w:rPr>
              <w:t xml:space="preserve">  *</w:t>
            </w:r>
            <w:proofErr w:type="gramEnd"/>
          </w:p>
        </w:tc>
        <w:tc>
          <w:tcPr>
            <w:tcW w:w="1350" w:type="dxa"/>
            <w:tcBorders>
              <w:top w:val="double" w:sz="4" w:space="0" w:color="auto"/>
              <w:left w:val="nil"/>
              <w:bottom w:val="double" w:sz="4" w:space="0" w:color="auto"/>
              <w:right w:val="nil"/>
            </w:tcBorders>
            <w:vAlign w:val="center"/>
            <w:hideMark/>
          </w:tcPr>
          <w:p w14:paraId="39CDF88F" w14:textId="77777777" w:rsidR="001A68DA" w:rsidRDefault="001A68DA">
            <w:pPr>
              <w:spacing w:line="360" w:lineRule="auto"/>
              <w:jc w:val="center"/>
              <w:rPr>
                <w:rStyle w:val="tlid-translation"/>
                <w:b/>
                <w:bCs/>
                <w:sz w:val="20"/>
                <w:szCs w:val="20"/>
                <w:lang w:val="en-US"/>
              </w:rPr>
            </w:pPr>
            <w:proofErr w:type="gramStart"/>
            <w:r>
              <w:rPr>
                <w:b/>
                <w:bCs/>
                <w:i/>
                <w:iCs/>
                <w:sz w:val="20"/>
                <w:szCs w:val="20"/>
              </w:rPr>
              <w:t>α</w:t>
            </w:r>
            <w:r>
              <w:rPr>
                <w:b/>
                <w:bCs/>
                <w:i/>
                <w:iCs/>
                <w:sz w:val="20"/>
                <w:szCs w:val="20"/>
                <w:vertAlign w:val="superscript"/>
                <w:lang w:val="en-US"/>
              </w:rPr>
              <w:t xml:space="preserve">  *</w:t>
            </w:r>
            <w:proofErr w:type="gramEnd"/>
            <w:r>
              <w:rPr>
                <w:b/>
                <w:bCs/>
                <w:i/>
                <w:iCs/>
                <w:sz w:val="20"/>
                <w:szCs w:val="20"/>
                <w:vertAlign w:val="superscript"/>
                <w:lang w:val="en-US"/>
              </w:rPr>
              <w:t>*</w:t>
            </w:r>
          </w:p>
        </w:tc>
        <w:tc>
          <w:tcPr>
            <w:tcW w:w="1548" w:type="dxa"/>
            <w:tcBorders>
              <w:top w:val="double" w:sz="4" w:space="0" w:color="auto"/>
              <w:left w:val="nil"/>
              <w:bottom w:val="double" w:sz="4" w:space="0" w:color="auto"/>
              <w:right w:val="nil"/>
            </w:tcBorders>
            <w:vAlign w:val="center"/>
            <w:hideMark/>
          </w:tcPr>
          <w:p w14:paraId="2DC56B07" w14:textId="77777777" w:rsidR="001A68DA" w:rsidRDefault="001A68DA">
            <w:pPr>
              <w:spacing w:line="360" w:lineRule="auto"/>
              <w:jc w:val="center"/>
              <w:rPr>
                <w:rStyle w:val="tlid-translation"/>
                <w:b/>
                <w:bCs/>
                <w:i/>
                <w:iCs/>
                <w:sz w:val="20"/>
                <w:szCs w:val="20"/>
                <w:lang w:val="en-US"/>
              </w:rPr>
            </w:pPr>
            <w:r>
              <w:rPr>
                <w:b/>
                <w:bCs/>
                <w:i/>
                <w:iCs/>
                <w:sz w:val="20"/>
                <w:szCs w:val="20"/>
              </w:rPr>
              <w:t>β</w:t>
            </w:r>
            <w:r>
              <w:rPr>
                <w:b/>
                <w:bCs/>
                <w:i/>
                <w:iCs/>
                <w:sz w:val="20"/>
                <w:szCs w:val="20"/>
                <w:vertAlign w:val="superscript"/>
                <w:lang w:val="en-US"/>
              </w:rPr>
              <w:t xml:space="preserve"> **</w:t>
            </w:r>
          </w:p>
        </w:tc>
      </w:tr>
      <w:tr w:rsidR="001A68DA" w:rsidRPr="00C47575" w14:paraId="229FC2E2" w14:textId="77777777" w:rsidTr="001A68DA">
        <w:trPr>
          <w:trHeight w:val="513"/>
          <w:jc w:val="center"/>
        </w:trPr>
        <w:tc>
          <w:tcPr>
            <w:tcW w:w="1310" w:type="dxa"/>
            <w:tcBorders>
              <w:top w:val="double" w:sz="4" w:space="0" w:color="auto"/>
              <w:left w:val="nil"/>
              <w:bottom w:val="nil"/>
              <w:right w:val="nil"/>
            </w:tcBorders>
            <w:vAlign w:val="center"/>
            <w:hideMark/>
          </w:tcPr>
          <w:p w14:paraId="047CF014"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Cu</w:t>
            </w:r>
          </w:p>
        </w:tc>
        <w:tc>
          <w:tcPr>
            <w:tcW w:w="2441" w:type="dxa"/>
            <w:tcBorders>
              <w:top w:val="double" w:sz="4" w:space="0" w:color="auto"/>
              <w:left w:val="nil"/>
              <w:bottom w:val="nil"/>
              <w:right w:val="nil"/>
            </w:tcBorders>
            <w:vAlign w:val="center"/>
            <w:hideMark/>
          </w:tcPr>
          <w:p w14:paraId="4812E8F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5.94</w:t>
            </w:r>
          </w:p>
        </w:tc>
        <w:tc>
          <w:tcPr>
            <w:tcW w:w="1650" w:type="dxa"/>
            <w:tcBorders>
              <w:top w:val="double" w:sz="4" w:space="0" w:color="auto"/>
              <w:left w:val="nil"/>
              <w:bottom w:val="nil"/>
              <w:right w:val="nil"/>
            </w:tcBorders>
            <w:hideMark/>
          </w:tcPr>
          <w:p w14:paraId="187FF9F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200.00</w:t>
            </w:r>
          </w:p>
        </w:tc>
        <w:tc>
          <w:tcPr>
            <w:tcW w:w="2852" w:type="dxa"/>
            <w:tcBorders>
              <w:top w:val="double" w:sz="4" w:space="0" w:color="auto"/>
              <w:left w:val="nil"/>
              <w:bottom w:val="nil"/>
              <w:right w:val="nil"/>
            </w:tcBorders>
            <w:vAlign w:val="center"/>
            <w:hideMark/>
          </w:tcPr>
          <w:p w14:paraId="00A52EFC"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9.00E-3</w:t>
            </w:r>
          </w:p>
        </w:tc>
        <w:tc>
          <w:tcPr>
            <w:tcW w:w="1800" w:type="dxa"/>
            <w:tcBorders>
              <w:top w:val="double" w:sz="4" w:space="0" w:color="auto"/>
              <w:left w:val="nil"/>
              <w:bottom w:val="nil"/>
              <w:right w:val="nil"/>
            </w:tcBorders>
            <w:vAlign w:val="center"/>
            <w:hideMark/>
          </w:tcPr>
          <w:p w14:paraId="5C081A24"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28.00</w:t>
            </w:r>
          </w:p>
        </w:tc>
        <w:tc>
          <w:tcPr>
            <w:tcW w:w="1650" w:type="dxa"/>
            <w:tcBorders>
              <w:top w:val="double" w:sz="4" w:space="0" w:color="auto"/>
              <w:left w:val="nil"/>
              <w:bottom w:val="nil"/>
              <w:right w:val="nil"/>
            </w:tcBorders>
            <w:vAlign w:val="center"/>
            <w:hideMark/>
          </w:tcPr>
          <w:p w14:paraId="3DDFB17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tcBorders>
              <w:top w:val="double" w:sz="4" w:space="0" w:color="auto"/>
              <w:left w:val="nil"/>
              <w:bottom w:val="nil"/>
              <w:right w:val="nil"/>
            </w:tcBorders>
            <w:vAlign w:val="center"/>
            <w:hideMark/>
          </w:tcPr>
          <w:p w14:paraId="49A7239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2.78</w:t>
            </w:r>
          </w:p>
        </w:tc>
        <w:tc>
          <w:tcPr>
            <w:tcW w:w="1548" w:type="dxa"/>
            <w:tcBorders>
              <w:top w:val="double" w:sz="4" w:space="0" w:color="auto"/>
              <w:left w:val="nil"/>
              <w:bottom w:val="nil"/>
              <w:right w:val="nil"/>
            </w:tcBorders>
            <w:vAlign w:val="center"/>
            <w:hideMark/>
          </w:tcPr>
          <w:p w14:paraId="2C0DA5D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0.3914</w:t>
            </w:r>
          </w:p>
        </w:tc>
      </w:tr>
      <w:tr w:rsidR="001A68DA" w:rsidRPr="00C47575" w14:paraId="0CCD8A5E" w14:textId="77777777" w:rsidTr="001A68DA">
        <w:trPr>
          <w:trHeight w:val="495"/>
          <w:jc w:val="center"/>
        </w:trPr>
        <w:tc>
          <w:tcPr>
            <w:tcW w:w="1310" w:type="dxa"/>
            <w:vAlign w:val="center"/>
            <w:hideMark/>
          </w:tcPr>
          <w:p w14:paraId="66041E28"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Zn</w:t>
            </w:r>
          </w:p>
        </w:tc>
        <w:tc>
          <w:tcPr>
            <w:tcW w:w="2441" w:type="dxa"/>
            <w:vAlign w:val="center"/>
            <w:hideMark/>
          </w:tcPr>
          <w:p w14:paraId="4705DE5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45.41</w:t>
            </w:r>
          </w:p>
        </w:tc>
        <w:tc>
          <w:tcPr>
            <w:tcW w:w="1650" w:type="dxa"/>
            <w:hideMark/>
          </w:tcPr>
          <w:p w14:paraId="47307CF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450.00</w:t>
            </w:r>
          </w:p>
        </w:tc>
        <w:tc>
          <w:tcPr>
            <w:tcW w:w="2852" w:type="dxa"/>
            <w:vAlign w:val="center"/>
            <w:hideMark/>
          </w:tcPr>
          <w:p w14:paraId="2A36C7C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1.80E-1</w:t>
            </w:r>
          </w:p>
        </w:tc>
        <w:tc>
          <w:tcPr>
            <w:tcW w:w="1800" w:type="dxa"/>
            <w:vAlign w:val="center"/>
            <w:hideMark/>
          </w:tcPr>
          <w:p w14:paraId="129AF20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67.00</w:t>
            </w:r>
          </w:p>
        </w:tc>
        <w:tc>
          <w:tcPr>
            <w:tcW w:w="1650" w:type="dxa"/>
            <w:vAlign w:val="center"/>
            <w:hideMark/>
          </w:tcPr>
          <w:p w14:paraId="5D442DD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w:t>
            </w:r>
          </w:p>
        </w:tc>
        <w:tc>
          <w:tcPr>
            <w:tcW w:w="1350" w:type="dxa"/>
            <w:vAlign w:val="center"/>
            <w:hideMark/>
          </w:tcPr>
          <w:p w14:paraId="1B9E9002"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3.32</w:t>
            </w:r>
          </w:p>
        </w:tc>
        <w:tc>
          <w:tcPr>
            <w:tcW w:w="1548" w:type="dxa"/>
            <w:vAlign w:val="center"/>
            <w:hideMark/>
          </w:tcPr>
          <w:p w14:paraId="2D07517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0.3970</w:t>
            </w:r>
          </w:p>
        </w:tc>
      </w:tr>
      <w:tr w:rsidR="001A68DA" w:rsidRPr="00C47575" w14:paraId="31A615AD" w14:textId="77777777" w:rsidTr="001A68DA">
        <w:trPr>
          <w:trHeight w:val="513"/>
          <w:jc w:val="center"/>
        </w:trPr>
        <w:tc>
          <w:tcPr>
            <w:tcW w:w="1310" w:type="dxa"/>
            <w:vAlign w:val="center"/>
            <w:hideMark/>
          </w:tcPr>
          <w:p w14:paraId="4441F1D8"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Mn</w:t>
            </w:r>
          </w:p>
        </w:tc>
        <w:tc>
          <w:tcPr>
            <w:tcW w:w="2441" w:type="dxa"/>
            <w:vAlign w:val="center"/>
            <w:hideMark/>
          </w:tcPr>
          <w:p w14:paraId="30E7C01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173.41</w:t>
            </w:r>
          </w:p>
        </w:tc>
        <w:tc>
          <w:tcPr>
            <w:tcW w:w="1650" w:type="dxa"/>
            <w:hideMark/>
          </w:tcPr>
          <w:p w14:paraId="45C0026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2852" w:type="dxa"/>
            <w:vAlign w:val="center"/>
            <w:hideMark/>
          </w:tcPr>
          <w:p w14:paraId="7229D68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1.00E-1</w:t>
            </w:r>
          </w:p>
        </w:tc>
        <w:tc>
          <w:tcPr>
            <w:tcW w:w="1800" w:type="dxa"/>
            <w:vAlign w:val="center"/>
            <w:hideMark/>
          </w:tcPr>
          <w:p w14:paraId="4A18DFF3"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774.6</w:t>
            </w:r>
          </w:p>
        </w:tc>
        <w:tc>
          <w:tcPr>
            <w:tcW w:w="1650" w:type="dxa"/>
            <w:vAlign w:val="center"/>
            <w:hideMark/>
          </w:tcPr>
          <w:p w14:paraId="37544984"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w:t>
            </w:r>
          </w:p>
        </w:tc>
        <w:tc>
          <w:tcPr>
            <w:tcW w:w="1350" w:type="dxa"/>
            <w:vAlign w:val="center"/>
            <w:hideMark/>
          </w:tcPr>
          <w:p w14:paraId="3795176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548" w:type="dxa"/>
            <w:vAlign w:val="center"/>
            <w:hideMark/>
          </w:tcPr>
          <w:p w14:paraId="6DB0C5E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r>
      <w:tr w:rsidR="001A68DA" w:rsidRPr="00C47575" w14:paraId="0D9CB48F" w14:textId="77777777" w:rsidTr="001A68DA">
        <w:trPr>
          <w:trHeight w:val="513"/>
          <w:jc w:val="center"/>
        </w:trPr>
        <w:tc>
          <w:tcPr>
            <w:tcW w:w="1310" w:type="dxa"/>
            <w:vAlign w:val="center"/>
            <w:hideMark/>
          </w:tcPr>
          <w:p w14:paraId="4B9A5BFF"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Ni</w:t>
            </w:r>
          </w:p>
        </w:tc>
        <w:tc>
          <w:tcPr>
            <w:tcW w:w="2441" w:type="dxa"/>
            <w:vAlign w:val="center"/>
            <w:hideMark/>
          </w:tcPr>
          <w:p w14:paraId="7BC830C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7.63</w:t>
            </w:r>
          </w:p>
        </w:tc>
        <w:tc>
          <w:tcPr>
            <w:tcW w:w="1650" w:type="dxa"/>
            <w:hideMark/>
          </w:tcPr>
          <w:p w14:paraId="4A045F1E"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70.00</w:t>
            </w:r>
          </w:p>
        </w:tc>
        <w:tc>
          <w:tcPr>
            <w:tcW w:w="2852" w:type="dxa"/>
            <w:vAlign w:val="center"/>
            <w:hideMark/>
          </w:tcPr>
          <w:p w14:paraId="24C1E27C"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2.50E-2</w:t>
            </w:r>
          </w:p>
        </w:tc>
        <w:tc>
          <w:tcPr>
            <w:tcW w:w="1800" w:type="dxa"/>
            <w:vAlign w:val="center"/>
            <w:hideMark/>
          </w:tcPr>
          <w:p w14:paraId="3D1A67B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47.00</w:t>
            </w:r>
          </w:p>
        </w:tc>
        <w:tc>
          <w:tcPr>
            <w:tcW w:w="1650" w:type="dxa"/>
            <w:vAlign w:val="center"/>
            <w:hideMark/>
          </w:tcPr>
          <w:p w14:paraId="3908D76E"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233D608B"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2.81</w:t>
            </w:r>
          </w:p>
        </w:tc>
        <w:tc>
          <w:tcPr>
            <w:tcW w:w="1548" w:type="dxa"/>
            <w:vAlign w:val="center"/>
            <w:hideMark/>
          </w:tcPr>
          <w:p w14:paraId="04AD763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0.4355</w:t>
            </w:r>
          </w:p>
        </w:tc>
      </w:tr>
      <w:tr w:rsidR="001A68DA" w:rsidRPr="00C47575" w14:paraId="34685A22" w14:textId="77777777" w:rsidTr="001A68DA">
        <w:trPr>
          <w:trHeight w:val="495"/>
          <w:jc w:val="center"/>
        </w:trPr>
        <w:tc>
          <w:tcPr>
            <w:tcW w:w="1310" w:type="dxa"/>
            <w:vAlign w:val="center"/>
            <w:hideMark/>
          </w:tcPr>
          <w:p w14:paraId="4FC79B9A"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Pb</w:t>
            </w:r>
          </w:p>
        </w:tc>
        <w:tc>
          <w:tcPr>
            <w:tcW w:w="2441" w:type="dxa"/>
            <w:vAlign w:val="center"/>
            <w:hideMark/>
          </w:tcPr>
          <w:p w14:paraId="37A951F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19.48</w:t>
            </w:r>
          </w:p>
        </w:tc>
        <w:tc>
          <w:tcPr>
            <w:tcW w:w="1650" w:type="dxa"/>
            <w:hideMark/>
          </w:tcPr>
          <w:p w14:paraId="75BB381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180.00</w:t>
            </w:r>
          </w:p>
        </w:tc>
        <w:tc>
          <w:tcPr>
            <w:tcW w:w="2852" w:type="dxa"/>
            <w:vAlign w:val="center"/>
            <w:hideMark/>
          </w:tcPr>
          <w:p w14:paraId="2A63BAC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1.00E-2</w:t>
            </w:r>
          </w:p>
        </w:tc>
        <w:tc>
          <w:tcPr>
            <w:tcW w:w="1800" w:type="dxa"/>
            <w:vAlign w:val="center"/>
            <w:hideMark/>
          </w:tcPr>
          <w:p w14:paraId="4F001CE9"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17.00</w:t>
            </w:r>
          </w:p>
        </w:tc>
        <w:tc>
          <w:tcPr>
            <w:tcW w:w="1650" w:type="dxa"/>
            <w:vAlign w:val="center"/>
            <w:hideMark/>
          </w:tcPr>
          <w:p w14:paraId="5261E33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1056CD9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3.69</w:t>
            </w:r>
          </w:p>
        </w:tc>
        <w:tc>
          <w:tcPr>
            <w:tcW w:w="1548" w:type="dxa"/>
            <w:vAlign w:val="center"/>
            <w:hideMark/>
          </w:tcPr>
          <w:p w14:paraId="6D1AB395"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0.4852</w:t>
            </w:r>
          </w:p>
        </w:tc>
      </w:tr>
      <w:tr w:rsidR="001A68DA" w:rsidRPr="00C47575" w14:paraId="37BAC65A" w14:textId="77777777" w:rsidTr="001A68DA">
        <w:trPr>
          <w:trHeight w:val="513"/>
          <w:jc w:val="center"/>
        </w:trPr>
        <w:tc>
          <w:tcPr>
            <w:tcW w:w="1310" w:type="dxa"/>
            <w:vAlign w:val="center"/>
            <w:hideMark/>
          </w:tcPr>
          <w:p w14:paraId="22569FB2"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Co</w:t>
            </w:r>
          </w:p>
        </w:tc>
        <w:tc>
          <w:tcPr>
            <w:tcW w:w="2441" w:type="dxa"/>
            <w:vAlign w:val="center"/>
            <w:hideMark/>
          </w:tcPr>
          <w:p w14:paraId="7039453B"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3.50</w:t>
            </w:r>
          </w:p>
        </w:tc>
        <w:tc>
          <w:tcPr>
            <w:tcW w:w="1650" w:type="dxa"/>
            <w:hideMark/>
          </w:tcPr>
          <w:p w14:paraId="6021D2E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35.00</w:t>
            </w:r>
          </w:p>
        </w:tc>
        <w:tc>
          <w:tcPr>
            <w:tcW w:w="2852" w:type="dxa"/>
            <w:vAlign w:val="center"/>
            <w:hideMark/>
          </w:tcPr>
          <w:p w14:paraId="0CA4EC7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5.00E-2</w:t>
            </w:r>
          </w:p>
        </w:tc>
        <w:tc>
          <w:tcPr>
            <w:tcW w:w="1800" w:type="dxa"/>
            <w:vAlign w:val="center"/>
            <w:hideMark/>
          </w:tcPr>
          <w:p w14:paraId="2E10776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17.30</w:t>
            </w:r>
          </w:p>
        </w:tc>
        <w:tc>
          <w:tcPr>
            <w:tcW w:w="1650" w:type="dxa"/>
            <w:vAlign w:val="center"/>
            <w:hideMark/>
          </w:tcPr>
          <w:p w14:paraId="48C2ADD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6F9527F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3.23</w:t>
            </w:r>
          </w:p>
        </w:tc>
        <w:tc>
          <w:tcPr>
            <w:tcW w:w="1548" w:type="dxa"/>
            <w:vAlign w:val="center"/>
            <w:hideMark/>
          </w:tcPr>
          <w:p w14:paraId="482B146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0.6120</w:t>
            </w:r>
          </w:p>
        </w:tc>
      </w:tr>
      <w:tr w:rsidR="001A68DA" w:rsidRPr="00C47575" w14:paraId="0E2D4E6B" w14:textId="77777777" w:rsidTr="001A68DA">
        <w:trPr>
          <w:trHeight w:val="513"/>
          <w:jc w:val="center"/>
        </w:trPr>
        <w:tc>
          <w:tcPr>
            <w:tcW w:w="1310" w:type="dxa"/>
            <w:tcBorders>
              <w:top w:val="nil"/>
              <w:left w:val="nil"/>
              <w:bottom w:val="double" w:sz="4" w:space="0" w:color="auto"/>
              <w:right w:val="nil"/>
            </w:tcBorders>
            <w:vAlign w:val="center"/>
            <w:hideMark/>
          </w:tcPr>
          <w:p w14:paraId="13584C1B"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Fe</w:t>
            </w:r>
          </w:p>
        </w:tc>
        <w:tc>
          <w:tcPr>
            <w:tcW w:w="2441" w:type="dxa"/>
            <w:tcBorders>
              <w:top w:val="nil"/>
              <w:left w:val="nil"/>
              <w:bottom w:val="double" w:sz="4" w:space="0" w:color="auto"/>
              <w:right w:val="nil"/>
            </w:tcBorders>
            <w:vAlign w:val="center"/>
            <w:hideMark/>
          </w:tcPr>
          <w:p w14:paraId="3D6C606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16048.09</w:t>
            </w:r>
          </w:p>
        </w:tc>
        <w:tc>
          <w:tcPr>
            <w:tcW w:w="1650" w:type="dxa"/>
            <w:tcBorders>
              <w:top w:val="nil"/>
              <w:left w:val="nil"/>
              <w:bottom w:val="double" w:sz="4" w:space="0" w:color="auto"/>
              <w:right w:val="nil"/>
            </w:tcBorders>
            <w:hideMark/>
          </w:tcPr>
          <w:p w14:paraId="01BA486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2852" w:type="dxa"/>
            <w:tcBorders>
              <w:top w:val="nil"/>
              <w:left w:val="nil"/>
              <w:bottom w:val="double" w:sz="4" w:space="0" w:color="auto"/>
              <w:right w:val="nil"/>
            </w:tcBorders>
            <w:vAlign w:val="center"/>
            <w:hideMark/>
          </w:tcPr>
          <w:p w14:paraId="62783EC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3.00E-1</w:t>
            </w:r>
          </w:p>
        </w:tc>
        <w:tc>
          <w:tcPr>
            <w:tcW w:w="1800" w:type="dxa"/>
            <w:tcBorders>
              <w:top w:val="nil"/>
              <w:left w:val="nil"/>
              <w:bottom w:val="double" w:sz="4" w:space="0" w:color="auto"/>
              <w:right w:val="nil"/>
            </w:tcBorders>
            <w:vAlign w:val="center"/>
            <w:hideMark/>
          </w:tcPr>
          <w:p w14:paraId="3A0C59D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39000.00</w:t>
            </w:r>
          </w:p>
        </w:tc>
        <w:tc>
          <w:tcPr>
            <w:tcW w:w="1650" w:type="dxa"/>
            <w:tcBorders>
              <w:top w:val="nil"/>
              <w:left w:val="nil"/>
              <w:bottom w:val="double" w:sz="4" w:space="0" w:color="auto"/>
              <w:right w:val="nil"/>
            </w:tcBorders>
            <w:vAlign w:val="center"/>
            <w:hideMark/>
          </w:tcPr>
          <w:p w14:paraId="06DE8065"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350" w:type="dxa"/>
            <w:tcBorders>
              <w:top w:val="nil"/>
              <w:left w:val="nil"/>
              <w:bottom w:val="double" w:sz="4" w:space="0" w:color="auto"/>
              <w:right w:val="nil"/>
            </w:tcBorders>
            <w:vAlign w:val="center"/>
            <w:hideMark/>
          </w:tcPr>
          <w:p w14:paraId="20F0518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548" w:type="dxa"/>
            <w:tcBorders>
              <w:top w:val="nil"/>
              <w:left w:val="nil"/>
              <w:bottom w:val="double" w:sz="4" w:space="0" w:color="auto"/>
              <w:right w:val="nil"/>
            </w:tcBorders>
            <w:vAlign w:val="center"/>
            <w:hideMark/>
          </w:tcPr>
          <w:p w14:paraId="3E74495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r>
    </w:tbl>
    <w:p w14:paraId="7B2615DD" w14:textId="50A50800" w:rsidR="001A68DA" w:rsidRDefault="001A68DA" w:rsidP="001A68DA">
      <w:pPr>
        <w:spacing w:after="0" w:line="240" w:lineRule="auto"/>
        <w:ind w:left="709" w:right="677"/>
        <w:jc w:val="both"/>
        <w:rPr>
          <w:rStyle w:val="tlid-translation"/>
          <w:sz w:val="20"/>
          <w:szCs w:val="20"/>
          <w:lang w:val="en-US"/>
        </w:rPr>
      </w:pPr>
      <w:r>
        <w:rPr>
          <w:rStyle w:val="tlid-translation"/>
          <w:sz w:val="20"/>
          <w:szCs w:val="20"/>
          <w:lang w:val="en-US"/>
        </w:rPr>
        <w:t xml:space="preserve">n.d. - not </w:t>
      </w:r>
      <w:r>
        <w:rPr>
          <w:color w:val="131413"/>
          <w:sz w:val="20"/>
          <w:szCs w:val="20"/>
          <w:lang w:val="en-US"/>
        </w:rPr>
        <w:t>determined</w:t>
      </w:r>
      <w:r>
        <w:rPr>
          <w:sz w:val="20"/>
          <w:szCs w:val="20"/>
          <w:lang w:val="en-US"/>
        </w:rPr>
        <w:t xml:space="preserve">; </w:t>
      </w:r>
      <w:r>
        <w:rPr>
          <w:rStyle w:val="tlid-translation"/>
          <w:sz w:val="20"/>
          <w:szCs w:val="20"/>
          <w:vertAlign w:val="superscript"/>
          <w:lang w:val="en-US"/>
        </w:rPr>
        <w:t>a</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Biondi et al. </w:t>
      </w:r>
      <w:r>
        <w:rPr>
          <w:rStyle w:val="tlid-translation"/>
          <w:sz w:val="20"/>
          <w:szCs w:val="20"/>
          <w:lang w:val="en-US"/>
        </w:rPr>
        <w:fldChar w:fldCharType="begin" w:fldLock="1"/>
      </w:r>
      <w:r>
        <w:rPr>
          <w:rStyle w:val="tlid-translation"/>
          <w:sz w:val="20"/>
          <w:szCs w:val="20"/>
          <w:lang w:val="en-US"/>
        </w:rPr>
        <w:instrText>ADDIN CSL_CITATION {"citationItems":[{"id":"ITEM-1","itemData":{"DOI":"10.1590/S0100-06832011000300039","ISSN":"0100-0683","abstract":"Metais pesados formam um grupo de elementos com particularidades relevantes e de ocorrência natural no ambiente, como elementos acessórios na constituição de rochas. Esses elementos, apesar de associados à toxidez, exigem tratamento diferenciado em relação aos xenobióticos, uma vez que diversos metais possuem essencialidade (Fe, Mn, Cu, Zn e Ni) e benefício (Co) comprovados para as plantas. Nesse contexto, o objetivo deste trabalho foi determinar os teores naturais dos metais Fe, Mn, Zn, Ni, Cu e Co nos solos de referência de Pernambuco. Foram coletadas amostras de solo nas três regiões fisiográficas (Zona da Mata, Agreste e Sertão), dos dois primeiros horizontes dos 35 solos de referência do Estado de Pernambuco. A digestão das amostras baseou-se no método 3051A (USEPA, 1998), e a determinação foi efetuada em ICP-OES. Correlações significativas foram estabelecidas entre os metais e entre estes e a fração argila do solo, em ambos os horizontes, indicando a associação comum da maioria dos metais com solos mais argilosos. A maioria dos solos apresentou teores de Fe, Mn, Zn, Cu, Ni e Co menores que os de solos de outras regiões do País, com litologia mais máfica, o que corrobora o fato de que os teores desses elementos são mais diretamente relacionados aos minerais Fe-magnesianos. Os resultados indicam baixo potencial dos solos de Pernambuco em liberar Cu, Co e Ni para plantas, enquanto deficiências de Zn, Fe e Mn são menos prováveis. Os teores naturais de Fe, Mn, Zn, Cu, Ni e Co determinados podem ser utilizados como base para definição dos Valores de Referência de Qualidade para os solos de Pernambuco, de acordo com o preconizado pela legislação nacional.","author":[{"dropping-particle":"","family":"Biondi","given":"Caroline Miranda","non-dropping-particle":"","parse-names":false,"suffix":""},{"dropping-particle":"do","family":"Nascimento","given":"Clístenes Williams Araújo","non-dropping-particle":"","parse-names":false,"suffix":""},{"dropping-particle":"","family":"Fabricio Neta","given":"Adelazil de Brito","non-dropping-particle":"","parse-names":false,"suffix":""},{"dropping-particle":"","family":"Ribeiro","given":"Mateus Rosas","non-dropping-particle":"","parse-names":false,"suffix":""}],"container-title":"Revista Brasileira de Ciência do Solo","id":"ITEM-1","issue":"3","issued":{"date-parts":[["2011","6"]]},"page":"1057-1066","title":"Teores de Fe, Mn, Zn, Cu, Ni E Co em solos de referência de Pernambuco","type":"article-journal","volume":"35"},"suppress-author":1,"uris":["http://www.mendeley.com/documents/?uuid=6e649406-f39c-493f-bac4-d37cfcd45e9b"]}],"mendeley":{"formattedCitation":"(2011)","plainTextFormattedCitation":"(2011)","previouslyFormattedCitation":"(2011)"},"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(2011)</w:t>
      </w:r>
      <w:r>
        <w:rPr>
          <w:rStyle w:val="tlid-translation"/>
          <w:sz w:val="20"/>
          <w:szCs w:val="20"/>
          <w:lang w:val="en-US"/>
        </w:rPr>
        <w:fldChar w:fldCharType="end"/>
      </w:r>
      <w:r>
        <w:rPr>
          <w:rStyle w:val="tlid-translation"/>
          <w:sz w:val="20"/>
          <w:szCs w:val="20"/>
          <w:lang w:val="en-US"/>
        </w:rPr>
        <w:t xml:space="preserve"> and da Silva et al. </w:t>
      </w:r>
      <w:r>
        <w:rPr>
          <w:rStyle w:val="tlid-translation"/>
          <w:sz w:val="20"/>
          <w:szCs w:val="20"/>
        </w:rPr>
        <w:fldChar w:fldCharType="begin" w:fldLock="1"/>
      </w:r>
      <w:r>
        <w:rPr>
          <w:rStyle w:val="tlid-translation"/>
          <w:sz w:val="20"/>
          <w:szCs w:val="20"/>
          <w:lang w:val="en-US"/>
        </w:rPr>
        <w:instrText>ADDIN CSL_CITATION {"citationItems":[{"id":"ITEM-1","itemData":{"DOI":"10.1007/s10661-015-4782-1","ISSN":"0167-6369","abstract":"Determining heavy metal background concentrations in soils is fundamental in order to support the monitoring of potentially contaminated areas. This is particularly important to areas submitted to high environmental impact where an intensive and local monitoring is required. To this end, the aim of this study was to establish background concentrations and quality reference values (QRVs) for the heavy metals Cd, Cr, Cu, Fe, Mn, Ni, Pb, Zn, As, and Hg in an environmentally impacted watershed from Brazil. Geochemical associations among Fe, Mn, and trace elements were also assessed to provide an alternative tool for establishing background concentrations. A total of one hundred and four samples comprised twenty-six composite soil samples from areas of native forest or minimal anthropic influence. Samples were digested (USEPA method 3051A), and the metals were determined by ICP-OES, except for As and Hg measured by atomic absorption spectrophotometer. Background concentrations of heavy metals in soils had the following decreasing order: Fe &gt; Mn &gt; Zn &gt; Cr &gt; Pb &gt; Ni &gt; Cu &gt; As &gt; Cd &gt; Hg. These values were usually lower than those observed in the international and national literature. The QRVs for Ipojuca watershed followed the order (mg kg−1) Fe (13,020.40) &gt; Mn (91.80) &gt; Zn (30.12) &gt; Cr (15.00) &gt; Pb (13.12) &gt; Cu (3.53) &gt; Ni (3.</w:instrText>
      </w:r>
      <w:r>
        <w:rPr>
          <w:rStyle w:val="tlid-translation"/>
          <w:sz w:val="20"/>
          <w:szCs w:val="20"/>
        </w:rPr>
        <w:instrText>30) &gt; As (0.51) &gt; Cd (0.08) &gt; Hg (0.04). Significant correlation among Fe, Mn, and heavy metals shows that solubilization by the method 3051A provides a reasona</w:instrText>
      </w:r>
      <w:r>
        <w:rPr>
          <w:rStyle w:val="tlid-translation"/>
          <w:sz w:val="20"/>
          <w:szCs w:val="20"/>
          <w:lang w:val="en-US"/>
        </w:rPr>
        <w:instrText>ble estimate for predicting background concentrations for Cd, Cr, and Cu as well as Zn, Cr, Cu, and Ni.","author":[{"dropping-particle":"","family":"Silva","given":"Yuri Jacques Agra Bezerra","non-dropping-particle":"da","parse-names":false,"suffix":""},{"dropping-particle":"","family":"Nascimento","given":"Clístenes Williams Araújo","non-dropping-particle":"do","parse-names":false,"suffix":""},{"dropping-particle":"","family":"Cantalice","given":"José Ramon Barros","non-dropping-particle":"","parse-names":false,"suffix":""},{"dropping-particle":"","family":"Silva","given":"Ygor Jacques Agra Bezerra","non-dropping-particle":"da","parse-names":false,"suffix":""},{"dropping-particle":"","family":"Cruz","given":"Cinthia Maria Cordeiro Atanázio","non-dropping-particle":"","parse-names":false,"suffix":""}],"container-title":"Environmental Monitoring and Assessment","id":"ITEM-1","issue":"9","issued":{"date-parts":[["2015","9","7"]]},"page":"558","title":"Watershed-scale assessment of background concentrations and guidance values for heavy metals in soils from a semiarid and coastal zone of Brazil","type":"article-journal","volume":"187"},"suppress-author":1,"uris":["http://www.mendeley.com/documents/?uuid=7d437494-4874-410f-841c-b65d7b51f961"]}],"mendeley":{"formattedCitation":"(2015)","plainTextFormattedCitation":"(2015)","previouslyFormattedCitation":"(2015)"},"properties":{"noteIndex":0},"schema":"https://github.com/citation-style-language/schema/raw/master/csl-citation.json"}</w:instrText>
      </w:r>
      <w:r>
        <w:rPr>
          <w:rStyle w:val="tlid-translation"/>
          <w:sz w:val="20"/>
          <w:szCs w:val="20"/>
        </w:rPr>
        <w:fldChar w:fldCharType="separate"/>
      </w:r>
      <w:r>
        <w:rPr>
          <w:rStyle w:val="tlid-translation"/>
          <w:noProof/>
          <w:sz w:val="20"/>
          <w:szCs w:val="20"/>
          <w:lang w:val="en-US"/>
        </w:rPr>
        <w:t>(2015)</w:t>
      </w:r>
      <w:r>
        <w:rPr>
          <w:rStyle w:val="tlid-translation"/>
          <w:sz w:val="20"/>
          <w:szCs w:val="20"/>
        </w:rPr>
        <w:fldChar w:fldCharType="end"/>
      </w:r>
      <w:r>
        <w:rPr>
          <w:rStyle w:val="tlid-translation"/>
          <w:sz w:val="20"/>
          <w:szCs w:val="20"/>
          <w:lang w:val="en-US"/>
        </w:rPr>
        <w:t xml:space="preserve">; </w:t>
      </w:r>
      <w:r>
        <w:rPr>
          <w:rStyle w:val="tlid-translation"/>
          <w:sz w:val="20"/>
          <w:szCs w:val="20"/>
          <w:vertAlign w:val="superscript"/>
          <w:lang w:val="en-US"/>
        </w:rPr>
        <w:t>b</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{"citationItems":[{"id":"ITEM-1","itemData":{"author":[{"dropping-particle":"","family":"CONAMA","given":"","non-dropping-particle":"","parse-names":false,"suffix":""}],"container-title":"CONSELHO NACIONAL DO MEIO AMBIENTE. Diário Oficial [da] República Federativa do Brasil","id":"ITEM-1","issued":{"date-parts":[["2009"]]},"title":"Resolução nº 420, de 28 de dezembro de 2009. Critérios e valores orientadores de qualidade do solo quanto à presença de substâncias químicas","type":"report"},"suppress-author":1,"uris":["http://www.mendeley.com/documents/?uuid=67a987a4-fd04-47a1-bb30-043290f5aabf"]}],"mendeley":{"formattedCitation":"(2009)","plainTextFormattedCitation":"(2009)","previouslyFormattedCitation":"(2009)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(2009)</w:t>
      </w:r>
      <w:r>
        <w:rPr>
          <w:rStyle w:val="tlid-translation"/>
          <w:sz w:val="20"/>
          <w:szCs w:val="20"/>
          <w:lang w:val="en-US"/>
        </w:rPr>
        <w:fldChar w:fldCharType="end"/>
      </w:r>
      <w:r>
        <w:rPr>
          <w:rStyle w:val="tlid-translation"/>
          <w:sz w:val="20"/>
          <w:szCs w:val="20"/>
          <w:lang w:val="en-US"/>
        </w:rPr>
        <w:t xml:space="preserve">; </w:t>
      </w:r>
      <w:r>
        <w:rPr>
          <w:rStyle w:val="tlid-translation"/>
          <w:sz w:val="20"/>
          <w:szCs w:val="20"/>
          <w:vertAlign w:val="superscript"/>
          <w:lang w:val="en-US"/>
        </w:rPr>
        <w:t>c</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{"citationItems":[{"id":"ITEM-1","itemData":{"ISSN":"0047-2425","author":[{"dropping-particle":"","family":"CONAMA","given":"","non-dropping-particle":"","parse-names":false,"suffix":""}],"container-title":"CONSELHO NACIONAL DO MEIO AMBIENTE. Diário Oficial [da] República Federativa do Brasil","id":"ITEM-1","issued":{"date-parts":[["2005"]]},"title":"Resolução. No. 357, de 17 de março de 2005. Dispõe sobre a classificação dos corpos de água e diretrizes ambientais para o seu enquadramento, bem como estabelece as condições e padrões de lançamento de efluentes, e dá outras providências","type":"report","volume":"18"},"suppress-author":1,"uris":["http://www.mendeley.com/documents/?uuid=96e470e3-1f5f-4634-b644-edcfc0d89f48"]}],"mendeley":{"formattedCitation":"(2005)","plainTextFormattedCitation":"(2005)","previouslyFormattedCitation":"(2005)"},"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(2005)</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d</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Rudnick et al. </w:t>
      </w:r>
      <w:r>
        <w:rPr>
          <w:rStyle w:val="tlid-translation"/>
          <w:sz w:val="20"/>
          <w:szCs w:val="20"/>
        </w:rPr>
        <w:fldChar w:fldCharType="begin" w:fldLock="1"/>
      </w:r>
      <w:r>
        <w:rPr>
          <w:rStyle w:val="tlid-translation"/>
          <w:sz w:val="20"/>
          <w:szCs w:val="20"/>
          <w:lang w:val="en-US"/>
        </w:rPr>
        <w:instrText>ADDIN CSL_CITATION {"citationItems":[{"id":"ITEM-1","itemData":{"DOI":"10.1016/B978-0-08-095975-7.00301-6","ISBN":"9780080983004","abstract":"This chapter reviews the present-day composition of the continental crust, the methods employed to derive these estimates, and the implications of the continental crust composition for the formation of the continents, Earth differentiation, and its geochemical inventories. We review the composition of the upper, middle, and lower continental crust. We then examine the bulk crust composition and the implications of this composition for crust generation and modification processes. Finally, we compare the Earth's crust with those of the other terrestrial planets in our solar system and speculate about what unique processes on Earth have given rise to this unusual crustal distribution. © 2014 Elsevier Ltd. All rights reserved.","author":[{"dropping-particle":"","family":"Rudnick","given":"R.L.","non-dropping-particle":"","parse-names":false,"suffix":""},{"dropping-particle":"","family":"Gao","given":"S.","non-dropping-particle":"","parse-names":false,"suffix":""}],"container-title":"Treatise on Geochemistry","edition":"2","id":"ITEM-1","issued":{"date-parts":[["2014"]]},"page":"1-51","publisher":"Elsevier","title":"Composition of the Continental Crust","type":"chapter","volume":"4"},"suppress-author":1,"uris":["http://www.mendeley.com/documents/?uuid=ff1aee2a-c646-411f-8346-fc5c823a9230"]}],"mendeley":{"formattedCitation":"(2014)","plainTextFormattedCitation":"(2014)","previouslyFormattedCitation":"(2014)"},"properties":{"noteIndex":0},"schema":"https://github.com/citation-style-language/schema/raw/master/csl-citation.json"}</w:instrText>
      </w:r>
      <w:r>
        <w:rPr>
          <w:rStyle w:val="tlid-translation"/>
          <w:sz w:val="20"/>
          <w:szCs w:val="20"/>
        </w:rPr>
        <w:fldChar w:fldCharType="separate"/>
      </w:r>
      <w:r>
        <w:rPr>
          <w:rStyle w:val="tlid-translation"/>
          <w:noProof/>
          <w:sz w:val="20"/>
          <w:szCs w:val="20"/>
        </w:rPr>
        <w:t>(2014)</w:t>
      </w:r>
      <w:r>
        <w:rPr>
          <w:rStyle w:val="tlid-translation"/>
          <w:sz w:val="20"/>
          <w:szCs w:val="20"/>
        </w:rPr>
        <w:fldChar w:fldCharType="end"/>
      </w:r>
      <w:r>
        <w:rPr>
          <w:rStyle w:val="tlid-translation"/>
          <w:sz w:val="20"/>
          <w:szCs w:val="20"/>
        </w:rPr>
        <w:t>;</w:t>
      </w:r>
      <w:r>
        <w:rPr>
          <w:rStyle w:val="tlid-translation"/>
          <w:sz w:val="20"/>
          <w:szCs w:val="20"/>
          <w:vertAlign w:val="superscript"/>
        </w:rPr>
        <w:t xml:space="preserve"> *</w:t>
      </w:r>
      <w:r>
        <w:rPr>
          <w:rStyle w:val="tlid-translation"/>
          <w:sz w:val="20"/>
          <w:szCs w:val="20"/>
        </w:rPr>
        <w:t xml:space="preserve"> </w:t>
      </w:r>
      <w:r>
        <w:rPr>
          <w:rStyle w:val="tlid-translation"/>
          <w:sz w:val="20"/>
          <w:lang w:val="en-US"/>
        </w:rPr>
        <w:t xml:space="preserve">Values taken from </w:t>
      </w:r>
      <w:proofErr w:type="spellStart"/>
      <w:r>
        <w:rPr>
          <w:sz w:val="20"/>
          <w:szCs w:val="20"/>
        </w:rPr>
        <w:t>Hakanson</w:t>
      </w:r>
      <w:proofErr w:type="spellEnd"/>
      <w:r>
        <w:rPr>
          <w:rStyle w:val="tlid-translation"/>
          <w:sz w:val="20"/>
          <w:szCs w:val="20"/>
        </w:rPr>
        <w:t xml:space="preserve"> </w:t>
      </w:r>
      <w:r>
        <w:rPr>
          <w:rStyle w:val="tlid-translation"/>
          <w:sz w:val="20"/>
          <w:szCs w:val="20"/>
          <w:lang w:val="en-US"/>
        </w:rPr>
        <w:fldChar w:fldCharType="begin" w:fldLock="1"/>
      </w:r>
      <w:r>
        <w:rPr>
          <w:rStyle w:val="tlid-translation"/>
          <w:sz w:val="20"/>
          <w:szCs w:val="20"/>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w:instrText>
      </w:r>
      <w:r>
        <w:rPr>
          <w:rStyle w:val="tlid-translation"/>
          <w:sz w:val="20"/>
          <w:szCs w:val="20"/>
          <w:lang w:val="en-US"/>
        </w:rPr>
        <w:instrText>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(1980)</w:t>
      </w:r>
      <w:r>
        <w:rPr>
          <w:rStyle w:val="tlid-translation"/>
          <w:sz w:val="20"/>
          <w:szCs w:val="20"/>
          <w:lang w:val="en-US"/>
        </w:rPr>
        <w:fldChar w:fldCharType="end"/>
      </w:r>
      <w:r>
        <w:rPr>
          <w:rStyle w:val="tlid-translation"/>
          <w:sz w:val="20"/>
          <w:szCs w:val="20"/>
          <w:lang w:val="en-US"/>
        </w:rPr>
        <w:t xml:space="preserve"> and </w:t>
      </w:r>
      <w:r>
        <w:rPr>
          <w:sz w:val="20"/>
          <w:szCs w:val="20"/>
          <w:lang w:val="en-US"/>
        </w:rPr>
        <w:t>Ullah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{"citationItems":[{"id":"ITEM-1","itemData":{"DOI":"10.1016/j.microc.2019.04.053","ISSN":"0026265X","abstract":"This study was aimed to investigate the potentially harmful elements (PHE) contamination and provenance in water and sediments of Zhob and Loralai valleys, northern Sulaiman fold belt (SFB), Baluchistan province, Pakistan. For this purpose, groundwater (springs, dug wells, bore wells and tube wells), surface water (Zhob River, Loralai River and tributaries) and sediments samples were collected and analyzed for physicochemical parameters including PHE. The concentrations of PHE including iron (Fe 2+ ), nickel (Ni 2+ ), lead (Pb 2+ ), cobalt (Co 2+ ), chromium (Cr 3+ ) and cadmium (Cd 2+ ) surpassed the world health organization (WHO) drinking water guidelines in 71%, 76%, 71%, 57%, 67% and 45% of samples in Zhob valley, respectively. Determined PHE concentrations in drinking water were evaluated for the potential risk assessment through average daily intake (ADI) and hazard quotient (HQ). Among PHE, the highest mean (0.12 mg/kg-day) ADI values were noted for Fe 2+ and HQ for Cr 3+ (1.95), surpassed the safe threshold limit in Zhob valley. Highest contamination factor (CF) values were found for Fe 2+ , Mn 2+ , Ni 2+ , Cu 2+ , Co 2+ , Cr 3+ and Cd 2+ in Zhob valley, while Zn and Pb in Loralai valley. Statistical analysis such as inter-metals correlation, one-way ANOVA and principal component analysis (PCA) showed that major sources of PHE contamination are geogenic.","author":[{"dropping-particle":"","family":"Ullah","given":"Rahim","non-dropping-particle":"","parse-names":false,"suffix":""},{"dropping-particle":"","family":"Muhammad","given":"Said","non-dropping-particle":"","parse-names":false,"suffix":""},{"dropping-particle":"","family":"Jadoon","given":"Ishtiaq A.K.","non-dropping-particle":"","parse-names":false,"suffix":""}],"container-title":"Microchemical Journal","id":"ITEM-1","issue":"February","issued":{"date-parts":[["2019","6"]]},"page":"1155-1162","publisher":"Elsevier","title":"Potentially harmful elements contamination in water and sediment: Evaluation for risk assessment and provenance in the northern Sulaiman fold belt, Baluchistan, Pakistan","type":"article-journal","volume":"147"},"suppress-author":1,"uris":["http://www.mendeley.com/documents/?uuid=afa8546e-6866-4876-9600-8e1f1ef45169"]}],"mendeley":{"formattedCitation":"(2019)","plainTextFormattedCitation":"(2019)","previouslyFormattedCitation":"(2019)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(2019)</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w:t>
      </w:r>
      <w:r>
        <w:rPr>
          <w:rStyle w:val="tlid-translation"/>
          <w:sz w:val="20"/>
          <w:szCs w:val="20"/>
          <w:lang w:val="en-US"/>
        </w:rPr>
        <w:t xml:space="preserve"> </w:t>
      </w:r>
      <w:r>
        <w:rPr>
          <w:rStyle w:val="tlid-translation"/>
          <w:sz w:val="20"/>
          <w:lang w:val="en-US"/>
        </w:rPr>
        <w:t xml:space="preserve">Values taken from </w:t>
      </w:r>
      <w:r>
        <w:rPr>
          <w:sz w:val="20"/>
          <w:szCs w:val="20"/>
          <w:lang w:val="en-US"/>
        </w:rPr>
        <w:t>Rutgers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{"citationItems":[{"id":"ITEM-1","itemData":{"DOI":"Report 711701072","author":[{"dropping-particle":"","family":"Rutgers","given":"M.","non-dropping-particle":"","parse-names":false,"suffix":""},{"dropping-particle":"","family":"Tuinstra","given":"J.","non-dropping-particle":"","parse-names":false,"suffix":""},{"dropping-particle":"","family":"Spijker","given":"J.","non-dropping-particle":"","parse-names":false,"suffix":""},{"dropping-particle":"","family":"Mesman","given":"M.","non-dropping-particle":"","parse-names":false,"suffix":""},{"dropping-particle":"","family":"Wintersen","given":"A.","non-dropping-particle":"","parse-names":false,"suffix":""},{"dropping-particle":"","family":"Posthuma","given":"L.","non-dropping-particle":"","parse-names":false,"suffix":""}],"container-title":"RIVM, Bilthoven, The Netherlands","id":"ITEM-1","issued":{"date-parts":[["2008"]]},"title":"Ecological Risks of Soil Contamination in the Second Step of the Remediation Criterion (In Dutch with English Summary)","type":"report"},"suppress-author":1,"uris":["http://www.mendeley.com/documents/?uuid=287ceda7-a90b-4e03-b880-04e5eac78b3a"]}],"mendeley":{"formattedCitation":"(2008)","plainTextFormattedCitation":"(2008)","previouslyFormattedCitation":"(2008)"},"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(2008)</w:t>
      </w:r>
      <w:r>
        <w:rPr>
          <w:rStyle w:val="tlid-translation"/>
          <w:sz w:val="20"/>
          <w:szCs w:val="20"/>
          <w:lang w:val="en-US"/>
        </w:rPr>
        <w:fldChar w:fldCharType="end"/>
      </w:r>
      <w:r>
        <w:rPr>
          <w:rStyle w:val="tlid-translation"/>
          <w:sz w:val="20"/>
          <w:szCs w:val="20"/>
          <w:lang w:val="en-US"/>
        </w:rPr>
        <w:t>.</w:t>
      </w:r>
    </w:p>
    <w:p w14:paraId="6630D0E6" w14:textId="78EA9DB4" w:rsidR="00BC1C50" w:rsidRDefault="00BC1C50" w:rsidP="00BC1C50">
      <w:pPr>
        <w:spacing w:after="0" w:line="240" w:lineRule="auto"/>
        <w:ind w:right="677"/>
        <w:jc w:val="both"/>
        <w:rPr>
          <w:rStyle w:val="tlid-translation"/>
          <w:sz w:val="20"/>
          <w:szCs w:val="20"/>
          <w:lang w:val="en-US"/>
        </w:rPr>
      </w:pPr>
      <w:r>
        <w:rPr>
          <w:rStyle w:val="tlid-translation"/>
          <w:sz w:val="20"/>
          <w:szCs w:val="20"/>
          <w:lang w:val="en-US"/>
        </w:rPr>
        <w:br w:type="page"/>
      </w:r>
    </w:p>
    <w:p w14:paraId="52C76FBA" w14:textId="3AB80933" w:rsidR="00BC1C50" w:rsidRPr="00AB7DD0" w:rsidRDefault="00BC1C50" w:rsidP="00BC1C50">
      <w:pPr>
        <w:spacing w:before="240" w:after="0" w:line="360" w:lineRule="auto"/>
        <w:jc w:val="center"/>
        <w:rPr>
          <w:rStyle w:val="tlid-translation"/>
          <w:sz w:val="28"/>
          <w:lang w:val="en"/>
        </w:rPr>
      </w:pPr>
      <w:r w:rsidRPr="00BD6F4A">
        <w:rPr>
          <w:b/>
          <w:sz w:val="28"/>
          <w:lang w:val="en-US"/>
        </w:rPr>
        <w:lastRenderedPageBreak/>
        <w:t xml:space="preserve">Table </w:t>
      </w:r>
      <w:r>
        <w:rPr>
          <w:b/>
          <w:sz w:val="28"/>
          <w:lang w:val="en-US"/>
        </w:rPr>
        <w:t>19</w:t>
      </w:r>
      <w:r w:rsidRPr="00BD6F4A">
        <w:rPr>
          <w:b/>
          <w:sz w:val="28"/>
          <w:lang w:val="en-US"/>
        </w:rPr>
        <w:t xml:space="preserve"> </w:t>
      </w:r>
      <w:r w:rsidRPr="00BD6F4A">
        <w:rPr>
          <w:sz w:val="28"/>
          <w:lang w:val="en-US"/>
        </w:rPr>
        <w:t xml:space="preserve">– </w:t>
      </w:r>
      <w:r>
        <w:rPr>
          <w:rStyle w:val="tlid-translation"/>
          <w:sz w:val="28"/>
          <w:lang w:val="en"/>
        </w:rPr>
        <w:t>Ecological risk</w:t>
      </w:r>
      <w:r w:rsidR="00975449">
        <w:rPr>
          <w:rStyle w:val="tlid-translation"/>
          <w:sz w:val="28"/>
          <w:lang w:val="en"/>
        </w:rPr>
        <w:t>s</w:t>
      </w:r>
      <w:r>
        <w:rPr>
          <w:rStyle w:val="tlid-translation"/>
          <w:sz w:val="28"/>
          <w:lang w:val="en"/>
        </w:rPr>
        <w:t xml:space="preserve"> characterization</w:t>
      </w:r>
      <w:r w:rsidR="0049101C">
        <w:rPr>
          <w:rStyle w:val="tlid-translation"/>
          <w:sz w:val="28"/>
          <w:lang w:val="en"/>
        </w:rPr>
        <w:t>s</w:t>
      </w:r>
    </w:p>
    <w:tbl>
      <w:tblPr>
        <w:tblStyle w:val="Tabelacomgrade1"/>
        <w:tblW w:w="14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418"/>
        <w:gridCol w:w="425"/>
        <w:gridCol w:w="992"/>
        <w:gridCol w:w="425"/>
        <w:gridCol w:w="426"/>
        <w:gridCol w:w="1275"/>
        <w:gridCol w:w="851"/>
        <w:gridCol w:w="142"/>
        <w:gridCol w:w="708"/>
        <w:gridCol w:w="1134"/>
        <w:gridCol w:w="567"/>
        <w:gridCol w:w="567"/>
        <w:gridCol w:w="851"/>
        <w:gridCol w:w="508"/>
        <w:gridCol w:w="1518"/>
      </w:tblGrid>
      <w:tr w:rsidR="00BC1C50" w14:paraId="3CD1C1C0" w14:textId="77777777" w:rsidTr="00BC1C50">
        <w:trPr>
          <w:trHeight w:val="396"/>
          <w:jc w:val="center"/>
        </w:trPr>
        <w:tc>
          <w:tcPr>
            <w:tcW w:w="2410" w:type="dxa"/>
            <w:tcBorders>
              <w:top w:val="double" w:sz="4" w:space="0" w:color="auto"/>
              <w:left w:val="nil"/>
              <w:bottom w:val="nil"/>
              <w:right w:val="nil"/>
            </w:tcBorders>
            <w:vAlign w:val="center"/>
            <w:hideMark/>
          </w:tcPr>
          <w:p w14:paraId="1EE2CA0D" w14:textId="77777777" w:rsidR="00BC1C50" w:rsidRDefault="00BC1C50">
            <w:pPr>
              <w:spacing w:line="276" w:lineRule="auto"/>
              <w:jc w:val="center"/>
              <w:rPr>
                <w:b/>
                <w:bCs/>
                <w:sz w:val="20"/>
                <w:szCs w:val="20"/>
                <w:lang w:val="en-US"/>
              </w:rPr>
            </w:pPr>
            <w:r>
              <w:rPr>
                <w:rStyle w:val="tlid-translation"/>
                <w:b/>
                <w:sz w:val="20"/>
                <w:szCs w:val="20"/>
                <w:lang w:val="en-US"/>
              </w:rPr>
              <w:t>Category</w:t>
            </w:r>
          </w:p>
        </w:tc>
        <w:tc>
          <w:tcPr>
            <w:tcW w:w="1418" w:type="dxa"/>
            <w:tcBorders>
              <w:top w:val="double" w:sz="4" w:space="0" w:color="auto"/>
              <w:left w:val="nil"/>
              <w:bottom w:val="nil"/>
              <w:right w:val="nil"/>
            </w:tcBorders>
            <w:vAlign w:val="center"/>
            <w:hideMark/>
          </w:tcPr>
          <w:p w14:paraId="7D6E07F8" w14:textId="77777777" w:rsidR="00BC1C50" w:rsidRDefault="00BC1C50">
            <w:pPr>
              <w:spacing w:line="276" w:lineRule="auto"/>
              <w:jc w:val="center"/>
              <w:rPr>
                <w:rStyle w:val="tlid-translation"/>
              </w:rPr>
            </w:pPr>
            <w:r>
              <w:rPr>
                <w:rStyle w:val="tlid-translation"/>
                <w:b/>
                <w:bCs/>
                <w:sz w:val="20"/>
                <w:szCs w:val="20"/>
                <w:lang w:val="en-US"/>
              </w:rPr>
              <w:t>0</w:t>
            </w:r>
          </w:p>
        </w:tc>
        <w:tc>
          <w:tcPr>
            <w:tcW w:w="1842" w:type="dxa"/>
            <w:gridSpan w:val="3"/>
            <w:tcBorders>
              <w:top w:val="double" w:sz="4" w:space="0" w:color="auto"/>
              <w:left w:val="nil"/>
              <w:bottom w:val="nil"/>
              <w:right w:val="nil"/>
            </w:tcBorders>
            <w:vAlign w:val="center"/>
            <w:hideMark/>
          </w:tcPr>
          <w:p w14:paraId="0134BE97"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1</w:t>
            </w:r>
          </w:p>
        </w:tc>
        <w:tc>
          <w:tcPr>
            <w:tcW w:w="1701" w:type="dxa"/>
            <w:gridSpan w:val="2"/>
            <w:tcBorders>
              <w:top w:val="double" w:sz="4" w:space="0" w:color="auto"/>
              <w:left w:val="nil"/>
              <w:bottom w:val="nil"/>
              <w:right w:val="nil"/>
            </w:tcBorders>
            <w:vAlign w:val="center"/>
            <w:hideMark/>
          </w:tcPr>
          <w:p w14:paraId="5F806651"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2</w:t>
            </w:r>
          </w:p>
        </w:tc>
        <w:tc>
          <w:tcPr>
            <w:tcW w:w="1701" w:type="dxa"/>
            <w:gridSpan w:val="3"/>
            <w:tcBorders>
              <w:top w:val="double" w:sz="4" w:space="0" w:color="auto"/>
              <w:left w:val="nil"/>
              <w:bottom w:val="nil"/>
              <w:right w:val="nil"/>
            </w:tcBorders>
            <w:vAlign w:val="center"/>
            <w:hideMark/>
          </w:tcPr>
          <w:p w14:paraId="5BE22BDC"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3</w:t>
            </w:r>
          </w:p>
        </w:tc>
        <w:tc>
          <w:tcPr>
            <w:tcW w:w="1701" w:type="dxa"/>
            <w:gridSpan w:val="2"/>
            <w:tcBorders>
              <w:top w:val="double" w:sz="4" w:space="0" w:color="auto"/>
              <w:left w:val="nil"/>
              <w:bottom w:val="nil"/>
              <w:right w:val="nil"/>
            </w:tcBorders>
            <w:vAlign w:val="center"/>
            <w:hideMark/>
          </w:tcPr>
          <w:p w14:paraId="0EB97496"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4</w:t>
            </w:r>
          </w:p>
        </w:tc>
        <w:tc>
          <w:tcPr>
            <w:tcW w:w="1926" w:type="dxa"/>
            <w:gridSpan w:val="3"/>
            <w:tcBorders>
              <w:top w:val="double" w:sz="4" w:space="0" w:color="auto"/>
              <w:left w:val="nil"/>
              <w:bottom w:val="nil"/>
              <w:right w:val="nil"/>
            </w:tcBorders>
            <w:vAlign w:val="center"/>
            <w:hideMark/>
          </w:tcPr>
          <w:p w14:paraId="7BBA53EA"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5</w:t>
            </w:r>
          </w:p>
        </w:tc>
        <w:tc>
          <w:tcPr>
            <w:tcW w:w="1518" w:type="dxa"/>
            <w:tcBorders>
              <w:top w:val="double" w:sz="4" w:space="0" w:color="auto"/>
              <w:left w:val="nil"/>
              <w:bottom w:val="nil"/>
              <w:right w:val="nil"/>
            </w:tcBorders>
            <w:vAlign w:val="center"/>
            <w:hideMark/>
          </w:tcPr>
          <w:p w14:paraId="36322567"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6</w:t>
            </w:r>
          </w:p>
        </w:tc>
      </w:tr>
      <w:tr w:rsidR="00BC1C50" w14:paraId="4D4F5671" w14:textId="77777777" w:rsidTr="00BC1C50">
        <w:trPr>
          <w:trHeight w:val="396"/>
          <w:jc w:val="center"/>
        </w:trPr>
        <w:tc>
          <w:tcPr>
            <w:tcW w:w="2410" w:type="dxa"/>
            <w:tcBorders>
              <w:top w:val="nil"/>
              <w:left w:val="nil"/>
              <w:bottom w:val="double" w:sz="4" w:space="0" w:color="auto"/>
              <w:right w:val="nil"/>
            </w:tcBorders>
            <w:vAlign w:val="center"/>
            <w:hideMark/>
          </w:tcPr>
          <w:p w14:paraId="5602BAB7" w14:textId="77777777" w:rsidR="00BC1C50" w:rsidRDefault="00BC1C50">
            <w:pPr>
              <w:spacing w:line="276" w:lineRule="auto"/>
              <w:jc w:val="center"/>
              <w:rPr>
                <w:rStyle w:val="tlid-translation"/>
                <w:b/>
                <w:bCs/>
                <w:sz w:val="20"/>
                <w:szCs w:val="20"/>
                <w:lang w:val="en-US"/>
              </w:rPr>
            </w:pPr>
            <w:r>
              <w:rPr>
                <w:b/>
                <w:bCs/>
                <w:sz w:val="20"/>
                <w:szCs w:val="20"/>
                <w:lang w:val="en-US"/>
              </w:rPr>
              <w:t>Contamination level</w:t>
            </w:r>
          </w:p>
        </w:tc>
        <w:tc>
          <w:tcPr>
            <w:tcW w:w="1418" w:type="dxa"/>
            <w:tcBorders>
              <w:top w:val="nil"/>
              <w:left w:val="nil"/>
              <w:bottom w:val="double" w:sz="4" w:space="0" w:color="auto"/>
              <w:right w:val="nil"/>
            </w:tcBorders>
            <w:vAlign w:val="center"/>
            <w:hideMark/>
          </w:tcPr>
          <w:p w14:paraId="41C1E1C3" w14:textId="77777777" w:rsidR="00BC1C50" w:rsidRDefault="00BC1C50">
            <w:pPr>
              <w:spacing w:line="276" w:lineRule="auto"/>
              <w:jc w:val="center"/>
              <w:rPr>
                <w:rStyle w:val="tlid-translation"/>
                <w:sz w:val="20"/>
                <w:szCs w:val="20"/>
                <w:vertAlign w:val="subscript"/>
                <w:lang w:val="en-US"/>
              </w:rPr>
            </w:pPr>
            <w:r>
              <w:rPr>
                <w:rStyle w:val="tlid-translation"/>
                <w:sz w:val="20"/>
                <w:szCs w:val="20"/>
                <w:lang w:val="en-US"/>
              </w:rPr>
              <w:t>Unpolluted</w:t>
            </w:r>
          </w:p>
        </w:tc>
        <w:tc>
          <w:tcPr>
            <w:tcW w:w="1842" w:type="dxa"/>
            <w:gridSpan w:val="3"/>
            <w:tcBorders>
              <w:top w:val="nil"/>
              <w:left w:val="nil"/>
              <w:bottom w:val="double" w:sz="4" w:space="0" w:color="auto"/>
              <w:right w:val="nil"/>
            </w:tcBorders>
            <w:vAlign w:val="center"/>
            <w:hideMark/>
          </w:tcPr>
          <w:p w14:paraId="45FEC32A" w14:textId="77777777" w:rsidR="00BC1C50" w:rsidRDefault="00BC1C50">
            <w:pPr>
              <w:spacing w:line="276" w:lineRule="auto"/>
              <w:jc w:val="center"/>
              <w:rPr>
                <w:rStyle w:val="tlid-translation"/>
                <w:sz w:val="20"/>
                <w:szCs w:val="20"/>
                <w:lang w:val="en-US"/>
              </w:rPr>
            </w:pPr>
            <w:r>
              <w:rPr>
                <w:rStyle w:val="tlid-translation"/>
                <w:sz w:val="20"/>
                <w:szCs w:val="20"/>
                <w:lang w:val="en-US"/>
              </w:rPr>
              <w:t>Low to moderately polluted</w:t>
            </w:r>
          </w:p>
        </w:tc>
        <w:tc>
          <w:tcPr>
            <w:tcW w:w="1701" w:type="dxa"/>
            <w:gridSpan w:val="2"/>
            <w:tcBorders>
              <w:top w:val="nil"/>
              <w:left w:val="nil"/>
              <w:bottom w:val="double" w:sz="4" w:space="0" w:color="auto"/>
              <w:right w:val="nil"/>
            </w:tcBorders>
            <w:vAlign w:val="center"/>
            <w:hideMark/>
          </w:tcPr>
          <w:p w14:paraId="59920D7B"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Moderately polluted</w:t>
            </w:r>
          </w:p>
        </w:tc>
        <w:tc>
          <w:tcPr>
            <w:tcW w:w="1701" w:type="dxa"/>
            <w:gridSpan w:val="3"/>
            <w:tcBorders>
              <w:top w:val="nil"/>
              <w:left w:val="nil"/>
              <w:bottom w:val="double" w:sz="4" w:space="0" w:color="auto"/>
              <w:right w:val="nil"/>
            </w:tcBorders>
            <w:vAlign w:val="center"/>
            <w:hideMark/>
          </w:tcPr>
          <w:p w14:paraId="531BFEC0"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Moderately to heavily polluted</w:t>
            </w:r>
          </w:p>
        </w:tc>
        <w:tc>
          <w:tcPr>
            <w:tcW w:w="1701" w:type="dxa"/>
            <w:gridSpan w:val="2"/>
            <w:tcBorders>
              <w:top w:val="nil"/>
              <w:left w:val="nil"/>
              <w:bottom w:val="double" w:sz="4" w:space="0" w:color="auto"/>
              <w:right w:val="nil"/>
            </w:tcBorders>
            <w:vAlign w:val="center"/>
            <w:hideMark/>
          </w:tcPr>
          <w:p w14:paraId="7408E822" w14:textId="77777777" w:rsidR="00BC1C50" w:rsidRDefault="00BC1C50">
            <w:pPr>
              <w:spacing w:line="276" w:lineRule="auto"/>
              <w:jc w:val="center"/>
              <w:rPr>
                <w:rStyle w:val="tlid-translation"/>
                <w:sz w:val="20"/>
                <w:szCs w:val="20"/>
                <w:lang w:val="en-US"/>
              </w:rPr>
            </w:pPr>
            <w:r>
              <w:rPr>
                <w:rStyle w:val="tlid-translation"/>
                <w:sz w:val="20"/>
                <w:szCs w:val="20"/>
                <w:lang w:val="en-US"/>
              </w:rPr>
              <w:t>Heavily polluted</w:t>
            </w:r>
          </w:p>
        </w:tc>
        <w:tc>
          <w:tcPr>
            <w:tcW w:w="1926" w:type="dxa"/>
            <w:gridSpan w:val="3"/>
            <w:tcBorders>
              <w:top w:val="nil"/>
              <w:left w:val="nil"/>
              <w:bottom w:val="double" w:sz="4" w:space="0" w:color="auto"/>
              <w:right w:val="nil"/>
            </w:tcBorders>
            <w:vAlign w:val="center"/>
            <w:hideMark/>
          </w:tcPr>
          <w:p w14:paraId="14BE5F22" w14:textId="77777777" w:rsidR="00BC1C50" w:rsidRDefault="00BC1C50">
            <w:pPr>
              <w:spacing w:line="276" w:lineRule="auto"/>
              <w:jc w:val="center"/>
              <w:rPr>
                <w:rStyle w:val="tlid-translation"/>
                <w:sz w:val="20"/>
                <w:szCs w:val="20"/>
                <w:lang w:val="en-US"/>
              </w:rPr>
            </w:pPr>
            <w:r>
              <w:rPr>
                <w:rStyle w:val="tlid-translation"/>
                <w:sz w:val="20"/>
                <w:szCs w:val="20"/>
                <w:lang w:val="en-US"/>
              </w:rPr>
              <w:t>Heavily to extremely polluted</w:t>
            </w:r>
          </w:p>
        </w:tc>
        <w:tc>
          <w:tcPr>
            <w:tcW w:w="1518" w:type="dxa"/>
            <w:tcBorders>
              <w:top w:val="nil"/>
              <w:left w:val="nil"/>
              <w:bottom w:val="double" w:sz="4" w:space="0" w:color="auto"/>
              <w:right w:val="nil"/>
            </w:tcBorders>
            <w:vAlign w:val="center"/>
            <w:hideMark/>
          </w:tcPr>
          <w:p w14:paraId="66545BB7" w14:textId="77777777" w:rsidR="00BC1C50" w:rsidRDefault="00BC1C50">
            <w:pPr>
              <w:spacing w:line="276" w:lineRule="auto"/>
              <w:jc w:val="center"/>
              <w:rPr>
                <w:rStyle w:val="tlid-translation"/>
                <w:sz w:val="20"/>
                <w:szCs w:val="20"/>
                <w:lang w:val="en-US"/>
              </w:rPr>
            </w:pPr>
            <w:r>
              <w:rPr>
                <w:rStyle w:val="tlid-translation"/>
                <w:sz w:val="20"/>
                <w:szCs w:val="20"/>
                <w:lang w:val="en-US"/>
              </w:rPr>
              <w:t>Extremely polluted</w:t>
            </w:r>
          </w:p>
        </w:tc>
      </w:tr>
      <w:tr w:rsidR="00BC1C50" w14:paraId="0C6AA8D9" w14:textId="77777777" w:rsidTr="00BC1C50">
        <w:trPr>
          <w:trHeight w:val="411"/>
          <w:jc w:val="center"/>
        </w:trPr>
        <w:tc>
          <w:tcPr>
            <w:tcW w:w="2410" w:type="dxa"/>
            <w:tcBorders>
              <w:top w:val="double" w:sz="4" w:space="0" w:color="auto"/>
              <w:left w:val="nil"/>
              <w:bottom w:val="nil"/>
              <w:right w:val="nil"/>
            </w:tcBorders>
            <w:vAlign w:val="center"/>
            <w:hideMark/>
          </w:tcPr>
          <w:p w14:paraId="77B41A85" w14:textId="77777777" w:rsidR="00BC1C50" w:rsidRDefault="00BC1C50">
            <w:pPr>
              <w:spacing w:line="276" w:lineRule="auto"/>
              <w:jc w:val="center"/>
              <w:rPr>
                <w:rStyle w:val="tlid-translation"/>
                <w:i/>
                <w:iCs/>
                <w:sz w:val="20"/>
                <w:szCs w:val="20"/>
                <w:vertAlign w:val="subscript"/>
                <w:lang w:val="en-US"/>
              </w:rPr>
            </w:pPr>
            <w:r>
              <w:rPr>
                <w:rStyle w:val="tlid-translation"/>
                <w:i/>
                <w:iCs/>
                <w:sz w:val="20"/>
                <w:szCs w:val="20"/>
                <w:lang w:val="en-US"/>
              </w:rPr>
              <w:t>CF</w:t>
            </w:r>
            <w:r>
              <w:rPr>
                <w:rStyle w:val="tlid-translation"/>
                <w:i/>
                <w:iCs/>
                <w:sz w:val="20"/>
                <w:szCs w:val="20"/>
                <w:vertAlign w:val="subscript"/>
              </w:rPr>
              <w:t>m</w:t>
            </w:r>
          </w:p>
        </w:tc>
        <w:tc>
          <w:tcPr>
            <w:tcW w:w="1418" w:type="dxa"/>
            <w:tcBorders>
              <w:top w:val="double" w:sz="4" w:space="0" w:color="auto"/>
              <w:left w:val="nil"/>
              <w:bottom w:val="nil"/>
              <w:right w:val="nil"/>
            </w:tcBorders>
            <w:vAlign w:val="center"/>
            <w:hideMark/>
          </w:tcPr>
          <w:p w14:paraId="536A489E" w14:textId="77777777" w:rsidR="00BC1C50" w:rsidRDefault="00BC1C50">
            <w:pPr>
              <w:spacing w:line="276" w:lineRule="auto"/>
              <w:jc w:val="center"/>
              <w:rPr>
                <w:rStyle w:val="tlid-translation"/>
                <w:sz w:val="20"/>
                <w:szCs w:val="20"/>
                <w:lang w:val="en-US"/>
              </w:rPr>
            </w:pPr>
            <w:r>
              <w:rPr>
                <w:rStyle w:val="tlid-translation"/>
                <w:sz w:val="20"/>
                <w:szCs w:val="20"/>
                <w:lang w:val="en-US"/>
              </w:rPr>
              <w:t>&lt; 1</w:t>
            </w:r>
          </w:p>
        </w:tc>
        <w:tc>
          <w:tcPr>
            <w:tcW w:w="1842" w:type="dxa"/>
            <w:gridSpan w:val="3"/>
            <w:tcBorders>
              <w:top w:val="double" w:sz="4" w:space="0" w:color="auto"/>
              <w:left w:val="nil"/>
              <w:bottom w:val="nil"/>
              <w:right w:val="nil"/>
            </w:tcBorders>
            <w:vAlign w:val="center"/>
            <w:hideMark/>
          </w:tcPr>
          <w:p w14:paraId="2F70A93F"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tcBorders>
              <w:top w:val="double" w:sz="4" w:space="0" w:color="auto"/>
              <w:left w:val="nil"/>
              <w:bottom w:val="nil"/>
              <w:right w:val="nil"/>
            </w:tcBorders>
            <w:vAlign w:val="center"/>
            <w:hideMark/>
          </w:tcPr>
          <w:p w14:paraId="1019932E"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3"/>
            <w:tcBorders>
              <w:top w:val="double" w:sz="4" w:space="0" w:color="auto"/>
              <w:left w:val="nil"/>
              <w:bottom w:val="nil"/>
              <w:right w:val="nil"/>
            </w:tcBorders>
            <w:vAlign w:val="center"/>
            <w:hideMark/>
          </w:tcPr>
          <w:p w14:paraId="40301584"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tcBorders>
              <w:top w:val="double" w:sz="4" w:space="0" w:color="auto"/>
              <w:left w:val="nil"/>
              <w:bottom w:val="nil"/>
              <w:right w:val="nil"/>
            </w:tcBorders>
            <w:vAlign w:val="center"/>
            <w:hideMark/>
          </w:tcPr>
          <w:p w14:paraId="0FB63F93" w14:textId="77777777" w:rsidR="00BC1C50" w:rsidRDefault="00BC1C50">
            <w:pPr>
              <w:spacing w:line="276" w:lineRule="auto"/>
              <w:jc w:val="center"/>
              <w:rPr>
                <w:rStyle w:val="tlid-translation"/>
                <w:sz w:val="20"/>
                <w:szCs w:val="20"/>
                <w:lang w:val="en-US"/>
              </w:rPr>
            </w:pPr>
            <w:r>
              <w:rPr>
                <w:rStyle w:val="tlid-translation"/>
                <w:sz w:val="20"/>
                <w:szCs w:val="20"/>
                <w:lang w:val="en-US"/>
              </w:rPr>
              <w:t>3 – 6</w:t>
            </w:r>
          </w:p>
        </w:tc>
        <w:tc>
          <w:tcPr>
            <w:tcW w:w="1926" w:type="dxa"/>
            <w:gridSpan w:val="3"/>
            <w:tcBorders>
              <w:top w:val="double" w:sz="4" w:space="0" w:color="auto"/>
              <w:left w:val="nil"/>
              <w:bottom w:val="nil"/>
              <w:right w:val="nil"/>
            </w:tcBorders>
            <w:vAlign w:val="center"/>
            <w:hideMark/>
          </w:tcPr>
          <w:p w14:paraId="5DB19CF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tcBorders>
              <w:top w:val="double" w:sz="4" w:space="0" w:color="auto"/>
              <w:left w:val="nil"/>
              <w:bottom w:val="nil"/>
              <w:right w:val="nil"/>
            </w:tcBorders>
            <w:vAlign w:val="center"/>
            <w:hideMark/>
          </w:tcPr>
          <w:p w14:paraId="01E013F7" w14:textId="77777777" w:rsidR="00BC1C50" w:rsidRDefault="00BC1C50">
            <w:pPr>
              <w:spacing w:line="276" w:lineRule="auto"/>
              <w:jc w:val="center"/>
              <w:rPr>
                <w:rStyle w:val="tlid-translation"/>
                <w:sz w:val="20"/>
                <w:szCs w:val="20"/>
                <w:lang w:val="en-US"/>
              </w:rPr>
            </w:pPr>
            <w:r>
              <w:rPr>
                <w:rStyle w:val="tlid-translation"/>
                <w:sz w:val="20"/>
                <w:szCs w:val="20"/>
                <w:lang w:val="en-US"/>
              </w:rPr>
              <w:t>≥ 6</w:t>
            </w:r>
          </w:p>
        </w:tc>
      </w:tr>
      <w:tr w:rsidR="00BC1C50" w14:paraId="437B9A17" w14:textId="77777777" w:rsidTr="00BC1C50">
        <w:trPr>
          <w:trHeight w:val="411"/>
          <w:jc w:val="center"/>
        </w:trPr>
        <w:tc>
          <w:tcPr>
            <w:tcW w:w="2410" w:type="dxa"/>
            <w:vAlign w:val="center"/>
            <w:hideMark/>
          </w:tcPr>
          <w:p w14:paraId="72DC5690" w14:textId="77777777" w:rsidR="00BC1C50" w:rsidRDefault="00BC1C50">
            <w:pPr>
              <w:spacing w:line="276" w:lineRule="auto"/>
              <w:jc w:val="center"/>
              <w:rPr>
                <w:rStyle w:val="tlid-translation"/>
                <w:i/>
                <w:iCs/>
                <w:sz w:val="20"/>
                <w:szCs w:val="20"/>
                <w:lang w:val="en-US"/>
              </w:rPr>
            </w:pPr>
            <w:proofErr w:type="spellStart"/>
            <w:r>
              <w:rPr>
                <w:rStyle w:val="tlid-translation"/>
                <w:i/>
                <w:iCs/>
                <w:sz w:val="20"/>
                <w:szCs w:val="20"/>
                <w:lang w:val="en-US"/>
              </w:rPr>
              <w:t>R</w:t>
            </w:r>
            <w:r>
              <w:rPr>
                <w:rStyle w:val="tlid-translation"/>
                <w:i/>
                <w:iCs/>
                <w:sz w:val="20"/>
                <w:szCs w:val="20"/>
                <w:vertAlign w:val="subscript"/>
                <w:lang w:val="en-US"/>
              </w:rPr>
              <w:t>w</w:t>
            </w:r>
            <w:proofErr w:type="spellEnd"/>
            <w:r>
              <w:rPr>
                <w:rStyle w:val="tlid-translation"/>
                <w:i/>
                <w:iCs/>
                <w:sz w:val="20"/>
                <w:szCs w:val="20"/>
                <w:vertAlign w:val="subscript"/>
                <w:lang w:val="en-US"/>
              </w:rPr>
              <w:t>-comb</w:t>
            </w:r>
          </w:p>
        </w:tc>
        <w:tc>
          <w:tcPr>
            <w:tcW w:w="1418" w:type="dxa"/>
            <w:vAlign w:val="center"/>
            <w:hideMark/>
          </w:tcPr>
          <w:p w14:paraId="09F1B8F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hideMark/>
          </w:tcPr>
          <w:p w14:paraId="195153DE" w14:textId="77777777" w:rsidR="00BC1C50" w:rsidRDefault="00BC1C50">
            <w:pPr>
              <w:spacing w:line="276" w:lineRule="auto"/>
              <w:jc w:val="center"/>
              <w:rPr>
                <w:rStyle w:val="tlid-translation"/>
                <w:sz w:val="20"/>
                <w:szCs w:val="20"/>
                <w:lang w:val="en-US"/>
              </w:rPr>
            </w:pPr>
            <w:r>
              <w:rPr>
                <w:rStyle w:val="tlid-translation"/>
                <w:sz w:val="20"/>
                <w:szCs w:val="20"/>
                <w:lang w:val="en-US"/>
              </w:rPr>
              <w:t>≤ 0.25</w:t>
            </w:r>
          </w:p>
        </w:tc>
        <w:tc>
          <w:tcPr>
            <w:tcW w:w="1701" w:type="dxa"/>
            <w:gridSpan w:val="2"/>
            <w:vAlign w:val="center"/>
            <w:hideMark/>
          </w:tcPr>
          <w:p w14:paraId="600B1C5A" w14:textId="77777777" w:rsidR="00BC1C50" w:rsidRDefault="00BC1C50">
            <w:pPr>
              <w:spacing w:line="276" w:lineRule="auto"/>
              <w:jc w:val="center"/>
              <w:rPr>
                <w:rStyle w:val="tlid-translation"/>
                <w:sz w:val="20"/>
                <w:szCs w:val="20"/>
                <w:lang w:val="en-US"/>
              </w:rPr>
            </w:pPr>
            <w:r>
              <w:rPr>
                <w:rStyle w:val="tlid-translation"/>
                <w:sz w:val="20"/>
                <w:szCs w:val="20"/>
                <w:lang w:val="en-US"/>
              </w:rPr>
              <w:t>0.25 – 0.50</w:t>
            </w:r>
          </w:p>
        </w:tc>
        <w:tc>
          <w:tcPr>
            <w:tcW w:w="1701" w:type="dxa"/>
            <w:gridSpan w:val="3"/>
            <w:vAlign w:val="center"/>
            <w:hideMark/>
          </w:tcPr>
          <w:p w14:paraId="254B851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vAlign w:val="center"/>
            <w:hideMark/>
          </w:tcPr>
          <w:p w14:paraId="5D3D4F0B" w14:textId="77777777" w:rsidR="00BC1C50" w:rsidRDefault="00BC1C50">
            <w:pPr>
              <w:spacing w:line="276" w:lineRule="auto"/>
              <w:jc w:val="center"/>
              <w:rPr>
                <w:rStyle w:val="tlid-translation"/>
                <w:sz w:val="20"/>
                <w:szCs w:val="20"/>
                <w:lang w:val="en-US"/>
              </w:rPr>
            </w:pPr>
            <w:r>
              <w:rPr>
                <w:rStyle w:val="tlid-translation"/>
                <w:sz w:val="20"/>
                <w:szCs w:val="20"/>
                <w:lang w:val="en-US"/>
              </w:rPr>
              <w:t>0.50 – 0.75</w:t>
            </w:r>
          </w:p>
        </w:tc>
        <w:tc>
          <w:tcPr>
            <w:tcW w:w="1926" w:type="dxa"/>
            <w:gridSpan w:val="3"/>
            <w:vAlign w:val="center"/>
            <w:hideMark/>
          </w:tcPr>
          <w:p w14:paraId="140E3FB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vAlign w:val="center"/>
            <w:hideMark/>
          </w:tcPr>
          <w:p w14:paraId="01AF772D" w14:textId="77777777" w:rsidR="00BC1C50" w:rsidRDefault="00BC1C50">
            <w:pPr>
              <w:spacing w:line="276" w:lineRule="auto"/>
              <w:jc w:val="center"/>
              <w:rPr>
                <w:rStyle w:val="tlid-translation"/>
                <w:sz w:val="20"/>
                <w:szCs w:val="20"/>
                <w:lang w:val="en-US"/>
              </w:rPr>
            </w:pPr>
            <w:r>
              <w:rPr>
                <w:rStyle w:val="tlid-translation"/>
                <w:sz w:val="20"/>
                <w:szCs w:val="20"/>
                <w:lang w:val="en-US"/>
              </w:rPr>
              <w:t>≥ 0.75</w:t>
            </w:r>
          </w:p>
        </w:tc>
      </w:tr>
      <w:tr w:rsidR="00BC1C50" w14:paraId="04649746" w14:textId="77777777" w:rsidTr="00BC1C50">
        <w:trPr>
          <w:trHeight w:val="411"/>
          <w:jc w:val="center"/>
        </w:trPr>
        <w:tc>
          <w:tcPr>
            <w:tcW w:w="2410" w:type="dxa"/>
            <w:vAlign w:val="center"/>
            <w:hideMark/>
          </w:tcPr>
          <w:p w14:paraId="77D34CA8" w14:textId="77777777" w:rsidR="00BC1C50" w:rsidRDefault="00BC1C50">
            <w:pPr>
              <w:spacing w:line="276" w:lineRule="auto"/>
              <w:jc w:val="center"/>
              <w:rPr>
                <w:rStyle w:val="tlid-translation"/>
                <w:i/>
                <w:iCs/>
                <w:sz w:val="20"/>
                <w:szCs w:val="20"/>
                <w:lang w:val="en-US"/>
              </w:rPr>
            </w:pPr>
            <w:proofErr w:type="spellStart"/>
            <w:r>
              <w:rPr>
                <w:rStyle w:val="tlid-translation"/>
                <w:i/>
                <w:iCs/>
                <w:sz w:val="20"/>
                <w:szCs w:val="20"/>
                <w:lang w:val="en-US"/>
              </w:rPr>
              <w:t>mC</w:t>
            </w:r>
            <w:r>
              <w:rPr>
                <w:rStyle w:val="tlid-translation"/>
                <w:i/>
                <w:iCs/>
                <w:sz w:val="20"/>
                <w:szCs w:val="20"/>
                <w:vertAlign w:val="subscript"/>
                <w:lang w:val="en-US"/>
              </w:rPr>
              <w:t>d</w:t>
            </w:r>
            <w:proofErr w:type="spellEnd"/>
          </w:p>
        </w:tc>
        <w:tc>
          <w:tcPr>
            <w:tcW w:w="1418" w:type="dxa"/>
            <w:vAlign w:val="center"/>
            <w:hideMark/>
          </w:tcPr>
          <w:p w14:paraId="0030B3E2" w14:textId="77777777" w:rsidR="00BC1C50" w:rsidRDefault="00BC1C50">
            <w:pPr>
              <w:spacing w:line="276" w:lineRule="auto"/>
              <w:jc w:val="center"/>
              <w:rPr>
                <w:rStyle w:val="tlid-translation"/>
                <w:sz w:val="20"/>
                <w:szCs w:val="20"/>
                <w:lang w:val="en-US"/>
              </w:rPr>
            </w:pPr>
            <w:r>
              <w:rPr>
                <w:rStyle w:val="tlid-translation"/>
                <w:sz w:val="20"/>
                <w:szCs w:val="20"/>
                <w:lang w:val="en-US"/>
              </w:rPr>
              <w:t>&lt; 1.5</w:t>
            </w:r>
          </w:p>
        </w:tc>
        <w:tc>
          <w:tcPr>
            <w:tcW w:w="1842" w:type="dxa"/>
            <w:gridSpan w:val="3"/>
            <w:vAlign w:val="center"/>
            <w:hideMark/>
          </w:tcPr>
          <w:p w14:paraId="67719979" w14:textId="77777777" w:rsidR="00BC1C50" w:rsidRDefault="00BC1C50">
            <w:pPr>
              <w:spacing w:line="276" w:lineRule="auto"/>
              <w:jc w:val="center"/>
              <w:rPr>
                <w:rStyle w:val="tlid-translation"/>
                <w:sz w:val="20"/>
                <w:szCs w:val="20"/>
                <w:lang w:val="en-US"/>
              </w:rPr>
            </w:pPr>
            <w:r>
              <w:rPr>
                <w:rStyle w:val="tlid-translation"/>
                <w:sz w:val="20"/>
                <w:szCs w:val="20"/>
                <w:lang w:val="en-US"/>
              </w:rPr>
              <w:t>1.5 – 2.0</w:t>
            </w:r>
          </w:p>
        </w:tc>
        <w:tc>
          <w:tcPr>
            <w:tcW w:w="1701" w:type="dxa"/>
            <w:gridSpan w:val="2"/>
            <w:vAlign w:val="center"/>
            <w:hideMark/>
          </w:tcPr>
          <w:p w14:paraId="0C19B5E4" w14:textId="77777777" w:rsidR="00BC1C50" w:rsidRDefault="00BC1C50">
            <w:pPr>
              <w:spacing w:line="276" w:lineRule="auto"/>
              <w:jc w:val="center"/>
              <w:rPr>
                <w:rStyle w:val="tlid-translation"/>
                <w:sz w:val="20"/>
                <w:szCs w:val="20"/>
                <w:lang w:val="en-US"/>
              </w:rPr>
            </w:pPr>
            <w:r>
              <w:rPr>
                <w:rStyle w:val="tlid-translation"/>
                <w:sz w:val="20"/>
                <w:szCs w:val="20"/>
                <w:lang w:val="en-US"/>
              </w:rPr>
              <w:t>2.0 – 4.0</w:t>
            </w:r>
          </w:p>
        </w:tc>
        <w:tc>
          <w:tcPr>
            <w:tcW w:w="1701" w:type="dxa"/>
            <w:gridSpan w:val="3"/>
            <w:vAlign w:val="center"/>
            <w:hideMark/>
          </w:tcPr>
          <w:p w14:paraId="5163A227" w14:textId="77777777" w:rsidR="00BC1C50" w:rsidRDefault="00BC1C50">
            <w:pPr>
              <w:spacing w:line="276" w:lineRule="auto"/>
              <w:jc w:val="center"/>
              <w:rPr>
                <w:rStyle w:val="tlid-translation"/>
                <w:sz w:val="20"/>
                <w:szCs w:val="20"/>
                <w:lang w:val="en-US"/>
              </w:rPr>
            </w:pPr>
            <w:r>
              <w:rPr>
                <w:rStyle w:val="tlid-translation"/>
                <w:sz w:val="20"/>
                <w:szCs w:val="20"/>
                <w:lang w:val="en-US"/>
              </w:rPr>
              <w:t>4.0 – 8.0</w:t>
            </w:r>
          </w:p>
        </w:tc>
        <w:tc>
          <w:tcPr>
            <w:tcW w:w="1701" w:type="dxa"/>
            <w:gridSpan w:val="2"/>
            <w:vAlign w:val="center"/>
            <w:hideMark/>
          </w:tcPr>
          <w:p w14:paraId="76508017" w14:textId="77777777" w:rsidR="00BC1C50" w:rsidRDefault="00BC1C50">
            <w:pPr>
              <w:spacing w:line="276" w:lineRule="auto"/>
              <w:jc w:val="center"/>
              <w:rPr>
                <w:rStyle w:val="tlid-translation"/>
                <w:sz w:val="20"/>
                <w:szCs w:val="20"/>
                <w:lang w:val="en-US"/>
              </w:rPr>
            </w:pPr>
            <w:r>
              <w:rPr>
                <w:rStyle w:val="tlid-translation"/>
                <w:sz w:val="20"/>
                <w:szCs w:val="20"/>
                <w:lang w:val="en-US"/>
              </w:rPr>
              <w:t>8.0 – 16.0</w:t>
            </w:r>
          </w:p>
        </w:tc>
        <w:tc>
          <w:tcPr>
            <w:tcW w:w="1926" w:type="dxa"/>
            <w:gridSpan w:val="3"/>
            <w:vAlign w:val="center"/>
            <w:hideMark/>
          </w:tcPr>
          <w:p w14:paraId="094EEEF7" w14:textId="77777777" w:rsidR="00BC1C50" w:rsidRDefault="00BC1C50">
            <w:pPr>
              <w:spacing w:line="276" w:lineRule="auto"/>
              <w:jc w:val="center"/>
              <w:rPr>
                <w:rStyle w:val="tlid-translation"/>
                <w:sz w:val="20"/>
                <w:szCs w:val="20"/>
                <w:lang w:val="en-US"/>
              </w:rPr>
            </w:pPr>
            <w:r>
              <w:rPr>
                <w:rStyle w:val="tlid-translation"/>
                <w:sz w:val="20"/>
                <w:szCs w:val="20"/>
                <w:lang w:val="en-US"/>
              </w:rPr>
              <w:t>16.0 – 32.0</w:t>
            </w:r>
          </w:p>
        </w:tc>
        <w:tc>
          <w:tcPr>
            <w:tcW w:w="1518" w:type="dxa"/>
            <w:vAlign w:val="center"/>
            <w:hideMark/>
          </w:tcPr>
          <w:p w14:paraId="34322FE8" w14:textId="77777777" w:rsidR="00BC1C50" w:rsidRDefault="00BC1C50">
            <w:pPr>
              <w:spacing w:line="276" w:lineRule="auto"/>
              <w:jc w:val="center"/>
              <w:rPr>
                <w:rStyle w:val="tlid-translation"/>
                <w:sz w:val="20"/>
                <w:szCs w:val="20"/>
                <w:lang w:val="en-US"/>
              </w:rPr>
            </w:pPr>
            <w:r>
              <w:rPr>
                <w:rStyle w:val="tlid-translation"/>
                <w:sz w:val="20"/>
                <w:szCs w:val="20"/>
                <w:lang w:val="en-US"/>
              </w:rPr>
              <w:t>≥ 32</w:t>
            </w:r>
          </w:p>
        </w:tc>
      </w:tr>
      <w:tr w:rsidR="00BC1C50" w14:paraId="23D1A8CC" w14:textId="77777777" w:rsidTr="00BC1C50">
        <w:trPr>
          <w:trHeight w:val="411"/>
          <w:jc w:val="center"/>
        </w:trPr>
        <w:tc>
          <w:tcPr>
            <w:tcW w:w="2410" w:type="dxa"/>
            <w:vAlign w:val="center"/>
            <w:hideMark/>
          </w:tcPr>
          <w:p w14:paraId="220C108E" w14:textId="77777777" w:rsidR="00BC1C50" w:rsidRDefault="00BC1C50">
            <w:pPr>
              <w:spacing w:line="276" w:lineRule="auto"/>
              <w:jc w:val="center"/>
              <w:rPr>
                <w:rStyle w:val="tlid-translation"/>
                <w:i/>
                <w:iCs/>
                <w:sz w:val="20"/>
                <w:szCs w:val="20"/>
                <w:lang w:val="en-US"/>
              </w:rPr>
            </w:pPr>
            <w:proofErr w:type="spellStart"/>
            <w:r>
              <w:rPr>
                <w:rStyle w:val="tlid-translation"/>
                <w:i/>
                <w:iCs/>
                <w:sz w:val="20"/>
                <w:szCs w:val="20"/>
                <w:lang w:val="en-US"/>
              </w:rPr>
              <w:t>IPI</w:t>
            </w:r>
            <w:r>
              <w:rPr>
                <w:rStyle w:val="tlid-translation"/>
                <w:i/>
                <w:iCs/>
                <w:sz w:val="20"/>
                <w:szCs w:val="20"/>
                <w:vertAlign w:val="subscript"/>
                <w:lang w:val="en-US"/>
              </w:rPr>
              <w:t>Th</w:t>
            </w:r>
            <w:proofErr w:type="spellEnd"/>
          </w:p>
        </w:tc>
        <w:tc>
          <w:tcPr>
            <w:tcW w:w="1418" w:type="dxa"/>
            <w:vAlign w:val="center"/>
            <w:hideMark/>
          </w:tcPr>
          <w:p w14:paraId="43E3CCEF"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hideMark/>
          </w:tcPr>
          <w:p w14:paraId="1539D341" w14:textId="77777777" w:rsidR="00BC1C50" w:rsidRDefault="00BC1C50">
            <w:pPr>
              <w:spacing w:line="276" w:lineRule="auto"/>
              <w:jc w:val="center"/>
              <w:rPr>
                <w:rStyle w:val="tlid-translation"/>
                <w:sz w:val="20"/>
                <w:szCs w:val="20"/>
                <w:lang w:val="en-US"/>
              </w:rPr>
            </w:pPr>
            <w:r>
              <w:rPr>
                <w:rStyle w:val="tlid-translation"/>
                <w:sz w:val="20"/>
                <w:szCs w:val="20"/>
                <w:lang w:val="en-US"/>
              </w:rPr>
              <w:t>≤ 1</w:t>
            </w:r>
          </w:p>
        </w:tc>
        <w:tc>
          <w:tcPr>
            <w:tcW w:w="1701" w:type="dxa"/>
            <w:gridSpan w:val="2"/>
            <w:vAlign w:val="center"/>
            <w:hideMark/>
          </w:tcPr>
          <w:p w14:paraId="666A23B3"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3"/>
            <w:vAlign w:val="center"/>
            <w:hideMark/>
          </w:tcPr>
          <w:p w14:paraId="10E887F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vAlign w:val="center"/>
            <w:hideMark/>
          </w:tcPr>
          <w:p w14:paraId="43B58EF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26" w:type="dxa"/>
            <w:gridSpan w:val="3"/>
            <w:vAlign w:val="center"/>
            <w:hideMark/>
          </w:tcPr>
          <w:p w14:paraId="273B3B7B"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vAlign w:val="center"/>
            <w:hideMark/>
          </w:tcPr>
          <w:p w14:paraId="2665A0AC" w14:textId="77777777" w:rsidR="00BC1C50" w:rsidRDefault="00BC1C50">
            <w:pPr>
              <w:spacing w:line="276" w:lineRule="auto"/>
              <w:jc w:val="center"/>
              <w:rPr>
                <w:rStyle w:val="tlid-translation"/>
                <w:sz w:val="20"/>
                <w:szCs w:val="20"/>
                <w:lang w:val="en-US"/>
              </w:rPr>
            </w:pPr>
            <w:r>
              <w:rPr>
                <w:rStyle w:val="tlid-translation"/>
                <w:sz w:val="20"/>
                <w:szCs w:val="20"/>
                <w:lang w:val="en-US"/>
              </w:rPr>
              <w:t>≥ 3</w:t>
            </w:r>
          </w:p>
        </w:tc>
      </w:tr>
      <w:tr w:rsidR="00BC1C50" w14:paraId="36F2B7ED" w14:textId="77777777" w:rsidTr="00BC1C50">
        <w:trPr>
          <w:trHeight w:val="411"/>
          <w:jc w:val="center"/>
        </w:trPr>
        <w:tc>
          <w:tcPr>
            <w:tcW w:w="2410" w:type="dxa"/>
            <w:vAlign w:val="center"/>
            <w:hideMark/>
          </w:tcPr>
          <w:p w14:paraId="3D456A6F"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E</w:t>
            </w:r>
            <w:proofErr w:type="spellStart"/>
            <w:r>
              <w:rPr>
                <w:rStyle w:val="tlid-translation"/>
                <w:i/>
                <w:iCs/>
                <w:sz w:val="20"/>
                <w:szCs w:val="20"/>
              </w:rPr>
              <w:t>Fact</w:t>
            </w:r>
            <w:proofErr w:type="spellEnd"/>
          </w:p>
        </w:tc>
        <w:tc>
          <w:tcPr>
            <w:tcW w:w="1418" w:type="dxa"/>
            <w:vAlign w:val="center"/>
            <w:hideMark/>
          </w:tcPr>
          <w:p w14:paraId="2B10F360" w14:textId="77777777" w:rsidR="00BC1C50" w:rsidRDefault="00BC1C50">
            <w:pPr>
              <w:spacing w:line="276" w:lineRule="auto"/>
              <w:jc w:val="center"/>
              <w:rPr>
                <w:rStyle w:val="tlid-translation"/>
                <w:sz w:val="20"/>
                <w:szCs w:val="20"/>
                <w:lang w:val="en-US"/>
              </w:rPr>
            </w:pPr>
            <w:r>
              <w:rPr>
                <w:rStyle w:val="tlid-translation"/>
                <w:sz w:val="20"/>
                <w:szCs w:val="20"/>
                <w:lang w:val="en-US"/>
              </w:rPr>
              <w:t>&lt; 1</w:t>
            </w:r>
          </w:p>
        </w:tc>
        <w:tc>
          <w:tcPr>
            <w:tcW w:w="1842" w:type="dxa"/>
            <w:gridSpan w:val="3"/>
            <w:vAlign w:val="center"/>
            <w:hideMark/>
          </w:tcPr>
          <w:p w14:paraId="4455758D"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2"/>
            <w:vAlign w:val="center"/>
            <w:hideMark/>
          </w:tcPr>
          <w:p w14:paraId="1D8B8D99" w14:textId="77777777" w:rsidR="00BC1C50" w:rsidRDefault="00BC1C50">
            <w:pPr>
              <w:spacing w:line="276" w:lineRule="auto"/>
              <w:jc w:val="center"/>
              <w:rPr>
                <w:rStyle w:val="tlid-translation"/>
                <w:sz w:val="20"/>
                <w:szCs w:val="20"/>
                <w:lang w:val="en-US"/>
              </w:rPr>
            </w:pPr>
            <w:r>
              <w:rPr>
                <w:rStyle w:val="tlid-translation"/>
                <w:sz w:val="20"/>
                <w:szCs w:val="20"/>
                <w:lang w:val="en-US"/>
              </w:rPr>
              <w:t>3 – 5</w:t>
            </w:r>
          </w:p>
        </w:tc>
        <w:tc>
          <w:tcPr>
            <w:tcW w:w="1701" w:type="dxa"/>
            <w:gridSpan w:val="3"/>
            <w:vAlign w:val="center"/>
            <w:hideMark/>
          </w:tcPr>
          <w:p w14:paraId="0DC3E53A" w14:textId="77777777" w:rsidR="00BC1C50" w:rsidRDefault="00BC1C50">
            <w:pPr>
              <w:spacing w:line="276" w:lineRule="auto"/>
              <w:jc w:val="center"/>
              <w:rPr>
                <w:rStyle w:val="tlid-translation"/>
                <w:sz w:val="20"/>
                <w:szCs w:val="20"/>
                <w:lang w:val="en-US"/>
              </w:rPr>
            </w:pPr>
            <w:r>
              <w:rPr>
                <w:rStyle w:val="tlid-translation"/>
                <w:sz w:val="20"/>
                <w:szCs w:val="20"/>
                <w:lang w:val="en-US"/>
              </w:rPr>
              <w:t>5 – 10</w:t>
            </w:r>
          </w:p>
        </w:tc>
        <w:tc>
          <w:tcPr>
            <w:tcW w:w="1701" w:type="dxa"/>
            <w:gridSpan w:val="2"/>
            <w:vAlign w:val="center"/>
            <w:hideMark/>
          </w:tcPr>
          <w:p w14:paraId="2F3D8FDA" w14:textId="77777777" w:rsidR="00BC1C50" w:rsidRDefault="00BC1C50">
            <w:pPr>
              <w:spacing w:line="276" w:lineRule="auto"/>
              <w:jc w:val="center"/>
              <w:rPr>
                <w:rStyle w:val="tlid-translation"/>
                <w:sz w:val="20"/>
                <w:szCs w:val="20"/>
                <w:lang w:val="en-US"/>
              </w:rPr>
            </w:pPr>
            <w:r>
              <w:rPr>
                <w:rStyle w:val="tlid-translation"/>
                <w:sz w:val="20"/>
                <w:szCs w:val="20"/>
                <w:lang w:val="en-US"/>
              </w:rPr>
              <w:t>10 – 25</w:t>
            </w:r>
          </w:p>
        </w:tc>
        <w:tc>
          <w:tcPr>
            <w:tcW w:w="1926" w:type="dxa"/>
            <w:gridSpan w:val="3"/>
            <w:vAlign w:val="center"/>
            <w:hideMark/>
          </w:tcPr>
          <w:p w14:paraId="67C4775C" w14:textId="77777777" w:rsidR="00BC1C50" w:rsidRDefault="00BC1C50">
            <w:pPr>
              <w:spacing w:line="276" w:lineRule="auto"/>
              <w:jc w:val="center"/>
              <w:rPr>
                <w:rStyle w:val="tlid-translation"/>
                <w:sz w:val="20"/>
                <w:szCs w:val="20"/>
                <w:lang w:val="en-US"/>
              </w:rPr>
            </w:pPr>
            <w:r>
              <w:rPr>
                <w:rStyle w:val="tlid-translation"/>
                <w:sz w:val="20"/>
                <w:szCs w:val="20"/>
                <w:lang w:val="en-US"/>
              </w:rPr>
              <w:t>25 – 50</w:t>
            </w:r>
          </w:p>
        </w:tc>
        <w:tc>
          <w:tcPr>
            <w:tcW w:w="1518" w:type="dxa"/>
            <w:vAlign w:val="center"/>
            <w:hideMark/>
          </w:tcPr>
          <w:p w14:paraId="7723E41A" w14:textId="77777777" w:rsidR="00BC1C50" w:rsidRDefault="00BC1C50">
            <w:pPr>
              <w:spacing w:line="276" w:lineRule="auto"/>
              <w:jc w:val="center"/>
              <w:rPr>
                <w:rStyle w:val="tlid-translation"/>
                <w:sz w:val="20"/>
                <w:szCs w:val="20"/>
                <w:lang w:val="en-US"/>
              </w:rPr>
            </w:pPr>
            <w:r>
              <w:rPr>
                <w:rStyle w:val="tlid-translation"/>
                <w:sz w:val="20"/>
                <w:szCs w:val="20"/>
                <w:lang w:val="en-US"/>
              </w:rPr>
              <w:t>≥ 50</w:t>
            </w:r>
          </w:p>
        </w:tc>
      </w:tr>
      <w:tr w:rsidR="00BC1C50" w14:paraId="14C30BBF" w14:textId="77777777" w:rsidTr="00BC1C50">
        <w:trPr>
          <w:trHeight w:val="411"/>
          <w:jc w:val="center"/>
        </w:trPr>
        <w:tc>
          <w:tcPr>
            <w:tcW w:w="2410" w:type="dxa"/>
            <w:vAlign w:val="center"/>
            <w:hideMark/>
          </w:tcPr>
          <w:p w14:paraId="1886C9F4" w14:textId="77777777" w:rsidR="00BC1C50" w:rsidRDefault="00BC1C50">
            <w:pPr>
              <w:spacing w:line="276" w:lineRule="auto"/>
              <w:jc w:val="center"/>
              <w:rPr>
                <w:rStyle w:val="tlid-translation"/>
                <w:i/>
                <w:iCs/>
                <w:sz w:val="20"/>
                <w:szCs w:val="20"/>
                <w:lang w:val="en-US"/>
              </w:rPr>
            </w:pPr>
            <w:proofErr w:type="spellStart"/>
            <w:r>
              <w:rPr>
                <w:rStyle w:val="tlid-translation"/>
                <w:i/>
                <w:iCs/>
                <w:sz w:val="20"/>
                <w:szCs w:val="20"/>
                <w:lang w:val="en-US"/>
              </w:rPr>
              <w:t>I</w:t>
            </w:r>
            <w:r>
              <w:rPr>
                <w:rStyle w:val="tlid-translation"/>
                <w:i/>
                <w:iCs/>
                <w:sz w:val="20"/>
                <w:szCs w:val="20"/>
                <w:vertAlign w:val="subscript"/>
                <w:lang w:val="en-US"/>
              </w:rPr>
              <w:t>geo</w:t>
            </w:r>
            <w:proofErr w:type="spellEnd"/>
          </w:p>
        </w:tc>
        <w:tc>
          <w:tcPr>
            <w:tcW w:w="1418" w:type="dxa"/>
            <w:vAlign w:val="center"/>
            <w:hideMark/>
          </w:tcPr>
          <w:p w14:paraId="05FE5ABA" w14:textId="77777777" w:rsidR="00BC1C50" w:rsidRDefault="00BC1C50">
            <w:pPr>
              <w:spacing w:line="276" w:lineRule="auto"/>
              <w:jc w:val="center"/>
              <w:rPr>
                <w:rStyle w:val="tlid-translation"/>
                <w:sz w:val="20"/>
                <w:szCs w:val="20"/>
                <w:lang w:val="en-US"/>
              </w:rPr>
            </w:pPr>
            <w:r>
              <w:rPr>
                <w:rStyle w:val="tlid-translation"/>
                <w:sz w:val="20"/>
                <w:szCs w:val="20"/>
                <w:lang w:val="en-US"/>
              </w:rPr>
              <w:t>≤ 0</w:t>
            </w:r>
          </w:p>
        </w:tc>
        <w:tc>
          <w:tcPr>
            <w:tcW w:w="1842" w:type="dxa"/>
            <w:gridSpan w:val="3"/>
            <w:vAlign w:val="center"/>
            <w:hideMark/>
          </w:tcPr>
          <w:p w14:paraId="09EB572F" w14:textId="77777777" w:rsidR="00BC1C50" w:rsidRDefault="00BC1C50">
            <w:pPr>
              <w:spacing w:line="276" w:lineRule="auto"/>
              <w:jc w:val="center"/>
              <w:rPr>
                <w:rStyle w:val="tlid-translation"/>
                <w:sz w:val="20"/>
                <w:szCs w:val="20"/>
                <w:lang w:val="en-US"/>
              </w:rPr>
            </w:pPr>
            <w:r>
              <w:rPr>
                <w:rStyle w:val="tlid-translation"/>
                <w:sz w:val="20"/>
                <w:szCs w:val="20"/>
                <w:lang w:val="en-US"/>
              </w:rPr>
              <w:t>0 – 1</w:t>
            </w:r>
          </w:p>
        </w:tc>
        <w:tc>
          <w:tcPr>
            <w:tcW w:w="1701" w:type="dxa"/>
            <w:gridSpan w:val="2"/>
            <w:vAlign w:val="center"/>
            <w:hideMark/>
          </w:tcPr>
          <w:p w14:paraId="247C4FBD" w14:textId="77777777" w:rsidR="00BC1C50" w:rsidRDefault="00BC1C50">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vAlign w:val="center"/>
            <w:hideMark/>
          </w:tcPr>
          <w:p w14:paraId="500BB8D6" w14:textId="77777777" w:rsidR="00BC1C50" w:rsidRDefault="00BC1C50">
            <w:pPr>
              <w:spacing w:line="276" w:lineRule="auto"/>
              <w:jc w:val="center"/>
              <w:rPr>
                <w:rStyle w:val="tlid-translation"/>
                <w:sz w:val="20"/>
                <w:szCs w:val="20"/>
                <w:lang w:val="en-US"/>
              </w:rPr>
            </w:pPr>
            <w:r>
              <w:rPr>
                <w:rStyle w:val="tlid-translation"/>
                <w:sz w:val="20"/>
                <w:szCs w:val="20"/>
                <w:lang w:val="en-US"/>
              </w:rPr>
              <w:t>2 – 3</w:t>
            </w:r>
          </w:p>
        </w:tc>
        <w:tc>
          <w:tcPr>
            <w:tcW w:w="1701" w:type="dxa"/>
            <w:gridSpan w:val="2"/>
            <w:vAlign w:val="center"/>
            <w:hideMark/>
          </w:tcPr>
          <w:p w14:paraId="6CBEC5E7" w14:textId="77777777" w:rsidR="00BC1C50" w:rsidRDefault="00BC1C50">
            <w:pPr>
              <w:spacing w:line="276" w:lineRule="auto"/>
              <w:jc w:val="center"/>
              <w:rPr>
                <w:rStyle w:val="tlid-translation"/>
                <w:sz w:val="20"/>
                <w:szCs w:val="20"/>
                <w:lang w:val="en-US"/>
              </w:rPr>
            </w:pPr>
            <w:r>
              <w:rPr>
                <w:rStyle w:val="tlid-translation"/>
                <w:sz w:val="20"/>
                <w:szCs w:val="20"/>
                <w:lang w:val="en-US"/>
              </w:rPr>
              <w:t>3 – 4</w:t>
            </w:r>
          </w:p>
        </w:tc>
        <w:tc>
          <w:tcPr>
            <w:tcW w:w="1926" w:type="dxa"/>
            <w:gridSpan w:val="3"/>
            <w:vAlign w:val="center"/>
            <w:hideMark/>
          </w:tcPr>
          <w:p w14:paraId="6DBB18CA" w14:textId="77777777" w:rsidR="00BC1C50" w:rsidRDefault="00BC1C50">
            <w:pPr>
              <w:spacing w:line="276" w:lineRule="auto"/>
              <w:jc w:val="center"/>
              <w:rPr>
                <w:rStyle w:val="tlid-translation"/>
                <w:sz w:val="20"/>
                <w:szCs w:val="20"/>
                <w:lang w:val="en-US"/>
              </w:rPr>
            </w:pPr>
            <w:r>
              <w:rPr>
                <w:rStyle w:val="tlid-translation"/>
                <w:sz w:val="20"/>
                <w:szCs w:val="20"/>
                <w:lang w:val="en-US"/>
              </w:rPr>
              <w:t>4 – 5</w:t>
            </w:r>
          </w:p>
        </w:tc>
        <w:tc>
          <w:tcPr>
            <w:tcW w:w="1518" w:type="dxa"/>
            <w:vAlign w:val="center"/>
            <w:hideMark/>
          </w:tcPr>
          <w:p w14:paraId="3DB2F08C" w14:textId="77777777" w:rsidR="00BC1C50" w:rsidRDefault="00BC1C50">
            <w:pPr>
              <w:spacing w:line="276" w:lineRule="auto"/>
              <w:jc w:val="center"/>
              <w:rPr>
                <w:rStyle w:val="tlid-translation"/>
                <w:sz w:val="20"/>
                <w:szCs w:val="20"/>
                <w:lang w:val="en-US"/>
              </w:rPr>
            </w:pPr>
            <w:r>
              <w:rPr>
                <w:rStyle w:val="tlid-translation"/>
                <w:sz w:val="20"/>
                <w:szCs w:val="20"/>
                <w:lang w:val="en-US"/>
              </w:rPr>
              <w:t>≥ 5</w:t>
            </w:r>
          </w:p>
        </w:tc>
      </w:tr>
      <w:tr w:rsidR="00BC1C50" w14:paraId="5BCDBC82" w14:textId="77777777" w:rsidTr="00BC1C50">
        <w:trPr>
          <w:trHeight w:val="411"/>
          <w:jc w:val="center"/>
        </w:trPr>
        <w:tc>
          <w:tcPr>
            <w:tcW w:w="2410" w:type="dxa"/>
            <w:tcBorders>
              <w:top w:val="nil"/>
              <w:left w:val="nil"/>
              <w:bottom w:val="double" w:sz="4" w:space="0" w:color="auto"/>
              <w:right w:val="nil"/>
            </w:tcBorders>
            <w:vAlign w:val="center"/>
            <w:hideMark/>
          </w:tcPr>
          <w:p w14:paraId="19A64C8C" w14:textId="77777777" w:rsidR="00BC1C50" w:rsidRDefault="00BC1C50">
            <w:pPr>
              <w:spacing w:line="276" w:lineRule="auto"/>
              <w:jc w:val="center"/>
              <w:rPr>
                <w:rStyle w:val="tlid-translation"/>
                <w:i/>
                <w:iCs/>
                <w:sz w:val="20"/>
                <w:szCs w:val="20"/>
                <w:lang w:val="en-US"/>
              </w:rPr>
            </w:pPr>
            <w:proofErr w:type="spellStart"/>
            <w:r>
              <w:rPr>
                <w:rStyle w:val="tlid-translation"/>
                <w:i/>
                <w:iCs/>
                <w:sz w:val="20"/>
                <w:szCs w:val="20"/>
                <w:lang w:val="en-US"/>
              </w:rPr>
              <w:t>PI</w:t>
            </w:r>
            <w:r>
              <w:rPr>
                <w:rStyle w:val="tlid-translation"/>
                <w:i/>
                <w:iCs/>
                <w:sz w:val="20"/>
                <w:szCs w:val="20"/>
                <w:vertAlign w:val="subscript"/>
                <w:lang w:val="en-US"/>
              </w:rPr>
              <w:t>Nem</w:t>
            </w:r>
            <w:proofErr w:type="spellEnd"/>
          </w:p>
        </w:tc>
        <w:tc>
          <w:tcPr>
            <w:tcW w:w="1418" w:type="dxa"/>
            <w:tcBorders>
              <w:top w:val="nil"/>
              <w:left w:val="nil"/>
              <w:bottom w:val="double" w:sz="4" w:space="0" w:color="auto"/>
              <w:right w:val="nil"/>
            </w:tcBorders>
            <w:vAlign w:val="center"/>
            <w:hideMark/>
          </w:tcPr>
          <w:p w14:paraId="1BD34624" w14:textId="77777777" w:rsidR="00BC1C50" w:rsidRDefault="00BC1C50">
            <w:pPr>
              <w:spacing w:line="276" w:lineRule="auto"/>
              <w:jc w:val="center"/>
              <w:rPr>
                <w:rStyle w:val="tlid-translation"/>
                <w:sz w:val="20"/>
                <w:szCs w:val="20"/>
                <w:lang w:val="en-US"/>
              </w:rPr>
            </w:pPr>
            <w:r>
              <w:rPr>
                <w:rStyle w:val="tlid-translation"/>
                <w:sz w:val="20"/>
                <w:szCs w:val="20"/>
                <w:lang w:val="en-US"/>
              </w:rPr>
              <w:t>&lt; 0.7</w:t>
            </w:r>
          </w:p>
        </w:tc>
        <w:tc>
          <w:tcPr>
            <w:tcW w:w="1842" w:type="dxa"/>
            <w:gridSpan w:val="3"/>
            <w:tcBorders>
              <w:top w:val="nil"/>
              <w:left w:val="nil"/>
              <w:bottom w:val="double" w:sz="4" w:space="0" w:color="auto"/>
              <w:right w:val="nil"/>
            </w:tcBorders>
            <w:vAlign w:val="center"/>
            <w:hideMark/>
          </w:tcPr>
          <w:p w14:paraId="13369E29" w14:textId="77777777" w:rsidR="00BC1C50" w:rsidRDefault="00BC1C50">
            <w:pPr>
              <w:spacing w:line="276" w:lineRule="auto"/>
              <w:jc w:val="center"/>
              <w:rPr>
                <w:rStyle w:val="tlid-translation"/>
                <w:sz w:val="20"/>
                <w:szCs w:val="20"/>
                <w:lang w:val="en-US"/>
              </w:rPr>
            </w:pPr>
            <w:r>
              <w:rPr>
                <w:rStyle w:val="tlid-translation"/>
                <w:sz w:val="20"/>
                <w:szCs w:val="20"/>
                <w:lang w:val="en-US"/>
              </w:rPr>
              <w:t>0.7 – 1</w:t>
            </w:r>
          </w:p>
        </w:tc>
        <w:tc>
          <w:tcPr>
            <w:tcW w:w="1701" w:type="dxa"/>
            <w:gridSpan w:val="2"/>
            <w:tcBorders>
              <w:top w:val="nil"/>
              <w:left w:val="nil"/>
              <w:bottom w:val="double" w:sz="4" w:space="0" w:color="auto"/>
              <w:right w:val="nil"/>
            </w:tcBorders>
            <w:vAlign w:val="center"/>
            <w:hideMark/>
          </w:tcPr>
          <w:p w14:paraId="315E3E85" w14:textId="77777777" w:rsidR="00BC1C50" w:rsidRDefault="00BC1C50">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tcBorders>
              <w:top w:val="nil"/>
              <w:left w:val="nil"/>
              <w:bottom w:val="double" w:sz="4" w:space="0" w:color="auto"/>
              <w:right w:val="nil"/>
            </w:tcBorders>
            <w:vAlign w:val="center"/>
            <w:hideMark/>
          </w:tcPr>
          <w:p w14:paraId="079153EE" w14:textId="77777777" w:rsidR="00BC1C50" w:rsidRDefault="00BC1C50">
            <w:pPr>
              <w:spacing w:line="276" w:lineRule="auto"/>
              <w:jc w:val="center"/>
              <w:rPr>
                <w:rStyle w:val="tlid-translation"/>
                <w:sz w:val="20"/>
                <w:szCs w:val="20"/>
                <w:lang w:val="en-US"/>
              </w:rPr>
            </w:pPr>
            <w:r>
              <w:rPr>
                <w:rStyle w:val="tlid-translation"/>
                <w:sz w:val="20"/>
                <w:szCs w:val="20"/>
                <w:lang w:val="en-US"/>
              </w:rPr>
              <w:t>2 – 3</w:t>
            </w:r>
          </w:p>
        </w:tc>
        <w:tc>
          <w:tcPr>
            <w:tcW w:w="1701" w:type="dxa"/>
            <w:gridSpan w:val="2"/>
            <w:tcBorders>
              <w:top w:val="nil"/>
              <w:left w:val="nil"/>
              <w:bottom w:val="double" w:sz="4" w:space="0" w:color="auto"/>
              <w:right w:val="nil"/>
            </w:tcBorders>
            <w:vAlign w:val="center"/>
            <w:hideMark/>
          </w:tcPr>
          <w:p w14:paraId="6D4D7C3E" w14:textId="77777777" w:rsidR="00BC1C50" w:rsidRDefault="00BC1C50">
            <w:pPr>
              <w:spacing w:line="276" w:lineRule="auto"/>
              <w:jc w:val="center"/>
              <w:rPr>
                <w:rStyle w:val="tlid-translation"/>
                <w:sz w:val="20"/>
                <w:szCs w:val="20"/>
                <w:lang w:val="en-US"/>
              </w:rPr>
            </w:pPr>
            <w:r>
              <w:rPr>
                <w:rStyle w:val="tlid-translation"/>
                <w:sz w:val="20"/>
                <w:szCs w:val="20"/>
                <w:lang w:val="en-US"/>
              </w:rPr>
              <w:t>≥ 3</w:t>
            </w:r>
          </w:p>
        </w:tc>
        <w:tc>
          <w:tcPr>
            <w:tcW w:w="1926" w:type="dxa"/>
            <w:gridSpan w:val="3"/>
            <w:tcBorders>
              <w:top w:val="nil"/>
              <w:left w:val="nil"/>
              <w:bottom w:val="double" w:sz="4" w:space="0" w:color="auto"/>
              <w:right w:val="nil"/>
            </w:tcBorders>
            <w:vAlign w:val="center"/>
            <w:hideMark/>
          </w:tcPr>
          <w:p w14:paraId="50A44BD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tcBorders>
              <w:top w:val="nil"/>
              <w:left w:val="nil"/>
              <w:bottom w:val="double" w:sz="4" w:space="0" w:color="auto"/>
              <w:right w:val="nil"/>
            </w:tcBorders>
            <w:vAlign w:val="center"/>
            <w:hideMark/>
          </w:tcPr>
          <w:p w14:paraId="49FF222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005CC1C3" w14:textId="77777777" w:rsidTr="00BC1C50">
        <w:trPr>
          <w:trHeight w:val="411"/>
          <w:jc w:val="center"/>
        </w:trPr>
        <w:tc>
          <w:tcPr>
            <w:tcW w:w="2410" w:type="dxa"/>
            <w:tcBorders>
              <w:top w:val="double" w:sz="4" w:space="0" w:color="auto"/>
              <w:left w:val="nil"/>
              <w:bottom w:val="nil"/>
              <w:right w:val="nil"/>
            </w:tcBorders>
            <w:vAlign w:val="center"/>
            <w:hideMark/>
          </w:tcPr>
          <w:p w14:paraId="7EC5A39C" w14:textId="77777777" w:rsidR="00BC1C50" w:rsidRDefault="00BC1C50">
            <w:pPr>
              <w:spacing w:line="276" w:lineRule="auto"/>
              <w:jc w:val="center"/>
              <w:rPr>
                <w:b/>
              </w:rPr>
            </w:pPr>
            <w:r>
              <w:rPr>
                <w:rStyle w:val="tlid-translation"/>
                <w:b/>
                <w:sz w:val="20"/>
                <w:szCs w:val="20"/>
                <w:lang w:val="en-US"/>
              </w:rPr>
              <w:t>Category</w:t>
            </w:r>
          </w:p>
        </w:tc>
        <w:tc>
          <w:tcPr>
            <w:tcW w:w="1843" w:type="dxa"/>
            <w:gridSpan w:val="2"/>
            <w:tcBorders>
              <w:top w:val="double" w:sz="4" w:space="0" w:color="auto"/>
              <w:left w:val="nil"/>
              <w:bottom w:val="nil"/>
              <w:right w:val="nil"/>
            </w:tcBorders>
            <w:vAlign w:val="center"/>
            <w:hideMark/>
          </w:tcPr>
          <w:p w14:paraId="7F229672" w14:textId="77777777" w:rsidR="00BC1C50" w:rsidRDefault="00BC1C50">
            <w:pPr>
              <w:spacing w:line="276" w:lineRule="auto"/>
              <w:jc w:val="center"/>
              <w:rPr>
                <w:rStyle w:val="tlid-translation"/>
                <w:szCs w:val="22"/>
                <w:lang w:val="en"/>
              </w:rPr>
            </w:pPr>
            <w:r>
              <w:rPr>
                <w:rStyle w:val="tlid-translation"/>
                <w:b/>
                <w:sz w:val="20"/>
                <w:szCs w:val="22"/>
                <w:lang w:val="en"/>
              </w:rPr>
              <w:t>0</w:t>
            </w:r>
          </w:p>
        </w:tc>
        <w:tc>
          <w:tcPr>
            <w:tcW w:w="1843" w:type="dxa"/>
            <w:gridSpan w:val="3"/>
            <w:tcBorders>
              <w:top w:val="double" w:sz="4" w:space="0" w:color="auto"/>
              <w:left w:val="nil"/>
              <w:bottom w:val="nil"/>
              <w:right w:val="nil"/>
            </w:tcBorders>
            <w:vAlign w:val="center"/>
            <w:hideMark/>
          </w:tcPr>
          <w:p w14:paraId="6CF2A080" w14:textId="77777777" w:rsidR="00BC1C50" w:rsidRDefault="00BC1C50">
            <w:pPr>
              <w:spacing w:line="276" w:lineRule="auto"/>
              <w:jc w:val="center"/>
              <w:rPr>
                <w:rStyle w:val="tlid-translation"/>
                <w:b/>
                <w:sz w:val="20"/>
                <w:szCs w:val="20"/>
                <w:lang w:val="en-US"/>
              </w:rPr>
            </w:pPr>
            <w:r>
              <w:rPr>
                <w:rStyle w:val="tlid-translation"/>
                <w:b/>
                <w:sz w:val="20"/>
                <w:szCs w:val="20"/>
                <w:lang w:val="en-US"/>
              </w:rPr>
              <w:t>1</w:t>
            </w:r>
          </w:p>
        </w:tc>
        <w:tc>
          <w:tcPr>
            <w:tcW w:w="2126" w:type="dxa"/>
            <w:gridSpan w:val="2"/>
            <w:tcBorders>
              <w:top w:val="double" w:sz="4" w:space="0" w:color="auto"/>
              <w:left w:val="nil"/>
              <w:bottom w:val="nil"/>
              <w:right w:val="nil"/>
            </w:tcBorders>
            <w:vAlign w:val="center"/>
            <w:hideMark/>
          </w:tcPr>
          <w:p w14:paraId="33044FE7" w14:textId="77777777" w:rsidR="00BC1C50" w:rsidRDefault="00BC1C50">
            <w:pPr>
              <w:spacing w:line="276" w:lineRule="auto"/>
              <w:jc w:val="center"/>
              <w:rPr>
                <w:rStyle w:val="tlid-translation"/>
                <w:b/>
                <w:sz w:val="20"/>
                <w:szCs w:val="20"/>
                <w:lang w:val="en-US"/>
              </w:rPr>
            </w:pPr>
            <w:r>
              <w:rPr>
                <w:rStyle w:val="tlid-translation"/>
                <w:b/>
                <w:sz w:val="20"/>
                <w:szCs w:val="20"/>
                <w:lang w:val="en-US"/>
              </w:rPr>
              <w:t>2</w:t>
            </w:r>
          </w:p>
        </w:tc>
        <w:tc>
          <w:tcPr>
            <w:tcW w:w="1984" w:type="dxa"/>
            <w:gridSpan w:val="3"/>
            <w:tcBorders>
              <w:top w:val="double" w:sz="4" w:space="0" w:color="auto"/>
              <w:left w:val="nil"/>
              <w:bottom w:val="nil"/>
              <w:right w:val="nil"/>
            </w:tcBorders>
            <w:vAlign w:val="center"/>
            <w:hideMark/>
          </w:tcPr>
          <w:p w14:paraId="477A1F11" w14:textId="77777777" w:rsidR="00BC1C50" w:rsidRDefault="00BC1C50">
            <w:pPr>
              <w:spacing w:line="276" w:lineRule="auto"/>
              <w:jc w:val="center"/>
              <w:rPr>
                <w:rStyle w:val="tlid-translation"/>
                <w:b/>
                <w:sz w:val="20"/>
                <w:szCs w:val="20"/>
                <w:lang w:val="en-US"/>
              </w:rPr>
            </w:pPr>
            <w:r>
              <w:rPr>
                <w:rStyle w:val="tlid-translation"/>
                <w:b/>
                <w:sz w:val="20"/>
                <w:szCs w:val="20"/>
                <w:lang w:val="en-US"/>
              </w:rPr>
              <w:t>3</w:t>
            </w:r>
          </w:p>
        </w:tc>
        <w:tc>
          <w:tcPr>
            <w:tcW w:w="1985" w:type="dxa"/>
            <w:gridSpan w:val="3"/>
            <w:tcBorders>
              <w:top w:val="double" w:sz="4" w:space="0" w:color="auto"/>
              <w:left w:val="nil"/>
              <w:bottom w:val="nil"/>
              <w:right w:val="nil"/>
            </w:tcBorders>
            <w:vAlign w:val="center"/>
            <w:hideMark/>
          </w:tcPr>
          <w:p w14:paraId="3306BA53" w14:textId="77777777" w:rsidR="00BC1C50" w:rsidRDefault="00BC1C50">
            <w:pPr>
              <w:spacing w:line="276" w:lineRule="auto"/>
              <w:jc w:val="center"/>
              <w:rPr>
                <w:rStyle w:val="tlid-translation"/>
                <w:b/>
                <w:sz w:val="20"/>
                <w:szCs w:val="20"/>
                <w:lang w:val="en-US"/>
              </w:rPr>
            </w:pPr>
            <w:r>
              <w:rPr>
                <w:rStyle w:val="tlid-translation"/>
                <w:b/>
                <w:sz w:val="20"/>
                <w:szCs w:val="20"/>
                <w:lang w:val="en-US"/>
              </w:rPr>
              <w:t>4</w:t>
            </w:r>
          </w:p>
        </w:tc>
        <w:tc>
          <w:tcPr>
            <w:tcW w:w="2026" w:type="dxa"/>
            <w:gridSpan w:val="2"/>
            <w:tcBorders>
              <w:top w:val="double" w:sz="4" w:space="0" w:color="auto"/>
              <w:left w:val="nil"/>
              <w:bottom w:val="nil"/>
              <w:right w:val="nil"/>
            </w:tcBorders>
            <w:vAlign w:val="center"/>
            <w:hideMark/>
          </w:tcPr>
          <w:p w14:paraId="2426D241" w14:textId="77777777" w:rsidR="00BC1C50" w:rsidRDefault="00BC1C50">
            <w:pPr>
              <w:spacing w:line="276" w:lineRule="auto"/>
              <w:jc w:val="center"/>
              <w:rPr>
                <w:rStyle w:val="tlid-translation"/>
                <w:b/>
                <w:sz w:val="20"/>
                <w:szCs w:val="20"/>
                <w:lang w:val="en-US"/>
              </w:rPr>
            </w:pPr>
            <w:r>
              <w:rPr>
                <w:rStyle w:val="tlid-translation"/>
                <w:b/>
                <w:sz w:val="20"/>
                <w:szCs w:val="20"/>
                <w:lang w:val="en-US"/>
              </w:rPr>
              <w:t>5</w:t>
            </w:r>
          </w:p>
        </w:tc>
      </w:tr>
      <w:tr w:rsidR="00BC1C50" w14:paraId="5149A870" w14:textId="77777777" w:rsidTr="00BC1C50">
        <w:trPr>
          <w:trHeight w:val="411"/>
          <w:jc w:val="center"/>
        </w:trPr>
        <w:tc>
          <w:tcPr>
            <w:tcW w:w="2410" w:type="dxa"/>
            <w:tcBorders>
              <w:top w:val="nil"/>
              <w:left w:val="nil"/>
              <w:bottom w:val="double" w:sz="4" w:space="0" w:color="auto"/>
              <w:right w:val="nil"/>
            </w:tcBorders>
            <w:vAlign w:val="center"/>
            <w:hideMark/>
          </w:tcPr>
          <w:p w14:paraId="01820785" w14:textId="77777777" w:rsidR="00BC1C50" w:rsidRDefault="00BC1C50">
            <w:pPr>
              <w:spacing w:line="276" w:lineRule="auto"/>
              <w:jc w:val="center"/>
              <w:rPr>
                <w:rStyle w:val="tlid-translation"/>
                <w:b/>
                <w:bCs/>
                <w:i/>
                <w:iCs/>
                <w:sz w:val="20"/>
                <w:szCs w:val="20"/>
                <w:lang w:val="en-US"/>
              </w:rPr>
            </w:pPr>
            <w:r>
              <w:rPr>
                <w:b/>
                <w:bCs/>
                <w:sz w:val="20"/>
                <w:szCs w:val="20"/>
              </w:rPr>
              <w:t>Risk</w:t>
            </w:r>
          </w:p>
        </w:tc>
        <w:tc>
          <w:tcPr>
            <w:tcW w:w="1843" w:type="dxa"/>
            <w:gridSpan w:val="2"/>
            <w:tcBorders>
              <w:top w:val="nil"/>
              <w:left w:val="nil"/>
              <w:bottom w:val="double" w:sz="4" w:space="0" w:color="auto"/>
              <w:right w:val="nil"/>
            </w:tcBorders>
            <w:vAlign w:val="center"/>
            <w:hideMark/>
          </w:tcPr>
          <w:p w14:paraId="74673D33" w14:textId="77777777" w:rsidR="00BC1C50" w:rsidRDefault="00BC1C50">
            <w:pPr>
              <w:spacing w:line="276" w:lineRule="auto"/>
              <w:jc w:val="center"/>
              <w:rPr>
                <w:rStyle w:val="tlid-translation"/>
                <w:sz w:val="20"/>
                <w:szCs w:val="22"/>
                <w:lang w:val="en-US"/>
              </w:rPr>
            </w:pPr>
            <w:r>
              <w:rPr>
                <w:rStyle w:val="tlid-translation"/>
                <w:sz w:val="20"/>
                <w:szCs w:val="22"/>
                <w:lang w:val="en"/>
              </w:rPr>
              <w:t>Negligible</w:t>
            </w:r>
          </w:p>
        </w:tc>
        <w:tc>
          <w:tcPr>
            <w:tcW w:w="1843" w:type="dxa"/>
            <w:gridSpan w:val="3"/>
            <w:tcBorders>
              <w:top w:val="nil"/>
              <w:left w:val="nil"/>
              <w:bottom w:val="double" w:sz="4" w:space="0" w:color="auto"/>
              <w:right w:val="nil"/>
            </w:tcBorders>
            <w:vAlign w:val="center"/>
            <w:hideMark/>
          </w:tcPr>
          <w:p w14:paraId="37A3CB78" w14:textId="77777777" w:rsidR="00BC1C50" w:rsidRDefault="00BC1C50">
            <w:pPr>
              <w:spacing w:line="276" w:lineRule="auto"/>
              <w:jc w:val="center"/>
              <w:rPr>
                <w:rStyle w:val="tlid-translation"/>
                <w:sz w:val="20"/>
                <w:szCs w:val="20"/>
                <w:lang w:val="en-US"/>
              </w:rPr>
            </w:pPr>
            <w:r>
              <w:rPr>
                <w:rStyle w:val="tlid-translation"/>
                <w:sz w:val="20"/>
                <w:szCs w:val="20"/>
                <w:lang w:val="en-US"/>
              </w:rPr>
              <w:t>Low</w:t>
            </w:r>
          </w:p>
        </w:tc>
        <w:tc>
          <w:tcPr>
            <w:tcW w:w="2126" w:type="dxa"/>
            <w:gridSpan w:val="2"/>
            <w:tcBorders>
              <w:top w:val="nil"/>
              <w:left w:val="nil"/>
              <w:bottom w:val="double" w:sz="4" w:space="0" w:color="auto"/>
              <w:right w:val="nil"/>
            </w:tcBorders>
            <w:vAlign w:val="center"/>
            <w:hideMark/>
          </w:tcPr>
          <w:p w14:paraId="21C19615"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w:t>
            </w:r>
          </w:p>
        </w:tc>
        <w:tc>
          <w:tcPr>
            <w:tcW w:w="1984" w:type="dxa"/>
            <w:gridSpan w:val="3"/>
            <w:tcBorders>
              <w:top w:val="nil"/>
              <w:left w:val="nil"/>
              <w:bottom w:val="double" w:sz="4" w:space="0" w:color="auto"/>
              <w:right w:val="nil"/>
            </w:tcBorders>
            <w:vAlign w:val="center"/>
            <w:hideMark/>
          </w:tcPr>
          <w:p w14:paraId="1AA77527" w14:textId="77777777" w:rsidR="00BC1C50" w:rsidRDefault="00BC1C50">
            <w:pPr>
              <w:spacing w:line="276" w:lineRule="auto"/>
              <w:jc w:val="center"/>
              <w:rPr>
                <w:rStyle w:val="tlid-translation"/>
                <w:sz w:val="20"/>
                <w:szCs w:val="20"/>
                <w:lang w:val="en-US"/>
              </w:rPr>
            </w:pPr>
            <w:r>
              <w:rPr>
                <w:rStyle w:val="tlid-translation"/>
                <w:sz w:val="20"/>
                <w:szCs w:val="20"/>
                <w:lang w:val="en-US"/>
              </w:rPr>
              <w:t>Considerable</w:t>
            </w:r>
          </w:p>
        </w:tc>
        <w:tc>
          <w:tcPr>
            <w:tcW w:w="1985" w:type="dxa"/>
            <w:gridSpan w:val="3"/>
            <w:tcBorders>
              <w:top w:val="nil"/>
              <w:left w:val="nil"/>
              <w:bottom w:val="double" w:sz="4" w:space="0" w:color="auto"/>
              <w:right w:val="nil"/>
            </w:tcBorders>
            <w:vAlign w:val="center"/>
            <w:hideMark/>
          </w:tcPr>
          <w:p w14:paraId="2546249F" w14:textId="77777777" w:rsidR="00BC1C50" w:rsidRDefault="00BC1C50">
            <w:pPr>
              <w:spacing w:line="276" w:lineRule="auto"/>
              <w:jc w:val="center"/>
              <w:rPr>
                <w:rStyle w:val="tlid-translation"/>
                <w:sz w:val="20"/>
                <w:szCs w:val="20"/>
                <w:lang w:val="en-US"/>
              </w:rPr>
            </w:pPr>
            <w:r>
              <w:rPr>
                <w:rStyle w:val="tlid-translation"/>
                <w:sz w:val="20"/>
                <w:szCs w:val="20"/>
                <w:lang w:val="en-US"/>
              </w:rPr>
              <w:t>High</w:t>
            </w:r>
          </w:p>
        </w:tc>
        <w:tc>
          <w:tcPr>
            <w:tcW w:w="2026" w:type="dxa"/>
            <w:gridSpan w:val="2"/>
            <w:tcBorders>
              <w:top w:val="nil"/>
              <w:left w:val="nil"/>
              <w:bottom w:val="double" w:sz="4" w:space="0" w:color="auto"/>
              <w:right w:val="nil"/>
            </w:tcBorders>
            <w:vAlign w:val="center"/>
            <w:hideMark/>
          </w:tcPr>
          <w:p w14:paraId="0EF7BE3B" w14:textId="77777777" w:rsidR="00BC1C50" w:rsidRDefault="00BC1C50">
            <w:pPr>
              <w:spacing w:line="276" w:lineRule="auto"/>
              <w:jc w:val="center"/>
              <w:rPr>
                <w:rStyle w:val="tlid-translation"/>
                <w:sz w:val="20"/>
                <w:szCs w:val="20"/>
                <w:lang w:val="en-US"/>
              </w:rPr>
            </w:pPr>
            <w:r>
              <w:rPr>
                <w:rStyle w:val="tlid-translation"/>
                <w:sz w:val="20"/>
                <w:szCs w:val="20"/>
                <w:lang w:val="en-US"/>
              </w:rPr>
              <w:t>Extreme</w:t>
            </w:r>
          </w:p>
        </w:tc>
      </w:tr>
      <w:tr w:rsidR="00BC1C50" w14:paraId="19865B7B" w14:textId="77777777" w:rsidTr="00BC1C50">
        <w:trPr>
          <w:trHeight w:val="411"/>
          <w:jc w:val="center"/>
        </w:trPr>
        <w:tc>
          <w:tcPr>
            <w:tcW w:w="2410" w:type="dxa"/>
            <w:tcBorders>
              <w:top w:val="double" w:sz="4" w:space="0" w:color="auto"/>
              <w:left w:val="nil"/>
              <w:bottom w:val="nil"/>
              <w:right w:val="nil"/>
            </w:tcBorders>
            <w:vAlign w:val="center"/>
            <w:hideMark/>
          </w:tcPr>
          <w:p w14:paraId="11CFA3B6" w14:textId="77777777" w:rsidR="00BC1C50" w:rsidRDefault="00BC1C50">
            <w:pPr>
              <w:spacing w:line="276" w:lineRule="auto"/>
              <w:jc w:val="center"/>
              <w:rPr>
                <w:i/>
                <w:iCs/>
              </w:rPr>
            </w:pPr>
            <w:r>
              <w:rPr>
                <w:i/>
                <w:iCs/>
                <w:sz w:val="20"/>
                <w:szCs w:val="20"/>
              </w:rPr>
              <w:t>PERI</w:t>
            </w:r>
          </w:p>
        </w:tc>
        <w:tc>
          <w:tcPr>
            <w:tcW w:w="1843" w:type="dxa"/>
            <w:gridSpan w:val="2"/>
            <w:tcBorders>
              <w:top w:val="double" w:sz="4" w:space="0" w:color="auto"/>
              <w:left w:val="nil"/>
              <w:bottom w:val="nil"/>
              <w:right w:val="nil"/>
            </w:tcBorders>
            <w:vAlign w:val="center"/>
            <w:hideMark/>
          </w:tcPr>
          <w:p w14:paraId="65C83A7B" w14:textId="77777777" w:rsidR="00BC1C50" w:rsidRDefault="00BC1C50">
            <w:pPr>
              <w:spacing w:line="276" w:lineRule="auto"/>
              <w:jc w:val="center"/>
              <w:rPr>
                <w:rStyle w:val="tlid-translation"/>
                <w:szCs w:val="22"/>
                <w:lang w:val="en"/>
              </w:rPr>
            </w:pPr>
            <w:r>
              <w:rPr>
                <w:rStyle w:val="tlid-translation"/>
                <w:sz w:val="20"/>
                <w:szCs w:val="20"/>
                <w:lang w:val="en-US"/>
              </w:rPr>
              <w:t>–</w:t>
            </w:r>
          </w:p>
        </w:tc>
        <w:tc>
          <w:tcPr>
            <w:tcW w:w="1843" w:type="dxa"/>
            <w:gridSpan w:val="3"/>
            <w:tcBorders>
              <w:top w:val="double" w:sz="4" w:space="0" w:color="auto"/>
              <w:left w:val="nil"/>
              <w:bottom w:val="nil"/>
              <w:right w:val="nil"/>
            </w:tcBorders>
            <w:vAlign w:val="center"/>
            <w:hideMark/>
          </w:tcPr>
          <w:p w14:paraId="4D7877D2" w14:textId="77777777" w:rsidR="00BC1C50" w:rsidRDefault="00BC1C50">
            <w:pPr>
              <w:spacing w:line="276" w:lineRule="auto"/>
              <w:jc w:val="center"/>
              <w:rPr>
                <w:rStyle w:val="tlid-translation"/>
                <w:sz w:val="20"/>
                <w:szCs w:val="20"/>
                <w:lang w:val="en-US"/>
              </w:rPr>
            </w:pPr>
            <w:r>
              <w:rPr>
                <w:rStyle w:val="tlid-translation"/>
                <w:sz w:val="20"/>
                <w:szCs w:val="20"/>
                <w:lang w:val="en-US"/>
              </w:rPr>
              <w:t>&lt; 150</w:t>
            </w:r>
          </w:p>
        </w:tc>
        <w:tc>
          <w:tcPr>
            <w:tcW w:w="2126" w:type="dxa"/>
            <w:gridSpan w:val="2"/>
            <w:tcBorders>
              <w:top w:val="double" w:sz="4" w:space="0" w:color="auto"/>
              <w:left w:val="nil"/>
              <w:bottom w:val="nil"/>
              <w:right w:val="nil"/>
            </w:tcBorders>
            <w:vAlign w:val="center"/>
            <w:hideMark/>
          </w:tcPr>
          <w:p w14:paraId="219985CA" w14:textId="77777777" w:rsidR="00BC1C50" w:rsidRDefault="00BC1C50">
            <w:pPr>
              <w:spacing w:line="276" w:lineRule="auto"/>
              <w:jc w:val="center"/>
              <w:rPr>
                <w:rStyle w:val="tlid-translation"/>
                <w:sz w:val="20"/>
                <w:szCs w:val="20"/>
                <w:lang w:val="en-US"/>
              </w:rPr>
            </w:pPr>
            <w:r>
              <w:rPr>
                <w:rStyle w:val="tlid-translation"/>
                <w:sz w:val="20"/>
                <w:szCs w:val="20"/>
                <w:lang w:val="en-US"/>
              </w:rPr>
              <w:t>150 – 300</w:t>
            </w:r>
          </w:p>
        </w:tc>
        <w:tc>
          <w:tcPr>
            <w:tcW w:w="1984" w:type="dxa"/>
            <w:gridSpan w:val="3"/>
            <w:tcBorders>
              <w:top w:val="double" w:sz="4" w:space="0" w:color="auto"/>
              <w:left w:val="nil"/>
              <w:bottom w:val="nil"/>
              <w:right w:val="nil"/>
            </w:tcBorders>
            <w:vAlign w:val="center"/>
            <w:hideMark/>
          </w:tcPr>
          <w:p w14:paraId="19AE4956"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tcBorders>
              <w:top w:val="double" w:sz="4" w:space="0" w:color="auto"/>
              <w:left w:val="nil"/>
              <w:bottom w:val="nil"/>
              <w:right w:val="nil"/>
            </w:tcBorders>
            <w:vAlign w:val="center"/>
            <w:hideMark/>
          </w:tcPr>
          <w:p w14:paraId="4E402F80" w14:textId="77777777" w:rsidR="00BC1C50" w:rsidRDefault="00BC1C50">
            <w:pPr>
              <w:spacing w:line="276" w:lineRule="auto"/>
              <w:jc w:val="center"/>
              <w:rPr>
                <w:rStyle w:val="tlid-translation"/>
                <w:sz w:val="20"/>
                <w:szCs w:val="20"/>
                <w:lang w:val="en-US"/>
              </w:rPr>
            </w:pPr>
            <w:r>
              <w:rPr>
                <w:rStyle w:val="tlid-translation"/>
                <w:sz w:val="20"/>
                <w:szCs w:val="20"/>
                <w:lang w:val="en-US"/>
              </w:rPr>
              <w:t>300 – 600</w:t>
            </w:r>
          </w:p>
        </w:tc>
        <w:tc>
          <w:tcPr>
            <w:tcW w:w="2026" w:type="dxa"/>
            <w:gridSpan w:val="2"/>
            <w:tcBorders>
              <w:top w:val="double" w:sz="4" w:space="0" w:color="auto"/>
              <w:left w:val="nil"/>
              <w:bottom w:val="nil"/>
              <w:right w:val="nil"/>
            </w:tcBorders>
            <w:vAlign w:val="center"/>
            <w:hideMark/>
          </w:tcPr>
          <w:p w14:paraId="0F6B1160" w14:textId="77777777" w:rsidR="00BC1C50" w:rsidRDefault="00BC1C50">
            <w:pPr>
              <w:spacing w:line="276" w:lineRule="auto"/>
              <w:jc w:val="center"/>
              <w:rPr>
                <w:rStyle w:val="tlid-translation"/>
                <w:sz w:val="20"/>
                <w:szCs w:val="20"/>
                <w:lang w:val="en-US"/>
              </w:rPr>
            </w:pPr>
            <w:r>
              <w:rPr>
                <w:rStyle w:val="tlid-translation"/>
                <w:sz w:val="20"/>
                <w:szCs w:val="20"/>
                <w:lang w:val="en-US"/>
              </w:rPr>
              <w:t>≥ 600</w:t>
            </w:r>
          </w:p>
        </w:tc>
      </w:tr>
      <w:tr w:rsidR="00BC1C50" w14:paraId="39721AED" w14:textId="77777777" w:rsidTr="00BC1C50">
        <w:trPr>
          <w:trHeight w:val="411"/>
          <w:jc w:val="center"/>
        </w:trPr>
        <w:tc>
          <w:tcPr>
            <w:tcW w:w="2410" w:type="dxa"/>
            <w:vAlign w:val="center"/>
            <w:hideMark/>
          </w:tcPr>
          <w:p w14:paraId="52703BB9" w14:textId="77777777" w:rsidR="00BC1C50" w:rsidRDefault="00BC1C50">
            <w:pPr>
              <w:spacing w:line="276" w:lineRule="auto"/>
              <w:jc w:val="center"/>
              <w:rPr>
                <w:i/>
                <w:iCs/>
              </w:rPr>
            </w:pPr>
            <w:r>
              <w:rPr>
                <w:rStyle w:val="tlid-translation"/>
                <w:i/>
                <w:iCs/>
                <w:sz w:val="20"/>
                <w:szCs w:val="20"/>
              </w:rPr>
              <w:t>m–PEL–q</w:t>
            </w:r>
          </w:p>
        </w:tc>
        <w:tc>
          <w:tcPr>
            <w:tcW w:w="1843" w:type="dxa"/>
            <w:gridSpan w:val="2"/>
            <w:vAlign w:val="center"/>
            <w:hideMark/>
          </w:tcPr>
          <w:p w14:paraId="36B01155" w14:textId="77777777" w:rsidR="00BC1C50" w:rsidRDefault="00BC1C50">
            <w:pPr>
              <w:spacing w:line="276" w:lineRule="auto"/>
              <w:jc w:val="center"/>
              <w:rPr>
                <w:rStyle w:val="tlid-translation"/>
                <w:szCs w:val="22"/>
                <w:lang w:val="en"/>
              </w:rPr>
            </w:pPr>
            <w:r>
              <w:rPr>
                <w:rStyle w:val="tlid-translation"/>
                <w:sz w:val="20"/>
                <w:szCs w:val="20"/>
                <w:lang w:val="en-US"/>
              </w:rPr>
              <w:t>–</w:t>
            </w:r>
          </w:p>
        </w:tc>
        <w:tc>
          <w:tcPr>
            <w:tcW w:w="1843" w:type="dxa"/>
            <w:gridSpan w:val="3"/>
            <w:vAlign w:val="center"/>
            <w:hideMark/>
          </w:tcPr>
          <w:p w14:paraId="1B95BDA7" w14:textId="77777777" w:rsidR="00BC1C50" w:rsidRDefault="00BC1C50">
            <w:pPr>
              <w:spacing w:line="276" w:lineRule="auto"/>
              <w:jc w:val="center"/>
              <w:rPr>
                <w:rStyle w:val="tlid-translation"/>
                <w:sz w:val="20"/>
                <w:szCs w:val="20"/>
                <w:lang w:val="en-US"/>
              </w:rPr>
            </w:pPr>
            <w:r>
              <w:rPr>
                <w:rStyle w:val="tlid-translation"/>
                <w:sz w:val="20"/>
                <w:szCs w:val="20"/>
                <w:lang w:val="en-US"/>
              </w:rPr>
              <w:t>≤ 0.1</w:t>
            </w:r>
          </w:p>
        </w:tc>
        <w:tc>
          <w:tcPr>
            <w:tcW w:w="2126" w:type="dxa"/>
            <w:gridSpan w:val="2"/>
            <w:vAlign w:val="center"/>
            <w:hideMark/>
          </w:tcPr>
          <w:p w14:paraId="5A9965FD"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0.1 – 1 </w:t>
            </w:r>
          </w:p>
        </w:tc>
        <w:tc>
          <w:tcPr>
            <w:tcW w:w="1984" w:type="dxa"/>
            <w:gridSpan w:val="3"/>
            <w:vAlign w:val="center"/>
            <w:hideMark/>
          </w:tcPr>
          <w:p w14:paraId="49EA8F33"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vAlign w:val="center"/>
            <w:hideMark/>
          </w:tcPr>
          <w:p w14:paraId="46846DC5" w14:textId="77777777" w:rsidR="00BC1C50" w:rsidRDefault="00BC1C50">
            <w:pPr>
              <w:spacing w:line="276" w:lineRule="auto"/>
              <w:jc w:val="center"/>
              <w:rPr>
                <w:rStyle w:val="tlid-translation"/>
                <w:sz w:val="20"/>
                <w:szCs w:val="20"/>
                <w:lang w:val="en-US"/>
              </w:rPr>
            </w:pPr>
            <w:r>
              <w:rPr>
                <w:rStyle w:val="tlid-translation"/>
                <w:sz w:val="20"/>
                <w:szCs w:val="20"/>
                <w:lang w:val="en-US"/>
              </w:rPr>
              <w:t>≥ 1</w:t>
            </w:r>
          </w:p>
        </w:tc>
        <w:tc>
          <w:tcPr>
            <w:tcW w:w="2026" w:type="dxa"/>
            <w:gridSpan w:val="2"/>
            <w:vAlign w:val="center"/>
            <w:hideMark/>
          </w:tcPr>
          <w:p w14:paraId="6173FB07"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28C15419" w14:textId="77777777" w:rsidTr="00BC1C50">
        <w:trPr>
          <w:trHeight w:val="411"/>
          <w:jc w:val="center"/>
        </w:trPr>
        <w:tc>
          <w:tcPr>
            <w:tcW w:w="2410" w:type="dxa"/>
            <w:vAlign w:val="center"/>
            <w:hideMark/>
          </w:tcPr>
          <w:p w14:paraId="697FD8B3" w14:textId="77777777" w:rsidR="00BC1C50" w:rsidRDefault="00BC1C50">
            <w:pPr>
              <w:spacing w:line="276" w:lineRule="auto"/>
              <w:jc w:val="center"/>
              <w:rPr>
                <w:i/>
                <w:iCs/>
                <w:vertAlign w:val="subscript"/>
              </w:rPr>
            </w:pPr>
            <w:r>
              <w:rPr>
                <w:i/>
                <w:iCs/>
                <w:sz w:val="20"/>
                <w:szCs w:val="20"/>
              </w:rPr>
              <w:t>TRI</w:t>
            </w:r>
          </w:p>
        </w:tc>
        <w:tc>
          <w:tcPr>
            <w:tcW w:w="1843" w:type="dxa"/>
            <w:gridSpan w:val="2"/>
            <w:vAlign w:val="center"/>
            <w:hideMark/>
          </w:tcPr>
          <w:p w14:paraId="68A94CBA" w14:textId="77777777" w:rsidR="00BC1C50" w:rsidRDefault="00BC1C50">
            <w:pPr>
              <w:spacing w:line="276" w:lineRule="auto"/>
              <w:jc w:val="center"/>
              <w:rPr>
                <w:rStyle w:val="tlid-translation"/>
                <w:szCs w:val="22"/>
                <w:lang w:val="en"/>
              </w:rPr>
            </w:pPr>
            <w:r>
              <w:rPr>
                <w:rStyle w:val="tlid-translation"/>
                <w:sz w:val="20"/>
                <w:szCs w:val="20"/>
                <w:lang w:val="en-US"/>
              </w:rPr>
              <w:t>≤ 5</w:t>
            </w:r>
          </w:p>
        </w:tc>
        <w:tc>
          <w:tcPr>
            <w:tcW w:w="1843" w:type="dxa"/>
            <w:gridSpan w:val="3"/>
            <w:vAlign w:val="center"/>
            <w:hideMark/>
          </w:tcPr>
          <w:p w14:paraId="41F16585" w14:textId="77777777" w:rsidR="00BC1C50" w:rsidRDefault="00BC1C50">
            <w:pPr>
              <w:spacing w:line="276" w:lineRule="auto"/>
              <w:jc w:val="center"/>
              <w:rPr>
                <w:rStyle w:val="tlid-translation"/>
                <w:sz w:val="20"/>
                <w:szCs w:val="20"/>
                <w:lang w:val="en-US"/>
              </w:rPr>
            </w:pPr>
            <w:r>
              <w:rPr>
                <w:rStyle w:val="tlid-translation"/>
                <w:sz w:val="20"/>
                <w:szCs w:val="20"/>
                <w:lang w:val="en-US"/>
              </w:rPr>
              <w:t>5 – 10</w:t>
            </w:r>
          </w:p>
        </w:tc>
        <w:tc>
          <w:tcPr>
            <w:tcW w:w="2126" w:type="dxa"/>
            <w:gridSpan w:val="2"/>
            <w:vAlign w:val="center"/>
            <w:hideMark/>
          </w:tcPr>
          <w:p w14:paraId="64D07302"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10 – 15 </w:t>
            </w:r>
          </w:p>
        </w:tc>
        <w:tc>
          <w:tcPr>
            <w:tcW w:w="1984" w:type="dxa"/>
            <w:gridSpan w:val="3"/>
            <w:vAlign w:val="center"/>
            <w:hideMark/>
          </w:tcPr>
          <w:p w14:paraId="2BD90FCF"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15 – 20 </w:t>
            </w:r>
          </w:p>
        </w:tc>
        <w:tc>
          <w:tcPr>
            <w:tcW w:w="1985" w:type="dxa"/>
            <w:gridSpan w:val="3"/>
            <w:vAlign w:val="center"/>
            <w:hideMark/>
          </w:tcPr>
          <w:p w14:paraId="41404A3F" w14:textId="77777777" w:rsidR="00BC1C50" w:rsidRDefault="00BC1C50">
            <w:pPr>
              <w:spacing w:line="276" w:lineRule="auto"/>
              <w:jc w:val="center"/>
              <w:rPr>
                <w:rStyle w:val="tlid-translation"/>
                <w:sz w:val="20"/>
                <w:szCs w:val="20"/>
                <w:lang w:val="en-US"/>
              </w:rPr>
            </w:pPr>
            <w:r>
              <w:rPr>
                <w:rStyle w:val="tlid-translation"/>
                <w:sz w:val="20"/>
                <w:szCs w:val="20"/>
                <w:lang w:val="en-US"/>
              </w:rPr>
              <w:t>≥ 20</w:t>
            </w:r>
          </w:p>
        </w:tc>
        <w:tc>
          <w:tcPr>
            <w:tcW w:w="2026" w:type="dxa"/>
            <w:gridSpan w:val="2"/>
            <w:vAlign w:val="center"/>
            <w:hideMark/>
          </w:tcPr>
          <w:p w14:paraId="5A6D28C1"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1CF8464D" w14:textId="77777777" w:rsidTr="00BC1C50">
        <w:trPr>
          <w:trHeight w:val="411"/>
          <w:jc w:val="center"/>
        </w:trPr>
        <w:tc>
          <w:tcPr>
            <w:tcW w:w="2410" w:type="dxa"/>
            <w:tcBorders>
              <w:top w:val="nil"/>
              <w:left w:val="nil"/>
              <w:bottom w:val="double" w:sz="4" w:space="0" w:color="auto"/>
              <w:right w:val="nil"/>
            </w:tcBorders>
            <w:vAlign w:val="center"/>
            <w:hideMark/>
          </w:tcPr>
          <w:p w14:paraId="1BC410B6" w14:textId="77777777" w:rsidR="00BC1C50" w:rsidRDefault="00BC1C50">
            <w:pPr>
              <w:spacing w:line="276" w:lineRule="auto"/>
              <w:jc w:val="center"/>
              <w:rPr>
                <w:i/>
                <w:iCs/>
              </w:rPr>
            </w:pPr>
            <w:proofErr w:type="spellStart"/>
            <w:r>
              <w:rPr>
                <w:i/>
                <w:iCs/>
                <w:sz w:val="20"/>
                <w:szCs w:val="20"/>
              </w:rPr>
              <w:t>IR</w:t>
            </w:r>
            <w:r>
              <w:rPr>
                <w:i/>
                <w:iCs/>
                <w:sz w:val="20"/>
                <w:szCs w:val="20"/>
                <w:vertAlign w:val="subscript"/>
              </w:rPr>
              <w:t>ChemLoE</w:t>
            </w:r>
            <w:proofErr w:type="spellEnd"/>
          </w:p>
        </w:tc>
        <w:tc>
          <w:tcPr>
            <w:tcW w:w="1843" w:type="dxa"/>
            <w:gridSpan w:val="2"/>
            <w:tcBorders>
              <w:top w:val="nil"/>
              <w:left w:val="nil"/>
              <w:bottom w:val="double" w:sz="4" w:space="0" w:color="auto"/>
              <w:right w:val="nil"/>
            </w:tcBorders>
            <w:vAlign w:val="center"/>
            <w:hideMark/>
          </w:tcPr>
          <w:p w14:paraId="4BC1D07C" w14:textId="77777777" w:rsidR="00BC1C50" w:rsidRDefault="00BC1C50">
            <w:pPr>
              <w:spacing w:line="276" w:lineRule="auto"/>
              <w:jc w:val="center"/>
              <w:rPr>
                <w:rStyle w:val="tlid-translation"/>
                <w:szCs w:val="22"/>
                <w:lang w:val="en"/>
              </w:rPr>
            </w:pPr>
            <w:r>
              <w:rPr>
                <w:rStyle w:val="tlid-translation"/>
                <w:sz w:val="20"/>
                <w:szCs w:val="20"/>
                <w:lang w:val="en-US"/>
              </w:rPr>
              <w:t>≤ 0.20</w:t>
            </w:r>
          </w:p>
        </w:tc>
        <w:tc>
          <w:tcPr>
            <w:tcW w:w="1843" w:type="dxa"/>
            <w:gridSpan w:val="3"/>
            <w:tcBorders>
              <w:top w:val="nil"/>
              <w:left w:val="nil"/>
              <w:bottom w:val="double" w:sz="4" w:space="0" w:color="auto"/>
              <w:right w:val="nil"/>
            </w:tcBorders>
            <w:vAlign w:val="center"/>
            <w:hideMark/>
          </w:tcPr>
          <w:p w14:paraId="656811FE"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2126" w:type="dxa"/>
            <w:gridSpan w:val="2"/>
            <w:tcBorders>
              <w:top w:val="nil"/>
              <w:left w:val="nil"/>
              <w:bottom w:val="double" w:sz="4" w:space="0" w:color="auto"/>
              <w:right w:val="nil"/>
            </w:tcBorders>
            <w:vAlign w:val="center"/>
            <w:hideMark/>
          </w:tcPr>
          <w:p w14:paraId="64871B28" w14:textId="77777777" w:rsidR="00BC1C50" w:rsidRDefault="00BC1C50">
            <w:pPr>
              <w:spacing w:line="276" w:lineRule="auto"/>
              <w:jc w:val="center"/>
              <w:rPr>
                <w:rStyle w:val="tlid-translation"/>
                <w:sz w:val="20"/>
                <w:szCs w:val="20"/>
                <w:lang w:val="en-US"/>
              </w:rPr>
            </w:pPr>
            <w:r>
              <w:rPr>
                <w:rStyle w:val="tlid-translation"/>
                <w:sz w:val="20"/>
                <w:szCs w:val="20"/>
                <w:lang w:val="en-US"/>
              </w:rPr>
              <w:t>0.20 – 0.75</w:t>
            </w:r>
          </w:p>
        </w:tc>
        <w:tc>
          <w:tcPr>
            <w:tcW w:w="1984" w:type="dxa"/>
            <w:gridSpan w:val="3"/>
            <w:tcBorders>
              <w:top w:val="nil"/>
              <w:left w:val="nil"/>
              <w:bottom w:val="double" w:sz="4" w:space="0" w:color="auto"/>
              <w:right w:val="nil"/>
            </w:tcBorders>
            <w:vAlign w:val="center"/>
            <w:hideMark/>
          </w:tcPr>
          <w:p w14:paraId="2E29BE3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tcBorders>
              <w:top w:val="nil"/>
              <w:left w:val="nil"/>
              <w:bottom w:val="double" w:sz="4" w:space="0" w:color="auto"/>
              <w:right w:val="nil"/>
            </w:tcBorders>
            <w:vAlign w:val="center"/>
            <w:hideMark/>
          </w:tcPr>
          <w:p w14:paraId="127371BE" w14:textId="77777777" w:rsidR="00BC1C50" w:rsidRDefault="00BC1C50">
            <w:pPr>
              <w:spacing w:line="276" w:lineRule="auto"/>
              <w:jc w:val="center"/>
              <w:rPr>
                <w:rStyle w:val="tlid-translation"/>
                <w:sz w:val="20"/>
                <w:szCs w:val="20"/>
                <w:lang w:val="en-US"/>
              </w:rPr>
            </w:pPr>
            <w:r>
              <w:rPr>
                <w:rStyle w:val="tlid-translation"/>
                <w:sz w:val="20"/>
                <w:szCs w:val="20"/>
                <w:lang w:val="en-US"/>
              </w:rPr>
              <w:t>≥ 0.75</w:t>
            </w:r>
          </w:p>
        </w:tc>
        <w:tc>
          <w:tcPr>
            <w:tcW w:w="2026" w:type="dxa"/>
            <w:gridSpan w:val="2"/>
            <w:tcBorders>
              <w:top w:val="nil"/>
              <w:left w:val="nil"/>
              <w:bottom w:val="double" w:sz="4" w:space="0" w:color="auto"/>
              <w:right w:val="nil"/>
            </w:tcBorders>
            <w:vAlign w:val="center"/>
            <w:hideMark/>
          </w:tcPr>
          <w:p w14:paraId="71DF421D"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546F55F8" w14:textId="77777777" w:rsidTr="00BC1C50">
        <w:trPr>
          <w:trHeight w:val="411"/>
          <w:jc w:val="center"/>
        </w:trPr>
        <w:tc>
          <w:tcPr>
            <w:tcW w:w="2410" w:type="dxa"/>
            <w:tcBorders>
              <w:top w:val="double" w:sz="4" w:space="0" w:color="auto"/>
              <w:left w:val="nil"/>
              <w:bottom w:val="nil"/>
              <w:right w:val="nil"/>
            </w:tcBorders>
            <w:vAlign w:val="center"/>
            <w:hideMark/>
          </w:tcPr>
          <w:p w14:paraId="7BADC3DF" w14:textId="77777777" w:rsidR="00BC1C50" w:rsidRDefault="00BC1C50">
            <w:pPr>
              <w:spacing w:line="276" w:lineRule="auto"/>
              <w:jc w:val="center"/>
              <w:rPr>
                <w:rStyle w:val="tlid-translation"/>
                <w:b/>
                <w:bCs/>
                <w:sz w:val="20"/>
                <w:szCs w:val="20"/>
                <w:lang w:val="en"/>
              </w:rPr>
            </w:pPr>
            <w:r>
              <w:rPr>
                <w:rStyle w:val="tlid-translation"/>
                <w:b/>
                <w:sz w:val="20"/>
                <w:szCs w:val="20"/>
                <w:lang w:val="en-US"/>
              </w:rPr>
              <w:t>Category</w:t>
            </w:r>
          </w:p>
        </w:tc>
        <w:tc>
          <w:tcPr>
            <w:tcW w:w="2835" w:type="dxa"/>
            <w:gridSpan w:val="3"/>
            <w:tcBorders>
              <w:top w:val="double" w:sz="4" w:space="0" w:color="auto"/>
              <w:left w:val="nil"/>
              <w:bottom w:val="nil"/>
              <w:right w:val="nil"/>
            </w:tcBorders>
            <w:vAlign w:val="center"/>
            <w:hideMark/>
          </w:tcPr>
          <w:p w14:paraId="5440424A"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1</w:t>
            </w:r>
          </w:p>
        </w:tc>
        <w:tc>
          <w:tcPr>
            <w:tcW w:w="3119" w:type="dxa"/>
            <w:gridSpan w:val="5"/>
            <w:tcBorders>
              <w:top w:val="double" w:sz="4" w:space="0" w:color="auto"/>
              <w:left w:val="nil"/>
              <w:bottom w:val="nil"/>
              <w:right w:val="nil"/>
            </w:tcBorders>
            <w:vAlign w:val="center"/>
            <w:hideMark/>
          </w:tcPr>
          <w:p w14:paraId="403BE986"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2</w:t>
            </w:r>
          </w:p>
        </w:tc>
        <w:tc>
          <w:tcPr>
            <w:tcW w:w="2976" w:type="dxa"/>
            <w:gridSpan w:val="4"/>
            <w:tcBorders>
              <w:top w:val="double" w:sz="4" w:space="0" w:color="auto"/>
              <w:left w:val="nil"/>
              <w:bottom w:val="nil"/>
              <w:right w:val="nil"/>
            </w:tcBorders>
            <w:vAlign w:val="center"/>
            <w:hideMark/>
          </w:tcPr>
          <w:p w14:paraId="557A8EF2"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3</w:t>
            </w:r>
          </w:p>
        </w:tc>
        <w:tc>
          <w:tcPr>
            <w:tcW w:w="2877" w:type="dxa"/>
            <w:gridSpan w:val="3"/>
            <w:tcBorders>
              <w:top w:val="double" w:sz="4" w:space="0" w:color="auto"/>
              <w:left w:val="nil"/>
              <w:bottom w:val="nil"/>
              <w:right w:val="nil"/>
            </w:tcBorders>
            <w:vAlign w:val="center"/>
            <w:hideMark/>
          </w:tcPr>
          <w:p w14:paraId="59CACEE0"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4</w:t>
            </w:r>
          </w:p>
        </w:tc>
      </w:tr>
      <w:tr w:rsidR="00BC1C50" w14:paraId="32B40167" w14:textId="77777777" w:rsidTr="00BC1C50">
        <w:trPr>
          <w:trHeight w:val="411"/>
          <w:jc w:val="center"/>
        </w:trPr>
        <w:tc>
          <w:tcPr>
            <w:tcW w:w="2410" w:type="dxa"/>
            <w:tcBorders>
              <w:top w:val="nil"/>
              <w:left w:val="nil"/>
              <w:bottom w:val="double" w:sz="4" w:space="0" w:color="auto"/>
              <w:right w:val="nil"/>
            </w:tcBorders>
            <w:vAlign w:val="center"/>
            <w:hideMark/>
          </w:tcPr>
          <w:p w14:paraId="4E41E8D4" w14:textId="77777777" w:rsidR="00BC1C50" w:rsidRDefault="00BC1C50">
            <w:pPr>
              <w:spacing w:line="276" w:lineRule="auto"/>
              <w:jc w:val="center"/>
              <w:rPr>
                <w:rStyle w:val="tlid-translation"/>
                <w:i/>
                <w:iCs/>
                <w:sz w:val="20"/>
                <w:szCs w:val="20"/>
                <w:lang w:val="en-US"/>
              </w:rPr>
            </w:pPr>
            <w:r>
              <w:rPr>
                <w:rStyle w:val="tlid-translation"/>
                <w:b/>
                <w:bCs/>
                <w:sz w:val="20"/>
                <w:szCs w:val="20"/>
                <w:lang w:val="en"/>
              </w:rPr>
              <w:t>Probability of being toxic</w:t>
            </w:r>
          </w:p>
        </w:tc>
        <w:tc>
          <w:tcPr>
            <w:tcW w:w="2835" w:type="dxa"/>
            <w:gridSpan w:val="3"/>
            <w:tcBorders>
              <w:top w:val="nil"/>
              <w:left w:val="nil"/>
              <w:bottom w:val="double" w:sz="4" w:space="0" w:color="auto"/>
              <w:right w:val="nil"/>
            </w:tcBorders>
            <w:vAlign w:val="center"/>
            <w:hideMark/>
          </w:tcPr>
          <w:p w14:paraId="518DEFC5" w14:textId="77777777" w:rsidR="00BC1C50" w:rsidRDefault="00BC1C50">
            <w:pPr>
              <w:spacing w:line="276" w:lineRule="auto"/>
              <w:jc w:val="center"/>
              <w:rPr>
                <w:rStyle w:val="tlid-translation"/>
                <w:sz w:val="20"/>
                <w:szCs w:val="20"/>
                <w:lang w:val="en-US"/>
              </w:rPr>
            </w:pPr>
            <w:r>
              <w:rPr>
                <w:rStyle w:val="tlid-translation"/>
                <w:sz w:val="20"/>
                <w:szCs w:val="20"/>
                <w:lang w:val="en-US"/>
              </w:rPr>
              <w:t>9 %</w:t>
            </w:r>
          </w:p>
        </w:tc>
        <w:tc>
          <w:tcPr>
            <w:tcW w:w="3119" w:type="dxa"/>
            <w:gridSpan w:val="5"/>
            <w:tcBorders>
              <w:top w:val="nil"/>
              <w:left w:val="nil"/>
              <w:bottom w:val="double" w:sz="4" w:space="0" w:color="auto"/>
              <w:right w:val="nil"/>
            </w:tcBorders>
            <w:vAlign w:val="center"/>
            <w:hideMark/>
          </w:tcPr>
          <w:p w14:paraId="4D3441D7" w14:textId="77777777" w:rsidR="00BC1C50" w:rsidRDefault="00BC1C50">
            <w:pPr>
              <w:spacing w:line="276" w:lineRule="auto"/>
              <w:jc w:val="center"/>
              <w:rPr>
                <w:rStyle w:val="tlid-translation"/>
                <w:sz w:val="20"/>
                <w:szCs w:val="20"/>
                <w:lang w:val="en-US"/>
              </w:rPr>
            </w:pPr>
            <w:r>
              <w:rPr>
                <w:rStyle w:val="tlid-translation"/>
                <w:sz w:val="20"/>
                <w:szCs w:val="20"/>
                <w:lang w:val="en-US"/>
              </w:rPr>
              <w:t>21%</w:t>
            </w:r>
          </w:p>
        </w:tc>
        <w:tc>
          <w:tcPr>
            <w:tcW w:w="2976" w:type="dxa"/>
            <w:gridSpan w:val="4"/>
            <w:tcBorders>
              <w:top w:val="nil"/>
              <w:left w:val="nil"/>
              <w:bottom w:val="double" w:sz="4" w:space="0" w:color="auto"/>
              <w:right w:val="nil"/>
            </w:tcBorders>
            <w:vAlign w:val="center"/>
            <w:hideMark/>
          </w:tcPr>
          <w:p w14:paraId="68CEB6CF" w14:textId="77777777" w:rsidR="00BC1C50" w:rsidRDefault="00BC1C50">
            <w:pPr>
              <w:spacing w:line="276" w:lineRule="auto"/>
              <w:jc w:val="center"/>
              <w:rPr>
                <w:rStyle w:val="tlid-translation"/>
                <w:sz w:val="20"/>
                <w:szCs w:val="20"/>
                <w:lang w:val="en-US"/>
              </w:rPr>
            </w:pPr>
            <w:r>
              <w:rPr>
                <w:rStyle w:val="tlid-translation"/>
                <w:sz w:val="20"/>
                <w:szCs w:val="20"/>
                <w:lang w:val="en-US"/>
              </w:rPr>
              <w:t>49%</w:t>
            </w:r>
          </w:p>
        </w:tc>
        <w:tc>
          <w:tcPr>
            <w:tcW w:w="2877" w:type="dxa"/>
            <w:gridSpan w:val="3"/>
            <w:tcBorders>
              <w:top w:val="nil"/>
              <w:left w:val="nil"/>
              <w:bottom w:val="double" w:sz="4" w:space="0" w:color="auto"/>
              <w:right w:val="nil"/>
            </w:tcBorders>
            <w:vAlign w:val="center"/>
            <w:hideMark/>
          </w:tcPr>
          <w:p w14:paraId="5D481E01" w14:textId="77777777" w:rsidR="00BC1C50" w:rsidRDefault="00BC1C50">
            <w:pPr>
              <w:spacing w:line="276" w:lineRule="auto"/>
              <w:jc w:val="center"/>
              <w:rPr>
                <w:rStyle w:val="tlid-translation"/>
                <w:sz w:val="20"/>
                <w:szCs w:val="20"/>
                <w:lang w:val="en-US"/>
              </w:rPr>
            </w:pPr>
            <w:r>
              <w:rPr>
                <w:rStyle w:val="tlid-translation"/>
                <w:sz w:val="20"/>
                <w:szCs w:val="20"/>
                <w:lang w:val="en-US"/>
              </w:rPr>
              <w:t>76%</w:t>
            </w:r>
          </w:p>
        </w:tc>
      </w:tr>
      <w:tr w:rsidR="00BC1C50" w14:paraId="59DF3B64" w14:textId="77777777" w:rsidTr="00BC1C50">
        <w:trPr>
          <w:trHeight w:val="411"/>
          <w:jc w:val="center"/>
        </w:trPr>
        <w:tc>
          <w:tcPr>
            <w:tcW w:w="2410" w:type="dxa"/>
            <w:tcBorders>
              <w:top w:val="double" w:sz="4" w:space="0" w:color="auto"/>
              <w:left w:val="nil"/>
              <w:bottom w:val="double" w:sz="4" w:space="0" w:color="auto"/>
              <w:right w:val="nil"/>
            </w:tcBorders>
            <w:vAlign w:val="center"/>
            <w:hideMark/>
          </w:tcPr>
          <w:p w14:paraId="3EA69B9E" w14:textId="77777777" w:rsidR="00BC1C50" w:rsidRDefault="00BC1C50">
            <w:pPr>
              <w:spacing w:line="276" w:lineRule="auto"/>
              <w:jc w:val="center"/>
            </w:pPr>
            <w:r>
              <w:rPr>
                <w:rStyle w:val="tlid-translation"/>
                <w:i/>
                <w:iCs/>
                <w:sz w:val="20"/>
                <w:szCs w:val="20"/>
              </w:rPr>
              <w:t>m–ERM–q</w:t>
            </w:r>
          </w:p>
        </w:tc>
        <w:tc>
          <w:tcPr>
            <w:tcW w:w="2835" w:type="dxa"/>
            <w:gridSpan w:val="3"/>
            <w:tcBorders>
              <w:top w:val="double" w:sz="4" w:space="0" w:color="auto"/>
              <w:left w:val="nil"/>
              <w:bottom w:val="double" w:sz="4" w:space="0" w:color="auto"/>
              <w:right w:val="nil"/>
            </w:tcBorders>
            <w:vAlign w:val="center"/>
            <w:hideMark/>
          </w:tcPr>
          <w:p w14:paraId="18ACD604" w14:textId="77777777" w:rsidR="00BC1C50" w:rsidRDefault="00BC1C50">
            <w:pPr>
              <w:spacing w:line="276" w:lineRule="auto"/>
              <w:jc w:val="center"/>
              <w:rPr>
                <w:rStyle w:val="tlid-translation"/>
              </w:rPr>
            </w:pPr>
            <w:r>
              <w:rPr>
                <w:rStyle w:val="tlid-translation"/>
                <w:sz w:val="20"/>
                <w:szCs w:val="20"/>
                <w:lang w:val="en-US"/>
              </w:rPr>
              <w:t>&lt; 0.1</w:t>
            </w:r>
          </w:p>
        </w:tc>
        <w:tc>
          <w:tcPr>
            <w:tcW w:w="3119" w:type="dxa"/>
            <w:gridSpan w:val="5"/>
            <w:tcBorders>
              <w:top w:val="double" w:sz="4" w:space="0" w:color="auto"/>
              <w:left w:val="nil"/>
              <w:bottom w:val="double" w:sz="4" w:space="0" w:color="auto"/>
              <w:right w:val="nil"/>
            </w:tcBorders>
            <w:vAlign w:val="center"/>
            <w:hideMark/>
          </w:tcPr>
          <w:p w14:paraId="399B1438" w14:textId="77777777" w:rsidR="00BC1C50" w:rsidRDefault="00BC1C50">
            <w:pPr>
              <w:spacing w:line="276" w:lineRule="auto"/>
              <w:jc w:val="center"/>
              <w:rPr>
                <w:rStyle w:val="tlid-translation"/>
                <w:sz w:val="20"/>
                <w:szCs w:val="20"/>
                <w:lang w:val="en-US"/>
              </w:rPr>
            </w:pPr>
            <w:r>
              <w:rPr>
                <w:rStyle w:val="tlid-translation"/>
                <w:sz w:val="20"/>
                <w:szCs w:val="20"/>
                <w:lang w:val="en-US"/>
              </w:rPr>
              <w:t>0.11 – 0.50</w:t>
            </w:r>
          </w:p>
        </w:tc>
        <w:tc>
          <w:tcPr>
            <w:tcW w:w="2976" w:type="dxa"/>
            <w:gridSpan w:val="4"/>
            <w:tcBorders>
              <w:top w:val="double" w:sz="4" w:space="0" w:color="auto"/>
              <w:left w:val="nil"/>
              <w:bottom w:val="double" w:sz="4" w:space="0" w:color="auto"/>
              <w:right w:val="nil"/>
            </w:tcBorders>
            <w:vAlign w:val="center"/>
            <w:hideMark/>
          </w:tcPr>
          <w:p w14:paraId="0D638E1A" w14:textId="77777777" w:rsidR="00BC1C50" w:rsidRDefault="00BC1C50">
            <w:pPr>
              <w:spacing w:line="276" w:lineRule="auto"/>
              <w:jc w:val="center"/>
              <w:rPr>
                <w:rStyle w:val="tlid-translation"/>
                <w:sz w:val="20"/>
                <w:szCs w:val="20"/>
                <w:lang w:val="en-US"/>
              </w:rPr>
            </w:pPr>
            <w:r>
              <w:rPr>
                <w:rStyle w:val="tlid-translation"/>
                <w:sz w:val="20"/>
                <w:szCs w:val="20"/>
                <w:lang w:val="en-US"/>
              </w:rPr>
              <w:t>0.51 – 1.50</w:t>
            </w:r>
          </w:p>
        </w:tc>
        <w:tc>
          <w:tcPr>
            <w:tcW w:w="2877" w:type="dxa"/>
            <w:gridSpan w:val="3"/>
            <w:tcBorders>
              <w:top w:val="double" w:sz="4" w:space="0" w:color="auto"/>
              <w:left w:val="nil"/>
              <w:bottom w:val="double" w:sz="4" w:space="0" w:color="auto"/>
              <w:right w:val="nil"/>
            </w:tcBorders>
            <w:vAlign w:val="center"/>
            <w:hideMark/>
          </w:tcPr>
          <w:p w14:paraId="3F4F222F" w14:textId="77777777" w:rsidR="00BC1C50" w:rsidRDefault="00BC1C50">
            <w:pPr>
              <w:spacing w:line="276" w:lineRule="auto"/>
              <w:jc w:val="center"/>
              <w:rPr>
                <w:rStyle w:val="tlid-translation"/>
                <w:sz w:val="20"/>
                <w:szCs w:val="20"/>
                <w:lang w:val="en-US"/>
              </w:rPr>
            </w:pPr>
            <w:r>
              <w:rPr>
                <w:rStyle w:val="tlid-translation"/>
                <w:sz w:val="20"/>
                <w:szCs w:val="20"/>
                <w:lang w:val="en-US"/>
              </w:rPr>
              <w:t>≥ 1.50</w:t>
            </w:r>
          </w:p>
        </w:tc>
      </w:tr>
    </w:tbl>
    <w:p w14:paraId="5BB0F5B4" w14:textId="77777777" w:rsidR="00BC1C50" w:rsidRDefault="00BC1C50" w:rsidP="00BC1C50">
      <w:pPr>
        <w:spacing w:after="0" w:line="240" w:lineRule="auto"/>
        <w:ind w:right="677"/>
        <w:jc w:val="both"/>
        <w:rPr>
          <w:b/>
          <w:color w:val="FF0000"/>
          <w:sz w:val="20"/>
          <w:szCs w:val="20"/>
          <w:lang w:val="en-US"/>
        </w:rPr>
      </w:pPr>
    </w:p>
    <w:p w14:paraId="25E5C219" w14:textId="77777777" w:rsidR="00C01D25" w:rsidRPr="0024583B" w:rsidRDefault="00C01D25" w:rsidP="0024583B">
      <w:pPr>
        <w:spacing w:after="120"/>
        <w:jc w:val="both"/>
        <w:rPr>
          <w:sz w:val="28"/>
          <w:lang w:val="en"/>
        </w:rPr>
      </w:pPr>
    </w:p>
    <w:p w14:paraId="0E6BE2D6" w14:textId="77777777" w:rsidR="00946F8A" w:rsidRDefault="00946F8A" w:rsidP="00946F8A">
      <w:pPr>
        <w:pStyle w:val="PargrafodaLista"/>
        <w:spacing w:after="120"/>
        <w:ind w:left="714"/>
        <w:contextualSpacing w:val="0"/>
        <w:jc w:val="both"/>
        <w:rPr>
          <w:lang w:val="en-US"/>
        </w:rPr>
      </w:pPr>
      <w:r>
        <w:rPr>
          <w:lang w:val="en-US"/>
        </w:rPr>
        <w:br w:type="page"/>
      </w:r>
    </w:p>
    <w:p w14:paraId="4DE006A4" w14:textId="77777777" w:rsidR="0024583B" w:rsidRDefault="0024583B" w:rsidP="00A3089B">
      <w:pPr>
        <w:widowControl w:val="0"/>
        <w:autoSpaceDE w:val="0"/>
        <w:autoSpaceDN w:val="0"/>
        <w:adjustRightInd w:val="0"/>
        <w:spacing w:line="276" w:lineRule="auto"/>
        <w:ind w:left="993" w:hanging="993"/>
        <w:jc w:val="center"/>
        <w:rPr>
          <w:rStyle w:val="tlid-translation"/>
          <w:b/>
          <w:sz w:val="36"/>
          <w:szCs w:val="32"/>
          <w:lang w:val="en"/>
        </w:rPr>
        <w:sectPr w:rsidR="0024583B" w:rsidSect="0024583B">
          <w:pgSz w:w="16838" w:h="11906" w:orient="landscape"/>
          <w:pgMar w:top="720" w:right="720" w:bottom="720" w:left="720" w:header="709" w:footer="709" w:gutter="0"/>
          <w:cols w:space="708"/>
          <w:docGrid w:linePitch="360"/>
        </w:sectPr>
      </w:pPr>
    </w:p>
    <w:p w14:paraId="69D6F565" w14:textId="65897A49" w:rsidR="00A3089B" w:rsidRPr="007837A2" w:rsidRDefault="00320B64" w:rsidP="00A3089B">
      <w:pPr>
        <w:widowControl w:val="0"/>
        <w:autoSpaceDE w:val="0"/>
        <w:autoSpaceDN w:val="0"/>
        <w:adjustRightInd w:val="0"/>
        <w:spacing w:line="276" w:lineRule="auto"/>
        <w:ind w:left="993" w:hanging="993"/>
        <w:jc w:val="center"/>
        <w:rPr>
          <w:rStyle w:val="tlid-translation"/>
          <w:b/>
          <w:sz w:val="36"/>
          <w:lang w:val="en"/>
        </w:rPr>
      </w:pPr>
      <w:r w:rsidRPr="007837A2">
        <w:rPr>
          <w:rStyle w:val="tlid-translation"/>
          <w:b/>
          <w:sz w:val="36"/>
          <w:lang w:val="en"/>
        </w:rPr>
        <w:lastRenderedPageBreak/>
        <w:t xml:space="preserve">HOW TO USE </w:t>
      </w:r>
      <w:proofErr w:type="spellStart"/>
      <w:r w:rsidR="003F31FE">
        <w:rPr>
          <w:rStyle w:val="tlid-translation"/>
          <w:b/>
          <w:sz w:val="36"/>
          <w:lang w:val="en"/>
        </w:rPr>
        <w:t>HERisk</w:t>
      </w:r>
      <w:proofErr w:type="spellEnd"/>
    </w:p>
    <w:p w14:paraId="769121CB" w14:textId="77777777" w:rsidR="007837A2" w:rsidRDefault="007837A2" w:rsidP="007837A2">
      <w:pPr>
        <w:widowControl w:val="0"/>
        <w:autoSpaceDE w:val="0"/>
        <w:autoSpaceDN w:val="0"/>
        <w:adjustRightInd w:val="0"/>
        <w:spacing w:line="276" w:lineRule="auto"/>
        <w:ind w:left="993" w:hanging="993"/>
        <w:rPr>
          <w:rStyle w:val="tlid-translation"/>
          <w:b/>
          <w:sz w:val="32"/>
          <w:lang w:val="en"/>
        </w:rPr>
      </w:pPr>
    </w:p>
    <w:p w14:paraId="38CA5D7C" w14:textId="3A55F4BB" w:rsidR="007837A2" w:rsidRDefault="007837A2" w:rsidP="007837A2">
      <w:pPr>
        <w:widowControl w:val="0"/>
        <w:autoSpaceDE w:val="0"/>
        <w:autoSpaceDN w:val="0"/>
        <w:adjustRightInd w:val="0"/>
        <w:spacing w:line="276" w:lineRule="auto"/>
        <w:ind w:left="993" w:hanging="993"/>
        <w:jc w:val="center"/>
        <w:rPr>
          <w:rStyle w:val="tlid-translation"/>
          <w:sz w:val="28"/>
          <w:lang w:val="en"/>
        </w:rPr>
      </w:pPr>
      <w:r w:rsidRPr="001D6945">
        <w:rPr>
          <w:rStyle w:val="tlid-translation"/>
          <w:sz w:val="28"/>
          <w:lang w:val="en"/>
        </w:rPr>
        <w:t xml:space="preserve">Video link showing how to use </w:t>
      </w:r>
      <w:proofErr w:type="spellStart"/>
      <w:r w:rsidR="003F31FE">
        <w:rPr>
          <w:rStyle w:val="tlid-translation"/>
          <w:sz w:val="28"/>
          <w:lang w:val="en"/>
        </w:rPr>
        <w:t>HERisk</w:t>
      </w:r>
      <w:proofErr w:type="spellEnd"/>
      <w:r w:rsidRPr="001D6945">
        <w:rPr>
          <w:rStyle w:val="tlid-translation"/>
          <w:sz w:val="28"/>
          <w:lang w:val="en"/>
        </w:rPr>
        <w:t>:</w:t>
      </w:r>
    </w:p>
    <w:p w14:paraId="467137E3" w14:textId="77777777" w:rsidR="007837A2" w:rsidRPr="00885E56" w:rsidRDefault="007837A2" w:rsidP="007837A2">
      <w:pPr>
        <w:widowControl w:val="0"/>
        <w:autoSpaceDE w:val="0"/>
        <w:autoSpaceDN w:val="0"/>
        <w:adjustRightInd w:val="0"/>
        <w:spacing w:line="276" w:lineRule="auto"/>
        <w:ind w:left="993" w:hanging="993"/>
        <w:jc w:val="center"/>
        <w:rPr>
          <w:rStyle w:val="tlid-translation"/>
          <w:lang w:val="en-US"/>
        </w:rPr>
      </w:pPr>
    </w:p>
    <w:p w14:paraId="1094F11D" w14:textId="16F2C83D" w:rsidR="00C47575" w:rsidRPr="00C47575" w:rsidRDefault="00C47575" w:rsidP="00C47575">
      <w:pPr>
        <w:widowControl w:val="0"/>
        <w:autoSpaceDE w:val="0"/>
        <w:autoSpaceDN w:val="0"/>
        <w:adjustRightInd w:val="0"/>
        <w:spacing w:line="276" w:lineRule="auto"/>
        <w:ind w:left="993" w:hanging="993"/>
        <w:jc w:val="center"/>
        <w:rPr>
          <w:bCs/>
          <w:sz w:val="56"/>
          <w:szCs w:val="56"/>
          <w:lang w:val="en"/>
        </w:rPr>
      </w:pPr>
      <w:hyperlink r:id="rId10" w:history="1">
        <w:r w:rsidRPr="00C47575">
          <w:rPr>
            <w:rStyle w:val="Hyperlink"/>
            <w:bCs/>
            <w:sz w:val="56"/>
            <w:szCs w:val="56"/>
            <w:lang w:val="en"/>
          </w:rPr>
          <w:t>https://youtu.be/88czE1B8L60</w:t>
        </w:r>
      </w:hyperlink>
    </w:p>
    <w:p w14:paraId="5C59051A" w14:textId="6A27B699" w:rsidR="00011927" w:rsidRPr="00C47575" w:rsidRDefault="00011927" w:rsidP="00C47575">
      <w:pPr>
        <w:widowControl w:val="0"/>
        <w:autoSpaceDE w:val="0"/>
        <w:autoSpaceDN w:val="0"/>
        <w:adjustRightInd w:val="0"/>
        <w:spacing w:line="276" w:lineRule="auto"/>
        <w:ind w:left="993" w:hanging="993"/>
        <w:jc w:val="center"/>
        <w:rPr>
          <w:b/>
          <w:sz w:val="48"/>
          <w:szCs w:val="48"/>
          <w:lang w:val="en"/>
        </w:rPr>
      </w:pPr>
      <w:r>
        <w:rPr>
          <w:b/>
          <w:sz w:val="28"/>
          <w:szCs w:val="20"/>
          <w:lang w:val="en-US"/>
        </w:rPr>
        <w:br w:type="page"/>
      </w:r>
    </w:p>
    <w:p w14:paraId="5E25AB09" w14:textId="77777777" w:rsidR="00011927" w:rsidRDefault="00320B64" w:rsidP="00011927">
      <w:pPr>
        <w:widowControl w:val="0"/>
        <w:autoSpaceDE w:val="0"/>
        <w:autoSpaceDN w:val="0"/>
        <w:adjustRightInd w:val="0"/>
        <w:spacing w:line="276" w:lineRule="auto"/>
        <w:ind w:left="993" w:hanging="993"/>
        <w:jc w:val="center"/>
        <w:rPr>
          <w:rStyle w:val="tlid-translation"/>
          <w:b/>
          <w:sz w:val="36"/>
          <w:lang w:val="en"/>
        </w:rPr>
      </w:pPr>
      <w:r>
        <w:rPr>
          <w:rStyle w:val="tlid-translation"/>
          <w:b/>
          <w:sz w:val="36"/>
          <w:lang w:val="en"/>
        </w:rPr>
        <w:lastRenderedPageBreak/>
        <w:t>REFERENCES</w:t>
      </w:r>
    </w:p>
    <w:p w14:paraId="661F4F7C" w14:textId="77777777" w:rsidR="00A37B56" w:rsidRDefault="00A37B56" w:rsidP="00A37B56">
      <w:pPr>
        <w:widowControl w:val="0"/>
        <w:autoSpaceDE w:val="0"/>
        <w:autoSpaceDN w:val="0"/>
        <w:adjustRightInd w:val="0"/>
        <w:spacing w:line="240" w:lineRule="auto"/>
        <w:ind w:left="480" w:hanging="480"/>
        <w:rPr>
          <w:rStyle w:val="tlid-translation"/>
          <w:lang w:val="en"/>
        </w:rPr>
      </w:pPr>
    </w:p>
    <w:p w14:paraId="3A281063" w14:textId="7602E11D" w:rsidR="00B618B2" w:rsidRPr="003F31FE" w:rsidRDefault="00A37B56" w:rsidP="00C47575">
      <w:pPr>
        <w:widowControl w:val="0"/>
        <w:autoSpaceDE w:val="0"/>
        <w:autoSpaceDN w:val="0"/>
        <w:adjustRightInd w:val="0"/>
        <w:spacing w:line="240" w:lineRule="auto"/>
        <w:rPr>
          <w:noProof/>
          <w:szCs w:val="24"/>
          <w:lang w:val="en-US"/>
        </w:rPr>
      </w:pPr>
      <w:r>
        <w:rPr>
          <w:rStyle w:val="tlid-translation"/>
          <w:lang w:val="en"/>
        </w:rPr>
        <w:fldChar w:fldCharType="begin" w:fldLock="1"/>
      </w:r>
      <w:r>
        <w:rPr>
          <w:rStyle w:val="tlid-translation"/>
          <w:lang w:val="en"/>
        </w:rPr>
        <w:instrText xml:space="preserve">ADDIN Mendeley Bibliography CSL_BIBLIOGRAPHY </w:instrText>
      </w:r>
      <w:r>
        <w:rPr>
          <w:rStyle w:val="tlid-translation"/>
          <w:lang w:val="en"/>
        </w:rPr>
        <w:fldChar w:fldCharType="separate"/>
      </w:r>
      <w:r w:rsidR="00B618B2" w:rsidRPr="003F31FE">
        <w:rPr>
          <w:noProof/>
          <w:szCs w:val="24"/>
          <w:lang w:val="en-US"/>
        </w:rPr>
        <w:t xml:space="preserve">Agbalagba, E.O., Avwiri, G.O., Chad-Umoreh, Y.E., 2012. </w:t>
      </w:r>
      <w:r w:rsidR="00B618B2" w:rsidRPr="00B618B2">
        <w:rPr>
          <w:noProof/>
          <w:szCs w:val="24"/>
        </w:rPr>
        <w:t>γ</w:t>
      </w:r>
      <w:r w:rsidR="00B618B2" w:rsidRPr="003F31FE">
        <w:rPr>
          <w:noProof/>
          <w:szCs w:val="24"/>
          <w:lang w:val="en-US"/>
        </w:rPr>
        <w:t>-Spectroscopy measurement of natural radioactivity and assessment of radiation hazard indices in soil samples from oil fields environment of Delta State, Nigeria. J. Environ. Radioact. 109, 64–70. https://doi.org/10.1016/j.jenvrad.2011.10.012</w:t>
      </w:r>
    </w:p>
    <w:p w14:paraId="2E0980E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Anke, M., Seeber, O., Müller, R., Schäfer, U., Zerull, J., 2009. Uranium transfer in the food chain from soil to plants, animals and man. Geochemistry 69, 75–90. https://doi.org/10.1016/j.chemer.2007.12.001</w:t>
      </w:r>
    </w:p>
    <w:p w14:paraId="3DA3F19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ATSDR, 2018. Minimal risk levels (MRLs), Agancy for Toxic Substances and Disease Registry.</w:t>
      </w:r>
    </w:p>
    <w:p w14:paraId="55772FF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Baes III, C.F., Sharp, R., Sjoreen, A., Shor, R., 1984. Review and analysis of parameters for assessing transport of environmentally released radionuclides through agriculture. Oak Ridge, TN (United States). https://doi.org/10.2172/6355677</w:t>
      </w:r>
    </w:p>
    <w:p w14:paraId="58785DAA"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Belyaeva, O., Pyuskyulyan, K., Movsisyan, N., Saghatelyan, A., Carvalho, F.P., 2019. Natural radioactivity in urban soils of mining centers in Armenia: Dose rate and risk assessment. </w:t>
      </w:r>
      <w:r w:rsidRPr="00B618B2">
        <w:rPr>
          <w:noProof/>
          <w:szCs w:val="24"/>
        </w:rPr>
        <w:t>Chemosphere 225, 859–870. https://doi.org/10.1016/j.chemosphere.2019.03.057</w:t>
      </w:r>
    </w:p>
    <w:p w14:paraId="1CAE266A"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Biondi, C.M., Nascimento, C.W.A. do, Fabricio Neta, A. de B., Ribeiro, M.R., 2011. Teores de Fe, Mn, Zn, Cu, Ni E Co em solos de referência de Pernambuco. Rev. Bras. Ciência do Solo 35, 1057–1066. https://doi.org/10.1590/S0100-06832011000300039</w:t>
      </w:r>
    </w:p>
    <w:p w14:paraId="60047A50"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CONAMA, 2009. Resolução n</w:t>
      </w:r>
      <w:r w:rsidRPr="00B618B2">
        <w:rPr>
          <w:noProof/>
          <w:szCs w:val="24"/>
          <w:vertAlign w:val="superscript"/>
        </w:rPr>
        <w:t>o</w:t>
      </w:r>
      <w:r w:rsidRPr="00B618B2">
        <w:rPr>
          <w:noProof/>
          <w:szCs w:val="24"/>
        </w:rPr>
        <w:t xml:space="preserve"> 420, de 28 de dezembro de 2009. Critérios e valores orientadores de qualidade do solo quanto à presença de substâncias químicas, CONSELHO NACIONAL DO MEIO AMBIENTE. Diário Oficial [da] República Federativa do Brasil.</w:t>
      </w:r>
    </w:p>
    <w:p w14:paraId="26D525AE"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CONAMA, 2005. Resolução. No. 357, de 17 de março de 2005. Dispõe sobre a classificação dos corpos de água e diretrizes ambientais para o seu enquadramento, bem como estabelece as condições e padrões de lançamento de efluentes, e dá outras providências, CONSELHO NACIONAL DO MEIO AMBIENTE. Diário Oficial [da] República Federativa do Brasil.</w:t>
      </w:r>
    </w:p>
    <w:p w14:paraId="5A135D26"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 xml:space="preserve">Craft, E.S., Abu-Qare, A.W., Flaherty, M.M., Garofolo, M.C., Rincavage, H.L., Abou-Donia, M.B., 2004. </w:t>
      </w:r>
      <w:r w:rsidRPr="003F31FE">
        <w:rPr>
          <w:noProof/>
          <w:szCs w:val="24"/>
          <w:lang w:val="en-US"/>
        </w:rPr>
        <w:t xml:space="preserve">Depleted and natural uranium: chemistry and toxicological effects. J. Toxicol. </w:t>
      </w:r>
      <w:r w:rsidRPr="00B618B2">
        <w:rPr>
          <w:noProof/>
          <w:szCs w:val="24"/>
        </w:rPr>
        <w:t>Environ. Heal. Part B 7, 297–317. https://doi.org/10.1080/10937400490452714</w:t>
      </w:r>
    </w:p>
    <w:p w14:paraId="33E96BF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da Silva, Yuri Jacques Agra Bezerra, do Nascimento, C.W.A., Cantalice, J.R.B., da Silva, Ygor Jacques Agra Bezerra, Cruz, C.M.C.A., 2015. </w:t>
      </w:r>
      <w:r w:rsidRPr="003F31FE">
        <w:rPr>
          <w:noProof/>
          <w:szCs w:val="24"/>
          <w:lang w:val="en-US"/>
        </w:rPr>
        <w:t>Watershed-scale assessment of background concentrations and guidance values for heavy metals in soils from a semiarid and coastal zone of Brazil. Environ. Monit. Assess. 187, 558. https://doi.org/10.1007/s10661-015-4782-1</w:t>
      </w:r>
    </w:p>
    <w:p w14:paraId="1CDF076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Doležalová Weissmannová, H., Mihočová, S., Chovanec, P., Pavlovský, J., 2019. Potential Ecological Risk and Human Health Risk Assessment of Heavy Metal Pollution in Industrial Affected Soils by Coal Mining and Metallurgy in Ostrava, Czech Republic. Int. J. Environ. Res. Public Health 16, 4495. https://doi.org/10.3390/ijerph16224495</w:t>
      </w:r>
    </w:p>
    <w:p w14:paraId="332B776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Dong, Z., Liu, Y., Duan, L., Bekele, D., Naidu, R., 2015. Uncertainties in human health risk assessment of environmental contaminants: A review and perspective. Environ. Int. 85, 120–132. https://doi.org/10.1016/j.envint.2015.09.008</w:t>
      </w:r>
    </w:p>
    <w:p w14:paraId="259139E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EBRC, 2007. Health Risk Assessment Guidance for Metals: Gastrointestinal uptake and absorption &amp; catalogue of toxicokinetic models.</w:t>
      </w:r>
    </w:p>
    <w:p w14:paraId="4F66702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Ehlers, L.J., Luthy, R.G., 2003. Peer reviewed: contaminant bioavailability in soil and sediment. Environ. Sci. Technol. https://doi.org/10.1017/9780511895562.006</w:t>
      </w:r>
    </w:p>
    <w:p w14:paraId="27E9C5A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 xml:space="preserve">Emenike, P.C., Tenebe, I.T., Neris, J.B., Omole, D.O., Afolayan, O., Okeke, C.U., Emenike, I.K., 2020. An </w:t>
      </w:r>
      <w:r w:rsidRPr="003F31FE">
        <w:rPr>
          <w:noProof/>
          <w:szCs w:val="24"/>
          <w:lang w:val="en-US"/>
        </w:rPr>
        <w:lastRenderedPageBreak/>
        <w:t>integrated assessment of land-use change impact, seasonal variation of pollution indices and human health risk of selected toxic elements in sediments of River Atuwara, Nigeria. Environ. Pollut. 265, 114795. https://doi.org/10.1016/j.envpol.2020.114795</w:t>
      </w:r>
    </w:p>
    <w:p w14:paraId="4E50CC6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EPA, U.S., 2011. Provisional Peer-Reviewed Toxicity Values for 9,10-Anthraquinone, U.S. Environmental Protection Agency.</w:t>
      </w:r>
    </w:p>
    <w:p w14:paraId="0CBE1D0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Fairey, R., Long, E.R., Roberts, C.A., Anderson, B.S., Phillips, B.M., Hunt, J.W., Puckett, H.R., Wilson, C.J., 2001. An evaluation of methods for calculating mean sediment quality guideline quotients as indicators of contamination and acute toxicity to amphipods by chemical mixtures. Environ. Toxicol. Chem. 20, 2276–2286. https://doi.org/10.1002/etc.5620201021</w:t>
      </w:r>
    </w:p>
    <w:p w14:paraId="746C635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Fairweather-Tait, S., Hurrell, R.F., 1996. Bioavailability of Minerals and Trace Elements. Nutr. Res. Rev. 9, 295–324. https://doi.org/10.1079/NRR19960016</w:t>
      </w:r>
    </w:p>
    <w:p w14:paraId="7D2B091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Forth, W., Rummel, W., 1973. Iron absorption. Physiol. Rev. 53, 724–792.</w:t>
      </w:r>
    </w:p>
    <w:p w14:paraId="7708C27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Hakanson, L., 1980. An ecological risk index for aquatic pollution control. A sedimentological approach. Water Res. 14, 975–1001. https://doi.org/10.1016/0043-1354(80)90143-8</w:t>
      </w:r>
    </w:p>
    <w:p w14:paraId="261A67D1"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Hallberg, L., Rossander-Hultén, L., Brune, M., Gleerup, A., 1992. Bioavailability in Man of Iron in Human Milk and Cow’s Milk in Relation to Their Calcium Contents. </w:t>
      </w:r>
      <w:r w:rsidRPr="00B618B2">
        <w:rPr>
          <w:noProof/>
          <w:szCs w:val="24"/>
        </w:rPr>
        <w:t>Pediatr. Res. 31, 524–527. https://doi.org/10.1203/00006450-199205000-00024</w:t>
      </w:r>
    </w:p>
    <w:p w14:paraId="5E0D832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Hardisson, A., Revert, C., González-Weller, D., Gutiérrez, Á., Paz, S., Rubio, C., 2017. </w:t>
      </w:r>
      <w:r w:rsidRPr="003F31FE">
        <w:rPr>
          <w:noProof/>
          <w:szCs w:val="24"/>
          <w:lang w:val="en-US"/>
        </w:rPr>
        <w:t>Aluminium Exposure Through the Diet. Food Sci. Nutr. 3, 1–10. https://doi.org/10.24966/FSN-0176/100019</w:t>
      </w:r>
    </w:p>
    <w:p w14:paraId="476C90C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2010. Federal Contaminated Site Risk Assessment in Canada. Part II: Health Canada Toxicological Reference Values (TRVs). Version 2.0. Cat. H46-2/04-368E.</w:t>
      </w:r>
    </w:p>
    <w:p w14:paraId="2AFA416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2005. Guidance document for country foods surveys for the purpose of human health risk assessment. Canada.</w:t>
      </w:r>
    </w:p>
    <w:p w14:paraId="5DAC384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2004. Federal Contaminated Site Risk Assessment in Canada. Part I: Guidance on Human Health Preliminary Quantitative Risk Assessment. Version 2.0.</w:t>
      </w:r>
    </w:p>
    <w:p w14:paraId="32F8D60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J., Wu, F., Wu, S., Cao, Z., Lin, X., Wong, M.H., 2013. Bioaccessibility, dietary exposure and human risk assessment of heavy metals from market vegetables in Hong Kong revealed with an in vitro gastrointestinal model. Chemosphere 91, 455–461. https://doi.org/10.1016/j.chemosphere.2012.11.066</w:t>
      </w:r>
    </w:p>
    <w:p w14:paraId="0F37FEF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X., Zhang, Y., Ding, Z., Wang, T., Lian, H., Sun, Y., Wu, J., 2012. Bioaccessibility and health risk of arsenic and heavy metals (Cd, Co, Cr, Cu, Ni, Pb, Zn and Mn) in TSP and PM2.5 in Nanjing, China. Atmos. Environ. 57, 146–152. https://doi.org/10.1016/j.atmosenv.2012.04.056</w:t>
      </w:r>
    </w:p>
    <w:p w14:paraId="723D58E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X., Zhang, Y., Luo, J., Wang, T., Lian, H., Ding, Z., 2011. Bioaccessibility and health risk of arsenic, mercury and other metals in urban street dusts from a mega-city, Nanjing, China. Environ. Pollut. 159, 1215–1221. https://doi.org/10.1016/j.envpol.2011.01.037</w:t>
      </w:r>
    </w:p>
    <w:p w14:paraId="36890DA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IAEA, 2003. Occupational Radiation Protection:Protecting workers against exposure to ionizing radiation, International Atomic Energy Agency. Vienna.</w:t>
      </w:r>
    </w:p>
    <w:p w14:paraId="42DCC6C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IARC, 2019. Book and Report Series [WWW Document]. Int. Agency Res. Cancer. URL https://publications.iarc.fr/Book-And-Report-Series (accessed 9.6.19).</w:t>
      </w:r>
    </w:p>
    <w:p w14:paraId="2AC3CD9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ICRP, 1991. Reccomendations of the International Commission on Radiological Protection. ICRP publication 60. Ann. ICRP 21, International Commission on Radiological Protection.</w:t>
      </w:r>
    </w:p>
    <w:p w14:paraId="34B1E96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IRIS-EPA, 2020. Integrated Risk Information System [WWW Document]. U.S. Environ. Prot. Agency. URL https://cfpub.epa.gov/ncea/iris/search/index.cfm?keyword (accessed 5.14.20).</w:t>
      </w:r>
    </w:p>
    <w:p w14:paraId="2853D0F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 xml:space="preserve">ISO, 2004. Guide to the expression of uncertainty in measurement (GUM) – Supplement 1: Numerical </w:t>
      </w:r>
      <w:r w:rsidRPr="003F31FE">
        <w:rPr>
          <w:noProof/>
          <w:szCs w:val="24"/>
          <w:lang w:val="en-US"/>
        </w:rPr>
        <w:lastRenderedPageBreak/>
        <w:t>methods for the propagation of distributions. Geneva, International Organization for Standardization.</w:t>
      </w:r>
    </w:p>
    <w:p w14:paraId="32843E3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Jensen, J., Mesman, M., 2006. Ecological Risk Assessment of Contaminated Land - Decision support for site specific investigation, Mineralogical Magazine.</w:t>
      </w:r>
    </w:p>
    <w:p w14:paraId="16539D7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Julien, C., Esperanza, P., Bruno, M., Alleman, L.Y., 2011. Development of an in vitro method to estimate lung bioaccessibility of metals from atmospheric particles. J. Environ. Monit. 13, 621. https://doi.org/10.1039/c0em00439a</w:t>
      </w:r>
    </w:p>
    <w:p w14:paraId="20CBF39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Keshavarzi, A., Kumar, V., 2019. Ecological risk assessment and source apportionment of heavy metal contamination in agricultural soils of Northeastern Iran. Int. J. Environ. Health Res. 29, 544–560. https://doi.org/10.1080/09603123.2018.1555638</w:t>
      </w:r>
    </w:p>
    <w:p w14:paraId="4B4D6F4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Leggett, R.W., 2008. The biokinetics of inorganic cobalt in the human body. Sci. Total Environ. 389, 259–269. https://doi.org/10.1016/j.scitotenv.2007.08.054</w:t>
      </w:r>
    </w:p>
    <w:p w14:paraId="74B3CFA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Li, Y., Juhasz, A.L., Ma, L.Q., Cui, X., 2019. Inhalation bioaccessibility of PAHs in PM2.5: Implications for risk assessment and toxicity prediction. Sci. Total Environ. 650, 56–64. https://doi.org/10.1016/j.scitotenv.2018.08.246</w:t>
      </w:r>
    </w:p>
    <w:p w14:paraId="3133704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Li, Z., Ma, Z., Kuijp, T.J. van der, Yuan, Z., Huang, L., 2014. A review of soil heavy metal pollution from mines in China: Pollution and health risk assessment. Sci. Total Environ. 468–469, 843–853. https://doi.org/10.1016/j.scitotenv.2013.08.090</w:t>
      </w:r>
    </w:p>
    <w:p w14:paraId="1D67FA0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Lönnerdal, B., 1996. Bioavailability of copper. Am. J. Clin. Nutr. 63, 821S-829S. https://doi.org/10.1093/ajcn/63.5.821</w:t>
      </w:r>
    </w:p>
    <w:p w14:paraId="38F010B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Michigan DEQ, 2015. CHEMICAL UPDATE WORKSHEET, Department of Environmental Quality - State of Michigan.</w:t>
      </w:r>
    </w:p>
    <w:p w14:paraId="6CBE60C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Muller, G., 1969. Index of geoaccumulation in sediments of the Rhine River. GeoJournal 2, 108–118.</w:t>
      </w:r>
    </w:p>
    <w:p w14:paraId="5E9458E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National Research Council, 1999. Disposition of inorganic arsenic, in: Arsenic in Drinking Water. National Academies Press (US).</w:t>
      </w:r>
    </w:p>
    <w:p w14:paraId="7C23C49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NFESC, 2000. Final Guide for Incorporating Bioavailability Adjustments into Human Health and Ecological Risk Assessments at U. S. Navy and Marine Corps Facilities. Part 1 : Overview of Metals Bioavailability. Nav. Facil. Eng. Serv. Cent.</w:t>
      </w:r>
    </w:p>
    <w:p w14:paraId="033924C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2019a. Online Database [WWW Document]. Off. Environ. Heal. Hazard Assess. URL https://oehha.ca.gov/chemicals (accessed 8.16.19).</w:t>
      </w:r>
    </w:p>
    <w:p w14:paraId="4243C29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2019b. Human Health Risk Assessment Note 3 – DTSC-Modified Screening Levels (DTSC-SLs), Office of Environmental Health Hazard Assessment.</w:t>
      </w:r>
    </w:p>
    <w:p w14:paraId="3C8C5FA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2011. Public Health Goals for Chemicals in Drinking Water: Hexavalent Chromium (Cr VI), Office of Environmental Health Hazard Assessment.</w:t>
      </w:r>
    </w:p>
    <w:p w14:paraId="703EDA91"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Ogunkunle, C.O., Fatoba, P.O., 2013. Pollution loads and the ecological risk assessment of soil heavy metals around a mega cement factory in southwest Nigeria. </w:t>
      </w:r>
      <w:r w:rsidRPr="00B618B2">
        <w:rPr>
          <w:noProof/>
          <w:szCs w:val="24"/>
        </w:rPr>
        <w:t>Polish J. Environ. Stud. 22, 487–493.</w:t>
      </w:r>
    </w:p>
    <w:p w14:paraId="3653D66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Pagliarini, É.C., Oliveira, V.B.D.M., Espindola, E.L.G., 2019. </w:t>
      </w:r>
      <w:r w:rsidRPr="003F31FE">
        <w:rPr>
          <w:noProof/>
          <w:szCs w:val="24"/>
          <w:lang w:val="en-US"/>
        </w:rPr>
        <w:t>Ecological Risk assEssmEnt (ERa) application foR thE Evaluation of impacts on natuRal aquatic EcosystEms. Ambient. Soc. 22. https://doi.org/10.1590/1809-4422asoc0292r2vu19l1ao</w:t>
      </w:r>
    </w:p>
    <w:p w14:paraId="4954EC4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Public Health England, 2009. Bromine Toxicological Overview.</w:t>
      </w:r>
    </w:p>
    <w:p w14:paraId="59F96F34"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Qingjie, G., Jun, D., Yunchuan, X., Qingfei, W., Liqiang, Y., 2008. Calculating Pollution Indices by Heavy Metals in Ecological Geochemistry Assessment and a Case Study in Parks of Beijing. J. China Univ. Geosci. 19, 230–241. https://doi.org/10.1016/S1002-0705(08)60042-4</w:t>
      </w:r>
    </w:p>
    <w:p w14:paraId="512C110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lastRenderedPageBreak/>
        <w:t>Ragan, H.A., 1983. The bioavailability of iron, lead and cadmium via gastrointestinal absorption: A review. Sci. Total Environ. 28, 317–326. https://doi.org/10.1016/S0048-9697(83)80029-1</w:t>
      </w:r>
    </w:p>
    <w:p w14:paraId="229726E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Ramesh, A., Walker, S.A., Hood, D.B., Guillén, M.D., Schneider, K., Weyand, E.H., 2004. Bioavailability and Risk Assessment of Orally Ingested Polycyclic Aromatic Hydrocarbons. Int. J. Toxicol. 23, 301–333. https://doi.org/10.1080/10915810490517063</w:t>
      </w:r>
    </w:p>
    <w:p w14:paraId="1BBBECB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RIVM, 2001. Re-evaluation of Human-Toxicological Maximum Permissible Risk Levels. RIVM Report No. 711701025, National Institute of Public Health and the Environment. The Netherlands.</w:t>
      </w:r>
    </w:p>
    <w:p w14:paraId="13760EC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Rudnick, R.L., Gao, S., 2014. Composition of the Continental Crust, in: Treatise on Geochemistry. Elsevier, pp. 1–51. https://doi.org/10.1016/B978-0-08-095975-7.00301-6</w:t>
      </w:r>
    </w:p>
    <w:p w14:paraId="3322261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Rutgers, M., Tuinstra, J., Spijker, J., Mesman, M., Wintersen, A., Posthuma, L., 2008. Ecological Risks of Soil Contamination in the Second Step of the Remediation Criterion (In Dutch with English Summary), RIVM, Bilthoven, The Netherlands. https://doi.org/Report 711701072</w:t>
      </w:r>
    </w:p>
    <w:p w14:paraId="401BF78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Sartorelli, P., Aprea, C., Cenni, A., Novelli, M.T., Orsi, D., Palmi, S., Matteucci, G., 1998. </w:t>
      </w:r>
      <w:r w:rsidRPr="003F31FE">
        <w:rPr>
          <w:noProof/>
          <w:szCs w:val="24"/>
          <w:lang w:val="en-US"/>
        </w:rPr>
        <w:t>Prediction of percutaneous absorption from physicochemical data of In Vitro experiments. Ann. Occup. Hyg. 42, 267–276. https://doi.org/10.1093/annhyg/42.4.267</w:t>
      </w:r>
    </w:p>
    <w:p w14:paraId="0BF2DDB8"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Sassi, G., Vernai, A.M., Ruggeri, B., 2007. Quantitative estimation of uncertainty in human risk analysis. </w:t>
      </w:r>
      <w:r w:rsidRPr="00B618B2">
        <w:rPr>
          <w:noProof/>
          <w:szCs w:val="24"/>
        </w:rPr>
        <w:t>J. Hazard. Mater. 145, 296–304. https://doi.org/10.1016/j.jhazmat.2006.11.020</w:t>
      </w:r>
    </w:p>
    <w:p w14:paraId="7F3084C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Sedeño-Díaz, J.E., López-López, E., Mendoza-Martínez, E., Rodríguez-Romero, A.J., Morales-García, S.S., 2019. </w:t>
      </w:r>
      <w:r w:rsidRPr="003F31FE">
        <w:rPr>
          <w:noProof/>
          <w:szCs w:val="24"/>
          <w:lang w:val="en-US"/>
        </w:rPr>
        <w:t>Distribution Coefficient and Metal Pollution Index in Water and Sediments: Proposal of a New Index for Ecological Risk Assessment of Metals. Water 12, 29. https://doi.org/10.3390/w12010029</w:t>
      </w:r>
    </w:p>
    <w:p w14:paraId="0361C0B3"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Son, J., Kim, J.-G., Hyun, S., Cho, K., 2019. Screening level ecological risk assessment of abandoned metal mines using chemical and ecotoxicological lines of evidence. </w:t>
      </w:r>
      <w:r w:rsidRPr="00B618B2">
        <w:rPr>
          <w:noProof/>
          <w:szCs w:val="24"/>
        </w:rPr>
        <w:t>Environ. Pollut. 249, 1081–1090. https://doi.org/10.1016/j.envpol.2019.03.019</w:t>
      </w:r>
    </w:p>
    <w:p w14:paraId="582A4BB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Treviño, S., Díaz, A., Sánchez-Lara, E., Sanchez-Gaytan, B.L., Perez-Aguilar, J.M., González-Vergara, E., 2019. </w:t>
      </w:r>
      <w:r w:rsidRPr="003F31FE">
        <w:rPr>
          <w:noProof/>
          <w:szCs w:val="24"/>
          <w:lang w:val="en-US"/>
        </w:rPr>
        <w:t>Vanadium in Biological Action: Chemical, Pharmacological Aspects, and Metabolic Implications in Diabetes Mellitus. Biol. Trace Elem. Res. 188, 68–98. https://doi.org/10.1007/s12011-018-1540-6</w:t>
      </w:r>
    </w:p>
    <w:p w14:paraId="69A8CB7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2018. Dose-Response Assessment for Assessing Health Risks Associated With Exposure to Hazardous Air Pollutants, U.S. Environmental Protection Agency.</w:t>
      </w:r>
    </w:p>
    <w:p w14:paraId="0B93198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2011. Exposure Factors Handbook, U.S. Environmental Protection Agency.</w:t>
      </w:r>
    </w:p>
    <w:p w14:paraId="2546525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2009a. Risk Assessment Guidance for Superfund Volume I: Human Health Evaluation Manual (Part F, Supplemental Guidance for Inhalation Risk Assessment). U.S. Environ. Prot. Agency.</w:t>
      </w:r>
    </w:p>
    <w:p w14:paraId="15D0A8D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2009b. Provisional peer-reviewed Toxicity values for vanadium and its soluble inorganic compounds other than vanadium pentoxide. U.S. Environ. Prot. Agency.</w:t>
      </w:r>
    </w:p>
    <w:p w14:paraId="00EA41E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2008a. Provisional peer reviewed toxicity values for cobalt, U.S. Environmental Protection Agency.</w:t>
      </w:r>
    </w:p>
    <w:p w14:paraId="35EE45A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2008b. Provisional peer reviewed toxicity values for lithium, U.S. Environmental Protection Agency.</w:t>
      </w:r>
    </w:p>
    <w:p w14:paraId="10F30D9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2007. Guidance for evaluating the oral bioavailability of metals in soils for use in human health risk assessment, U.S. Environmental Protection Agency.</w:t>
      </w:r>
    </w:p>
    <w:p w14:paraId="575DD4D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2006. Provisional peer reviewed toxicity values for iron and compounds, U.S. Environmental Protection Agency.</w:t>
      </w:r>
    </w:p>
    <w:p w14:paraId="45BC0F2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2005a. Supplemental Guidance for Assessing Susceptibility from Early-Life Exposure to Carcinogens, U.S. Environmental Protection Agency.</w:t>
      </w:r>
    </w:p>
    <w:p w14:paraId="5A9E487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lastRenderedPageBreak/>
        <w:t>U.S. EPA, 2005b. Guidelines for Carcinogen Risk Assessment, U.S. Environmental Protection Agency.</w:t>
      </w:r>
    </w:p>
    <w:p w14:paraId="054E323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2004. Risk Assessment Guidance for Superfund Volume I: Human Health Evaluation Manual (Part E, Supplemental Guidance for Dermal Risk Assessment), U.S. Environmental Protection Agency.</w:t>
      </w:r>
    </w:p>
    <w:p w14:paraId="23E9BBB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1998. Guidelines for ecological risk assessment, U.S. Environmental Protection Agency. Washington.</w:t>
      </w:r>
    </w:p>
    <w:p w14:paraId="58D3B48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1996. Qualitative Uncertainty Analysis of Superfund Residential Risk Pathway Models for Soil and Groundwater: White Paper, U. S. Environmental Protection Agency.</w:t>
      </w:r>
    </w:p>
    <w:p w14:paraId="4CC240D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1991. Human health evaluation manual, supplemental guidance: standard default exposure factors., U.S. Environmental Protection Agency.</w:t>
      </w:r>
    </w:p>
    <w:p w14:paraId="533F4E9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1989. Risk Assessment Guidance for Superfund. Vol I: Human Health Evaluation Manual (Part A), U.S. Environmental Protection Agency.</w:t>
      </w:r>
    </w:p>
    <w:p w14:paraId="3EB74E8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1986. Guidelines for Carcinogen Risk Assessment, U.S. Environmental Protection Agency.</w:t>
      </w:r>
    </w:p>
    <w:p w14:paraId="194B553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Ullah, R., Muhammad, S., Jadoon, I.A.K., 2019. Potentially harmful elements contamination in water and sediment: Evaluation for risk assessment and provenance in the northern Sulaiman fold belt, Baluchistan, Pakistan. Microchem. J. 147, 1155–1162. https://doi.org/10.1016/j.microc.2019.04.053</w:t>
      </w:r>
    </w:p>
    <w:p w14:paraId="7A10510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UNSCEAR, 2000. Annex B: Exposure from natural sources. In: Sources and Effects of Ionizing Radiation: UNSCEAR 2000 Report to General Assembly Scientific Annexes, United Nation Scientific Committee on the Efects of Atomic Radiation. New York.</w:t>
      </w:r>
    </w:p>
    <w:p w14:paraId="5F02638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Weber, P.M., O’reilly, S., Pollycove, M., Shipley, L., 1969. Gastrointestinal absorption of copper: studies with 64Cu, 95Zr, a whole-body counter and the scintillation camera. J. Nucl. Med. 10, 591–596.</w:t>
      </w:r>
    </w:p>
    <w:p w14:paraId="79B0D2A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WHO, 2005. Bromate in Drinking-water, World Health Organization Guidelines for Drinking-water Quality.</w:t>
      </w:r>
    </w:p>
    <w:p w14:paraId="0F8D919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WHO, 2001. Barium and barium compounds, World Health Organization.</w:t>
      </w:r>
    </w:p>
    <w:p w14:paraId="4516B701" w14:textId="77777777" w:rsidR="00B618B2" w:rsidRPr="00B618B2" w:rsidRDefault="00B618B2" w:rsidP="00B618B2">
      <w:pPr>
        <w:widowControl w:val="0"/>
        <w:autoSpaceDE w:val="0"/>
        <w:autoSpaceDN w:val="0"/>
        <w:adjustRightInd w:val="0"/>
        <w:spacing w:line="240" w:lineRule="auto"/>
        <w:ind w:left="480" w:hanging="480"/>
        <w:rPr>
          <w:noProof/>
        </w:rPr>
      </w:pPr>
      <w:r w:rsidRPr="003F31FE">
        <w:rPr>
          <w:noProof/>
          <w:szCs w:val="24"/>
          <w:lang w:val="en-US"/>
        </w:rPr>
        <w:t xml:space="preserve">Yokel, R.A., Rhineheimer, S.S., Brauer, R.D., Sharma, P., Elmore, D., McNamara, P.J., 2001. Aluminum bioavailability from drinking water is very low and is not appreciably influenced by stomach contents or water hardness. </w:t>
      </w:r>
      <w:r w:rsidRPr="00B618B2">
        <w:rPr>
          <w:noProof/>
          <w:szCs w:val="24"/>
        </w:rPr>
        <w:t>Toxicology 161, 93–101. https://doi.org/10.1016/S0300-483X(01)00335-3</w:t>
      </w:r>
    </w:p>
    <w:p w14:paraId="1F27392B" w14:textId="77777777" w:rsidR="00A37B56" w:rsidRPr="00011927" w:rsidRDefault="00A37B56" w:rsidP="00A37B56">
      <w:pPr>
        <w:widowControl w:val="0"/>
        <w:autoSpaceDE w:val="0"/>
        <w:autoSpaceDN w:val="0"/>
        <w:adjustRightInd w:val="0"/>
        <w:spacing w:line="276" w:lineRule="auto"/>
        <w:ind w:left="993" w:hanging="993"/>
        <w:rPr>
          <w:rStyle w:val="tlid-translation"/>
          <w:lang w:val="en"/>
        </w:rPr>
      </w:pPr>
      <w:r>
        <w:rPr>
          <w:rStyle w:val="tlid-translation"/>
          <w:lang w:val="en"/>
        </w:rPr>
        <w:fldChar w:fldCharType="end"/>
      </w:r>
    </w:p>
    <w:p w14:paraId="3EC8E2B7" w14:textId="77777777" w:rsidR="00011927" w:rsidRPr="00011927" w:rsidRDefault="00011927" w:rsidP="007837A2">
      <w:pPr>
        <w:widowControl w:val="0"/>
        <w:autoSpaceDE w:val="0"/>
        <w:autoSpaceDN w:val="0"/>
        <w:adjustRightInd w:val="0"/>
        <w:spacing w:line="276" w:lineRule="auto"/>
        <w:ind w:left="993" w:hanging="993"/>
        <w:jc w:val="center"/>
        <w:rPr>
          <w:b/>
          <w:sz w:val="28"/>
          <w:szCs w:val="20"/>
          <w:lang w:val="en-US"/>
        </w:rPr>
      </w:pPr>
    </w:p>
    <w:sectPr w:rsidR="00011927" w:rsidRPr="00011927" w:rsidSect="00636B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44998" w14:textId="77777777" w:rsidR="00A10B4C" w:rsidRDefault="00A10B4C" w:rsidP="009D0102">
      <w:pPr>
        <w:spacing w:after="0" w:line="240" w:lineRule="auto"/>
      </w:pPr>
      <w:r>
        <w:separator/>
      </w:r>
    </w:p>
  </w:endnote>
  <w:endnote w:type="continuationSeparator" w:id="0">
    <w:p w14:paraId="79BF9BF1" w14:textId="77777777" w:rsidR="00A10B4C" w:rsidRDefault="00A10B4C" w:rsidP="009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IHGJ A+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488D0" w14:textId="77777777" w:rsidR="00A10B4C" w:rsidRDefault="00A10B4C" w:rsidP="009D0102">
      <w:pPr>
        <w:spacing w:after="0" w:line="240" w:lineRule="auto"/>
      </w:pPr>
      <w:r>
        <w:separator/>
      </w:r>
    </w:p>
  </w:footnote>
  <w:footnote w:type="continuationSeparator" w:id="0">
    <w:p w14:paraId="55B0B6CD" w14:textId="77777777" w:rsidR="00A10B4C" w:rsidRDefault="00A10B4C" w:rsidP="009D0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400844"/>
      <w:docPartObj>
        <w:docPartGallery w:val="Page Numbers (Top of Page)"/>
        <w:docPartUnique/>
      </w:docPartObj>
    </w:sdtPr>
    <w:sdtEndPr/>
    <w:sdtContent>
      <w:p w14:paraId="239DE5A7" w14:textId="76F68A65" w:rsidR="00FD6FD5" w:rsidRDefault="00FD6FD5">
        <w:pPr>
          <w:pStyle w:val="Cabealho"/>
          <w:jc w:val="right"/>
        </w:pPr>
        <w:r>
          <w:fldChar w:fldCharType="begin"/>
        </w:r>
        <w:r>
          <w:instrText>PAGE   \* MERGEFORMAT</w:instrText>
        </w:r>
        <w:r>
          <w:fldChar w:fldCharType="separate"/>
        </w:r>
        <w:r>
          <w:t>2</w:t>
        </w:r>
        <w:r>
          <w:fldChar w:fldCharType="end"/>
        </w:r>
      </w:p>
    </w:sdtContent>
  </w:sdt>
  <w:p w14:paraId="6739F3DA" w14:textId="77777777" w:rsidR="00FD6FD5" w:rsidRDefault="00FD6F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212722"/>
      <w:docPartObj>
        <w:docPartGallery w:val="Page Numbers (Top of Page)"/>
        <w:docPartUnique/>
      </w:docPartObj>
    </w:sdtPr>
    <w:sdtEndPr/>
    <w:sdtContent>
      <w:p w14:paraId="67F1FA25" w14:textId="76CBFA60" w:rsidR="00FD6FD5" w:rsidRDefault="00FD6FD5">
        <w:pPr>
          <w:pStyle w:val="Cabealho"/>
          <w:jc w:val="right"/>
        </w:pPr>
        <w:r>
          <w:fldChar w:fldCharType="begin"/>
        </w:r>
        <w:r>
          <w:instrText>PAGE   \* MERGEFORMAT</w:instrText>
        </w:r>
        <w:r>
          <w:fldChar w:fldCharType="separate"/>
        </w:r>
        <w:r>
          <w:t>2</w:t>
        </w:r>
        <w:r>
          <w:fldChar w:fldCharType="end"/>
        </w:r>
      </w:p>
    </w:sdtContent>
  </w:sdt>
  <w:p w14:paraId="653E6A22" w14:textId="77777777" w:rsidR="00FD6FD5" w:rsidRDefault="00FD6F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26A"/>
    <w:multiLevelType w:val="hybridMultilevel"/>
    <w:tmpl w:val="23B88E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9071F"/>
    <w:multiLevelType w:val="hybridMultilevel"/>
    <w:tmpl w:val="89982ABE"/>
    <w:lvl w:ilvl="0" w:tplc="115E863E">
      <w:numFmt w:val="bullet"/>
      <w:lvlText w:val=""/>
      <w:lvlJc w:val="left"/>
      <w:pPr>
        <w:ind w:left="720" w:hanging="360"/>
      </w:pPr>
      <w:rPr>
        <w:rFonts w:ascii="Wingdings" w:eastAsiaTheme="minorHAnsi" w:hAnsi="Wingdings" w:cs="IIHGJ A+ 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1A3A6D"/>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D1DF5"/>
    <w:multiLevelType w:val="hybridMultilevel"/>
    <w:tmpl w:val="0232808C"/>
    <w:lvl w:ilvl="0" w:tplc="DF1485F2">
      <w:start w:val="21"/>
      <w:numFmt w:val="bullet"/>
      <w:lvlText w:val=""/>
      <w:lvlJc w:val="left"/>
      <w:pPr>
        <w:ind w:left="720" w:hanging="360"/>
      </w:pPr>
      <w:rPr>
        <w:rFonts w:ascii="Wingdings" w:eastAsiaTheme="minorHAnsi"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080753"/>
    <w:multiLevelType w:val="hybridMultilevel"/>
    <w:tmpl w:val="7436A5CA"/>
    <w:lvl w:ilvl="0" w:tplc="CBA62F00">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7650F31"/>
    <w:multiLevelType w:val="hybridMultilevel"/>
    <w:tmpl w:val="BD3893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CE0F51"/>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513D0"/>
    <w:multiLevelType w:val="hybridMultilevel"/>
    <w:tmpl w:val="E9FE5EFA"/>
    <w:lvl w:ilvl="0" w:tplc="F1DE53AA">
      <w:start w:val="1"/>
      <w:numFmt w:val="decimal"/>
      <w:lvlText w:val="%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5C69E5"/>
    <w:multiLevelType w:val="hybridMultilevel"/>
    <w:tmpl w:val="DBEA5FCE"/>
    <w:lvl w:ilvl="0" w:tplc="83A8693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CD7033"/>
    <w:multiLevelType w:val="hybridMultilevel"/>
    <w:tmpl w:val="278A54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93D1312"/>
    <w:multiLevelType w:val="hybridMultilevel"/>
    <w:tmpl w:val="C24E9BD4"/>
    <w:lvl w:ilvl="0" w:tplc="EB768DB4">
      <w:start w:val="2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1F7407"/>
    <w:multiLevelType w:val="hybridMultilevel"/>
    <w:tmpl w:val="5FD87378"/>
    <w:lvl w:ilvl="0" w:tplc="5C209D26">
      <w:start w:val="1"/>
      <w:numFmt w:val="decimal"/>
      <w:lvlText w:val="%1."/>
      <w:lvlJc w:val="left"/>
      <w:pPr>
        <w:ind w:left="720" w:hanging="360"/>
      </w:pPr>
      <w:rPr>
        <w:rFonts w:hint="default"/>
        <w:b w:val="0"/>
        <w:sz w:val="28"/>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91032A"/>
    <w:multiLevelType w:val="hybridMultilevel"/>
    <w:tmpl w:val="9718E370"/>
    <w:lvl w:ilvl="0" w:tplc="3F622298">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41468F"/>
    <w:multiLevelType w:val="hybridMultilevel"/>
    <w:tmpl w:val="21AAF9AA"/>
    <w:lvl w:ilvl="0" w:tplc="86E8D5F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B86E18"/>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A20412"/>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0F36595"/>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224DC4"/>
    <w:multiLevelType w:val="hybridMultilevel"/>
    <w:tmpl w:val="CDF252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F3177A"/>
    <w:multiLevelType w:val="hybridMultilevel"/>
    <w:tmpl w:val="6BEA6808"/>
    <w:lvl w:ilvl="0" w:tplc="5D8653DA">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CE7AD1"/>
    <w:multiLevelType w:val="hybridMultilevel"/>
    <w:tmpl w:val="F4A88F84"/>
    <w:lvl w:ilvl="0" w:tplc="12ACBD7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3"/>
  </w:num>
  <w:num w:numId="5">
    <w:abstractNumId w:val="10"/>
  </w:num>
  <w:num w:numId="6">
    <w:abstractNumId w:val="12"/>
  </w:num>
  <w:num w:numId="7">
    <w:abstractNumId w:val="18"/>
  </w:num>
  <w:num w:numId="8">
    <w:abstractNumId w:val="19"/>
  </w:num>
  <w:num w:numId="9">
    <w:abstractNumId w:val="13"/>
  </w:num>
  <w:num w:numId="10">
    <w:abstractNumId w:val="8"/>
  </w:num>
  <w:num w:numId="11">
    <w:abstractNumId w:val="4"/>
  </w:num>
  <w:num w:numId="12">
    <w:abstractNumId w:val="9"/>
  </w:num>
  <w:num w:numId="13">
    <w:abstractNumId w:val="14"/>
  </w:num>
  <w:num w:numId="14">
    <w:abstractNumId w:val="17"/>
  </w:num>
  <w:num w:numId="15">
    <w:abstractNumId w:val="0"/>
  </w:num>
  <w:num w:numId="16">
    <w:abstractNumId w:val="6"/>
  </w:num>
  <w:num w:numId="17">
    <w:abstractNumId w:val="15"/>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CA"/>
    <w:rsid w:val="00000059"/>
    <w:rsid w:val="00000642"/>
    <w:rsid w:val="00000AC8"/>
    <w:rsid w:val="000012C9"/>
    <w:rsid w:val="0000143A"/>
    <w:rsid w:val="00002169"/>
    <w:rsid w:val="000029C1"/>
    <w:rsid w:val="000033B5"/>
    <w:rsid w:val="00004801"/>
    <w:rsid w:val="00006A8D"/>
    <w:rsid w:val="00007079"/>
    <w:rsid w:val="000104E2"/>
    <w:rsid w:val="000114E1"/>
    <w:rsid w:val="00011927"/>
    <w:rsid w:val="000136C4"/>
    <w:rsid w:val="000139F4"/>
    <w:rsid w:val="00014776"/>
    <w:rsid w:val="00014F53"/>
    <w:rsid w:val="00015A53"/>
    <w:rsid w:val="000160ED"/>
    <w:rsid w:val="000165D1"/>
    <w:rsid w:val="0002052A"/>
    <w:rsid w:val="00022053"/>
    <w:rsid w:val="000225F0"/>
    <w:rsid w:val="00023C4C"/>
    <w:rsid w:val="0002716E"/>
    <w:rsid w:val="00027241"/>
    <w:rsid w:val="000301B5"/>
    <w:rsid w:val="00030255"/>
    <w:rsid w:val="00031B8C"/>
    <w:rsid w:val="00032272"/>
    <w:rsid w:val="00032C8F"/>
    <w:rsid w:val="00034447"/>
    <w:rsid w:val="00034A4D"/>
    <w:rsid w:val="0003744E"/>
    <w:rsid w:val="0004030A"/>
    <w:rsid w:val="00040467"/>
    <w:rsid w:val="00041D92"/>
    <w:rsid w:val="0004215E"/>
    <w:rsid w:val="00042D6A"/>
    <w:rsid w:val="000433AD"/>
    <w:rsid w:val="0004354D"/>
    <w:rsid w:val="00043708"/>
    <w:rsid w:val="00044785"/>
    <w:rsid w:val="00046123"/>
    <w:rsid w:val="00046720"/>
    <w:rsid w:val="000467EE"/>
    <w:rsid w:val="00046826"/>
    <w:rsid w:val="0004793D"/>
    <w:rsid w:val="000516E5"/>
    <w:rsid w:val="0005355A"/>
    <w:rsid w:val="00054985"/>
    <w:rsid w:val="000551F9"/>
    <w:rsid w:val="00057EC2"/>
    <w:rsid w:val="00060842"/>
    <w:rsid w:val="00060BC3"/>
    <w:rsid w:val="00062489"/>
    <w:rsid w:val="00062497"/>
    <w:rsid w:val="0006343B"/>
    <w:rsid w:val="00063766"/>
    <w:rsid w:val="0006499C"/>
    <w:rsid w:val="00066610"/>
    <w:rsid w:val="00066C19"/>
    <w:rsid w:val="00067A80"/>
    <w:rsid w:val="00081381"/>
    <w:rsid w:val="000818FB"/>
    <w:rsid w:val="00082774"/>
    <w:rsid w:val="000852B3"/>
    <w:rsid w:val="00085B61"/>
    <w:rsid w:val="00090A31"/>
    <w:rsid w:val="00091BCB"/>
    <w:rsid w:val="00091D9A"/>
    <w:rsid w:val="00096E6F"/>
    <w:rsid w:val="000979D0"/>
    <w:rsid w:val="000A09BA"/>
    <w:rsid w:val="000A0F14"/>
    <w:rsid w:val="000A1127"/>
    <w:rsid w:val="000A1447"/>
    <w:rsid w:val="000A28AC"/>
    <w:rsid w:val="000A4973"/>
    <w:rsid w:val="000A57AE"/>
    <w:rsid w:val="000A66C4"/>
    <w:rsid w:val="000A694F"/>
    <w:rsid w:val="000A7344"/>
    <w:rsid w:val="000B204D"/>
    <w:rsid w:val="000B3C5C"/>
    <w:rsid w:val="000B624F"/>
    <w:rsid w:val="000B78B0"/>
    <w:rsid w:val="000C2037"/>
    <w:rsid w:val="000C42E7"/>
    <w:rsid w:val="000C4437"/>
    <w:rsid w:val="000C4976"/>
    <w:rsid w:val="000C4E7F"/>
    <w:rsid w:val="000C7D8A"/>
    <w:rsid w:val="000D04A3"/>
    <w:rsid w:val="000D0707"/>
    <w:rsid w:val="000D1787"/>
    <w:rsid w:val="000D17B2"/>
    <w:rsid w:val="000D2B56"/>
    <w:rsid w:val="000D31FF"/>
    <w:rsid w:val="000D4D12"/>
    <w:rsid w:val="000D659D"/>
    <w:rsid w:val="000D738D"/>
    <w:rsid w:val="000E1861"/>
    <w:rsid w:val="000E18CF"/>
    <w:rsid w:val="000E2C68"/>
    <w:rsid w:val="000E2E18"/>
    <w:rsid w:val="000E35D0"/>
    <w:rsid w:val="000E54E0"/>
    <w:rsid w:val="000E6C74"/>
    <w:rsid w:val="000F1459"/>
    <w:rsid w:val="000F4EA9"/>
    <w:rsid w:val="000F52C4"/>
    <w:rsid w:val="000F5BA3"/>
    <w:rsid w:val="000F634C"/>
    <w:rsid w:val="000F7308"/>
    <w:rsid w:val="00101711"/>
    <w:rsid w:val="00101CDF"/>
    <w:rsid w:val="001025B9"/>
    <w:rsid w:val="00102A89"/>
    <w:rsid w:val="00103B74"/>
    <w:rsid w:val="001041F7"/>
    <w:rsid w:val="00104E7D"/>
    <w:rsid w:val="001074D2"/>
    <w:rsid w:val="00107CA1"/>
    <w:rsid w:val="001100E1"/>
    <w:rsid w:val="00111976"/>
    <w:rsid w:val="0011389F"/>
    <w:rsid w:val="001138FE"/>
    <w:rsid w:val="00116B2F"/>
    <w:rsid w:val="0012020C"/>
    <w:rsid w:val="00120A97"/>
    <w:rsid w:val="00120F3A"/>
    <w:rsid w:val="00121E67"/>
    <w:rsid w:val="00121F67"/>
    <w:rsid w:val="00123EC4"/>
    <w:rsid w:val="001244B4"/>
    <w:rsid w:val="00124930"/>
    <w:rsid w:val="00127214"/>
    <w:rsid w:val="001301D4"/>
    <w:rsid w:val="00130E0F"/>
    <w:rsid w:val="001327B4"/>
    <w:rsid w:val="00132E1B"/>
    <w:rsid w:val="001353ED"/>
    <w:rsid w:val="00135C11"/>
    <w:rsid w:val="00135DE3"/>
    <w:rsid w:val="0013744D"/>
    <w:rsid w:val="00137553"/>
    <w:rsid w:val="00137A59"/>
    <w:rsid w:val="00137E76"/>
    <w:rsid w:val="001409FE"/>
    <w:rsid w:val="001418CD"/>
    <w:rsid w:val="00141E7E"/>
    <w:rsid w:val="00141F2D"/>
    <w:rsid w:val="001453E3"/>
    <w:rsid w:val="00145E8A"/>
    <w:rsid w:val="00146A85"/>
    <w:rsid w:val="00146D18"/>
    <w:rsid w:val="00150AE2"/>
    <w:rsid w:val="0015100E"/>
    <w:rsid w:val="001544C2"/>
    <w:rsid w:val="0015508B"/>
    <w:rsid w:val="0015635E"/>
    <w:rsid w:val="00156536"/>
    <w:rsid w:val="00162512"/>
    <w:rsid w:val="0016464E"/>
    <w:rsid w:val="00164B53"/>
    <w:rsid w:val="00165C0E"/>
    <w:rsid w:val="001706F5"/>
    <w:rsid w:val="00170748"/>
    <w:rsid w:val="001727C3"/>
    <w:rsid w:val="001743F9"/>
    <w:rsid w:val="001744B2"/>
    <w:rsid w:val="0017539F"/>
    <w:rsid w:val="001763AE"/>
    <w:rsid w:val="00181FF0"/>
    <w:rsid w:val="001821FB"/>
    <w:rsid w:val="00182A14"/>
    <w:rsid w:val="00182E6B"/>
    <w:rsid w:val="001857F2"/>
    <w:rsid w:val="00185C71"/>
    <w:rsid w:val="00186CF2"/>
    <w:rsid w:val="001918EC"/>
    <w:rsid w:val="00191CB0"/>
    <w:rsid w:val="00192053"/>
    <w:rsid w:val="00192A70"/>
    <w:rsid w:val="0019572F"/>
    <w:rsid w:val="00195F49"/>
    <w:rsid w:val="001962AB"/>
    <w:rsid w:val="0019661C"/>
    <w:rsid w:val="0019784B"/>
    <w:rsid w:val="00197A0D"/>
    <w:rsid w:val="001A1044"/>
    <w:rsid w:val="001A2ADF"/>
    <w:rsid w:val="001A682B"/>
    <w:rsid w:val="001A68DA"/>
    <w:rsid w:val="001A6FD7"/>
    <w:rsid w:val="001A72CF"/>
    <w:rsid w:val="001B1394"/>
    <w:rsid w:val="001B3451"/>
    <w:rsid w:val="001B53B9"/>
    <w:rsid w:val="001C033A"/>
    <w:rsid w:val="001C2FCF"/>
    <w:rsid w:val="001C4323"/>
    <w:rsid w:val="001C5EA8"/>
    <w:rsid w:val="001D1180"/>
    <w:rsid w:val="001D21D7"/>
    <w:rsid w:val="001D2274"/>
    <w:rsid w:val="001D298E"/>
    <w:rsid w:val="001D2E24"/>
    <w:rsid w:val="001D35D7"/>
    <w:rsid w:val="001D4A3A"/>
    <w:rsid w:val="001D6945"/>
    <w:rsid w:val="001D721D"/>
    <w:rsid w:val="001D7C2E"/>
    <w:rsid w:val="001E01BF"/>
    <w:rsid w:val="001E081F"/>
    <w:rsid w:val="001E112A"/>
    <w:rsid w:val="001E3575"/>
    <w:rsid w:val="001E380A"/>
    <w:rsid w:val="001E6937"/>
    <w:rsid w:val="001F0800"/>
    <w:rsid w:val="001F0C31"/>
    <w:rsid w:val="001F163F"/>
    <w:rsid w:val="001F32ED"/>
    <w:rsid w:val="001F3EFE"/>
    <w:rsid w:val="002009B8"/>
    <w:rsid w:val="00201052"/>
    <w:rsid w:val="00201114"/>
    <w:rsid w:val="0020508A"/>
    <w:rsid w:val="002057C0"/>
    <w:rsid w:val="0020735D"/>
    <w:rsid w:val="00207DD7"/>
    <w:rsid w:val="002103C7"/>
    <w:rsid w:val="002116CC"/>
    <w:rsid w:val="00211734"/>
    <w:rsid w:val="002118DD"/>
    <w:rsid w:val="002121C2"/>
    <w:rsid w:val="00212D0C"/>
    <w:rsid w:val="00212F6F"/>
    <w:rsid w:val="00213FB3"/>
    <w:rsid w:val="00215710"/>
    <w:rsid w:val="0021613F"/>
    <w:rsid w:val="002209AE"/>
    <w:rsid w:val="00222FF2"/>
    <w:rsid w:val="00223964"/>
    <w:rsid w:val="00223D5B"/>
    <w:rsid w:val="00226F31"/>
    <w:rsid w:val="0022789B"/>
    <w:rsid w:val="00227CF7"/>
    <w:rsid w:val="00230401"/>
    <w:rsid w:val="00230F33"/>
    <w:rsid w:val="00230FFB"/>
    <w:rsid w:val="00231920"/>
    <w:rsid w:val="00232832"/>
    <w:rsid w:val="00233ED4"/>
    <w:rsid w:val="00233F8E"/>
    <w:rsid w:val="00235966"/>
    <w:rsid w:val="00235FA6"/>
    <w:rsid w:val="00236012"/>
    <w:rsid w:val="0023633D"/>
    <w:rsid w:val="00240562"/>
    <w:rsid w:val="00241AB1"/>
    <w:rsid w:val="002426D4"/>
    <w:rsid w:val="00243273"/>
    <w:rsid w:val="00244B0E"/>
    <w:rsid w:val="0024583B"/>
    <w:rsid w:val="00246507"/>
    <w:rsid w:val="0024699A"/>
    <w:rsid w:val="00246D99"/>
    <w:rsid w:val="00247B2E"/>
    <w:rsid w:val="00250710"/>
    <w:rsid w:val="0025147F"/>
    <w:rsid w:val="00253A2E"/>
    <w:rsid w:val="00255D3D"/>
    <w:rsid w:val="0026040A"/>
    <w:rsid w:val="002620BC"/>
    <w:rsid w:val="0027065D"/>
    <w:rsid w:val="00273BD2"/>
    <w:rsid w:val="002751EB"/>
    <w:rsid w:val="002759F9"/>
    <w:rsid w:val="0027635A"/>
    <w:rsid w:val="0028084A"/>
    <w:rsid w:val="0028368A"/>
    <w:rsid w:val="002856F0"/>
    <w:rsid w:val="00286522"/>
    <w:rsid w:val="00286CF2"/>
    <w:rsid w:val="002910DA"/>
    <w:rsid w:val="002912F4"/>
    <w:rsid w:val="0029219F"/>
    <w:rsid w:val="00292B60"/>
    <w:rsid w:val="00292FC7"/>
    <w:rsid w:val="0029576C"/>
    <w:rsid w:val="00295C4B"/>
    <w:rsid w:val="00295DA8"/>
    <w:rsid w:val="00297129"/>
    <w:rsid w:val="00297F98"/>
    <w:rsid w:val="002A1510"/>
    <w:rsid w:val="002A3CF8"/>
    <w:rsid w:val="002A4234"/>
    <w:rsid w:val="002A464A"/>
    <w:rsid w:val="002A4EE0"/>
    <w:rsid w:val="002A5E64"/>
    <w:rsid w:val="002A7144"/>
    <w:rsid w:val="002B018F"/>
    <w:rsid w:val="002B0B04"/>
    <w:rsid w:val="002B1F63"/>
    <w:rsid w:val="002B2F77"/>
    <w:rsid w:val="002B32D8"/>
    <w:rsid w:val="002B4E80"/>
    <w:rsid w:val="002B63D5"/>
    <w:rsid w:val="002C11B7"/>
    <w:rsid w:val="002C2662"/>
    <w:rsid w:val="002C2F49"/>
    <w:rsid w:val="002C3490"/>
    <w:rsid w:val="002C635B"/>
    <w:rsid w:val="002D0A3E"/>
    <w:rsid w:val="002D3846"/>
    <w:rsid w:val="002D495B"/>
    <w:rsid w:val="002D700F"/>
    <w:rsid w:val="002E11FD"/>
    <w:rsid w:val="002E1D93"/>
    <w:rsid w:val="002E1F7C"/>
    <w:rsid w:val="002E2B65"/>
    <w:rsid w:val="002F0518"/>
    <w:rsid w:val="002F07B1"/>
    <w:rsid w:val="002F147C"/>
    <w:rsid w:val="002F1CED"/>
    <w:rsid w:val="002F4191"/>
    <w:rsid w:val="002F4494"/>
    <w:rsid w:val="002F51CD"/>
    <w:rsid w:val="002F56AC"/>
    <w:rsid w:val="002F5EC9"/>
    <w:rsid w:val="002F67D4"/>
    <w:rsid w:val="002F6A7D"/>
    <w:rsid w:val="002F7195"/>
    <w:rsid w:val="002F7A36"/>
    <w:rsid w:val="003000BC"/>
    <w:rsid w:val="00300C9F"/>
    <w:rsid w:val="00301210"/>
    <w:rsid w:val="0030135C"/>
    <w:rsid w:val="00301B94"/>
    <w:rsid w:val="00303665"/>
    <w:rsid w:val="00303CAE"/>
    <w:rsid w:val="003071FE"/>
    <w:rsid w:val="003077EB"/>
    <w:rsid w:val="00311AD1"/>
    <w:rsid w:val="00313CD7"/>
    <w:rsid w:val="00320B64"/>
    <w:rsid w:val="00320D7D"/>
    <w:rsid w:val="00321515"/>
    <w:rsid w:val="00321BB5"/>
    <w:rsid w:val="00325283"/>
    <w:rsid w:val="003271B9"/>
    <w:rsid w:val="003277B9"/>
    <w:rsid w:val="0033120E"/>
    <w:rsid w:val="00331FC2"/>
    <w:rsid w:val="003325A6"/>
    <w:rsid w:val="00332C3C"/>
    <w:rsid w:val="003339F0"/>
    <w:rsid w:val="00335F60"/>
    <w:rsid w:val="00336061"/>
    <w:rsid w:val="00336E85"/>
    <w:rsid w:val="003414E4"/>
    <w:rsid w:val="00341683"/>
    <w:rsid w:val="00342A2B"/>
    <w:rsid w:val="00343DDA"/>
    <w:rsid w:val="00346EE8"/>
    <w:rsid w:val="00350894"/>
    <w:rsid w:val="00351775"/>
    <w:rsid w:val="003525E1"/>
    <w:rsid w:val="00354200"/>
    <w:rsid w:val="00355321"/>
    <w:rsid w:val="0035535E"/>
    <w:rsid w:val="00356877"/>
    <w:rsid w:val="00361447"/>
    <w:rsid w:val="003628CF"/>
    <w:rsid w:val="003628DD"/>
    <w:rsid w:val="00363482"/>
    <w:rsid w:val="0036387C"/>
    <w:rsid w:val="003638B4"/>
    <w:rsid w:val="0036439D"/>
    <w:rsid w:val="0037071C"/>
    <w:rsid w:val="00370B13"/>
    <w:rsid w:val="00372891"/>
    <w:rsid w:val="003734D4"/>
    <w:rsid w:val="00374385"/>
    <w:rsid w:val="00376DB9"/>
    <w:rsid w:val="0037780D"/>
    <w:rsid w:val="00380821"/>
    <w:rsid w:val="00381AEF"/>
    <w:rsid w:val="00382EF1"/>
    <w:rsid w:val="0038618D"/>
    <w:rsid w:val="003866C0"/>
    <w:rsid w:val="0038793C"/>
    <w:rsid w:val="00387E08"/>
    <w:rsid w:val="003900BB"/>
    <w:rsid w:val="003935A2"/>
    <w:rsid w:val="00394D6D"/>
    <w:rsid w:val="003A13B9"/>
    <w:rsid w:val="003A352A"/>
    <w:rsid w:val="003A3E5F"/>
    <w:rsid w:val="003A4B58"/>
    <w:rsid w:val="003A5CCF"/>
    <w:rsid w:val="003A5D38"/>
    <w:rsid w:val="003A6113"/>
    <w:rsid w:val="003A6A67"/>
    <w:rsid w:val="003A7798"/>
    <w:rsid w:val="003B0556"/>
    <w:rsid w:val="003B392C"/>
    <w:rsid w:val="003B5B24"/>
    <w:rsid w:val="003B664B"/>
    <w:rsid w:val="003C2771"/>
    <w:rsid w:val="003C5DCA"/>
    <w:rsid w:val="003C5F17"/>
    <w:rsid w:val="003C62BD"/>
    <w:rsid w:val="003D0340"/>
    <w:rsid w:val="003D150F"/>
    <w:rsid w:val="003D2223"/>
    <w:rsid w:val="003E10D5"/>
    <w:rsid w:val="003E1B66"/>
    <w:rsid w:val="003E5DF8"/>
    <w:rsid w:val="003E723B"/>
    <w:rsid w:val="003E744E"/>
    <w:rsid w:val="003F24B0"/>
    <w:rsid w:val="003F2C76"/>
    <w:rsid w:val="003F31FE"/>
    <w:rsid w:val="003F34E2"/>
    <w:rsid w:val="003F3FA6"/>
    <w:rsid w:val="003F53E8"/>
    <w:rsid w:val="003F5BD7"/>
    <w:rsid w:val="003F68D6"/>
    <w:rsid w:val="003F6D1B"/>
    <w:rsid w:val="003F724F"/>
    <w:rsid w:val="004002FD"/>
    <w:rsid w:val="00400E94"/>
    <w:rsid w:val="004012DB"/>
    <w:rsid w:val="004013D4"/>
    <w:rsid w:val="004014AD"/>
    <w:rsid w:val="004018C2"/>
    <w:rsid w:val="0040297C"/>
    <w:rsid w:val="00404194"/>
    <w:rsid w:val="00404211"/>
    <w:rsid w:val="0040607C"/>
    <w:rsid w:val="00410B4A"/>
    <w:rsid w:val="00411E22"/>
    <w:rsid w:val="00413CBE"/>
    <w:rsid w:val="0041408C"/>
    <w:rsid w:val="00420D8F"/>
    <w:rsid w:val="00422F7A"/>
    <w:rsid w:val="0042392B"/>
    <w:rsid w:val="00424F2F"/>
    <w:rsid w:val="00424F6D"/>
    <w:rsid w:val="00424F80"/>
    <w:rsid w:val="00426F20"/>
    <w:rsid w:val="004310AF"/>
    <w:rsid w:val="004314DA"/>
    <w:rsid w:val="00432D27"/>
    <w:rsid w:val="00435857"/>
    <w:rsid w:val="004410D8"/>
    <w:rsid w:val="0044141E"/>
    <w:rsid w:val="004429AB"/>
    <w:rsid w:val="00442F54"/>
    <w:rsid w:val="00444562"/>
    <w:rsid w:val="00445C3A"/>
    <w:rsid w:val="00446A57"/>
    <w:rsid w:val="0044710F"/>
    <w:rsid w:val="004505EA"/>
    <w:rsid w:val="00452DB1"/>
    <w:rsid w:val="00454F09"/>
    <w:rsid w:val="004554CB"/>
    <w:rsid w:val="00456905"/>
    <w:rsid w:val="0046087E"/>
    <w:rsid w:val="004644FA"/>
    <w:rsid w:val="004657ED"/>
    <w:rsid w:val="00466C7D"/>
    <w:rsid w:val="00470A5C"/>
    <w:rsid w:val="00470C9D"/>
    <w:rsid w:val="00473D88"/>
    <w:rsid w:val="0047412E"/>
    <w:rsid w:val="00474714"/>
    <w:rsid w:val="0047506F"/>
    <w:rsid w:val="0047631F"/>
    <w:rsid w:val="00477123"/>
    <w:rsid w:val="00480136"/>
    <w:rsid w:val="0048363F"/>
    <w:rsid w:val="0048387C"/>
    <w:rsid w:val="00484211"/>
    <w:rsid w:val="00484E9B"/>
    <w:rsid w:val="00485C14"/>
    <w:rsid w:val="0048795F"/>
    <w:rsid w:val="0049101C"/>
    <w:rsid w:val="00493393"/>
    <w:rsid w:val="0049454E"/>
    <w:rsid w:val="00494871"/>
    <w:rsid w:val="00494DFA"/>
    <w:rsid w:val="00495517"/>
    <w:rsid w:val="00495C19"/>
    <w:rsid w:val="00496A8A"/>
    <w:rsid w:val="00497259"/>
    <w:rsid w:val="004A0E81"/>
    <w:rsid w:val="004A113B"/>
    <w:rsid w:val="004A1736"/>
    <w:rsid w:val="004A18A8"/>
    <w:rsid w:val="004A1917"/>
    <w:rsid w:val="004A24AB"/>
    <w:rsid w:val="004A3A0F"/>
    <w:rsid w:val="004A4537"/>
    <w:rsid w:val="004A4597"/>
    <w:rsid w:val="004A48F3"/>
    <w:rsid w:val="004A5350"/>
    <w:rsid w:val="004A5B17"/>
    <w:rsid w:val="004A60CD"/>
    <w:rsid w:val="004B2280"/>
    <w:rsid w:val="004B3EAE"/>
    <w:rsid w:val="004B499C"/>
    <w:rsid w:val="004B5D1E"/>
    <w:rsid w:val="004B679D"/>
    <w:rsid w:val="004B6C35"/>
    <w:rsid w:val="004B74F1"/>
    <w:rsid w:val="004B75C3"/>
    <w:rsid w:val="004C0166"/>
    <w:rsid w:val="004C2F7C"/>
    <w:rsid w:val="004C69D6"/>
    <w:rsid w:val="004D0BEC"/>
    <w:rsid w:val="004D49AB"/>
    <w:rsid w:val="004D5015"/>
    <w:rsid w:val="004D606F"/>
    <w:rsid w:val="004D6438"/>
    <w:rsid w:val="004D6C60"/>
    <w:rsid w:val="004D6E48"/>
    <w:rsid w:val="004D76EE"/>
    <w:rsid w:val="004E0E97"/>
    <w:rsid w:val="004E119E"/>
    <w:rsid w:val="004E2A90"/>
    <w:rsid w:val="004E41A7"/>
    <w:rsid w:val="004E4890"/>
    <w:rsid w:val="004E6553"/>
    <w:rsid w:val="004E6EF0"/>
    <w:rsid w:val="004E7027"/>
    <w:rsid w:val="004F0BFB"/>
    <w:rsid w:val="004F12F7"/>
    <w:rsid w:val="004F15F0"/>
    <w:rsid w:val="004F4013"/>
    <w:rsid w:val="005010CF"/>
    <w:rsid w:val="00502075"/>
    <w:rsid w:val="0050315D"/>
    <w:rsid w:val="005034C0"/>
    <w:rsid w:val="00503745"/>
    <w:rsid w:val="00503A23"/>
    <w:rsid w:val="00503CA4"/>
    <w:rsid w:val="005050B6"/>
    <w:rsid w:val="005053D9"/>
    <w:rsid w:val="00507833"/>
    <w:rsid w:val="00512401"/>
    <w:rsid w:val="005141B6"/>
    <w:rsid w:val="00516315"/>
    <w:rsid w:val="00522189"/>
    <w:rsid w:val="00523877"/>
    <w:rsid w:val="00523E3E"/>
    <w:rsid w:val="005263FE"/>
    <w:rsid w:val="00530B9C"/>
    <w:rsid w:val="00530CA6"/>
    <w:rsid w:val="005316D7"/>
    <w:rsid w:val="00531859"/>
    <w:rsid w:val="005330E1"/>
    <w:rsid w:val="00534BA8"/>
    <w:rsid w:val="005377AF"/>
    <w:rsid w:val="005414E5"/>
    <w:rsid w:val="00542602"/>
    <w:rsid w:val="005433F9"/>
    <w:rsid w:val="005449DC"/>
    <w:rsid w:val="00546E73"/>
    <w:rsid w:val="00550BA5"/>
    <w:rsid w:val="005516BD"/>
    <w:rsid w:val="0055292D"/>
    <w:rsid w:val="00552CEE"/>
    <w:rsid w:val="0055383A"/>
    <w:rsid w:val="00554076"/>
    <w:rsid w:val="00555D10"/>
    <w:rsid w:val="0055673E"/>
    <w:rsid w:val="00561C45"/>
    <w:rsid w:val="00563C17"/>
    <w:rsid w:val="00567DA5"/>
    <w:rsid w:val="00570091"/>
    <w:rsid w:val="00570C03"/>
    <w:rsid w:val="0057137A"/>
    <w:rsid w:val="005730ED"/>
    <w:rsid w:val="00573C31"/>
    <w:rsid w:val="00576037"/>
    <w:rsid w:val="005761F6"/>
    <w:rsid w:val="00576AEA"/>
    <w:rsid w:val="00577D27"/>
    <w:rsid w:val="00580808"/>
    <w:rsid w:val="00580CEB"/>
    <w:rsid w:val="005837E7"/>
    <w:rsid w:val="00583F85"/>
    <w:rsid w:val="00584B14"/>
    <w:rsid w:val="00584D54"/>
    <w:rsid w:val="00586AE2"/>
    <w:rsid w:val="005940EF"/>
    <w:rsid w:val="005941F9"/>
    <w:rsid w:val="00594346"/>
    <w:rsid w:val="00595451"/>
    <w:rsid w:val="005A2434"/>
    <w:rsid w:val="005A477A"/>
    <w:rsid w:val="005A4C4A"/>
    <w:rsid w:val="005A79C2"/>
    <w:rsid w:val="005B0D7B"/>
    <w:rsid w:val="005B1A3D"/>
    <w:rsid w:val="005B2136"/>
    <w:rsid w:val="005B2304"/>
    <w:rsid w:val="005B3E57"/>
    <w:rsid w:val="005B3FCC"/>
    <w:rsid w:val="005B55FB"/>
    <w:rsid w:val="005B5A7D"/>
    <w:rsid w:val="005B6092"/>
    <w:rsid w:val="005B6BEC"/>
    <w:rsid w:val="005B73ED"/>
    <w:rsid w:val="005C180F"/>
    <w:rsid w:val="005C1C97"/>
    <w:rsid w:val="005C234F"/>
    <w:rsid w:val="005C2D86"/>
    <w:rsid w:val="005C4A90"/>
    <w:rsid w:val="005C5CE3"/>
    <w:rsid w:val="005C6144"/>
    <w:rsid w:val="005D0C21"/>
    <w:rsid w:val="005D3257"/>
    <w:rsid w:val="005D68E9"/>
    <w:rsid w:val="005D77DE"/>
    <w:rsid w:val="005D7A0F"/>
    <w:rsid w:val="005E0428"/>
    <w:rsid w:val="005E1183"/>
    <w:rsid w:val="005E2596"/>
    <w:rsid w:val="005E2C22"/>
    <w:rsid w:val="005E2DD4"/>
    <w:rsid w:val="005E4651"/>
    <w:rsid w:val="005E47B2"/>
    <w:rsid w:val="005E5156"/>
    <w:rsid w:val="005E51BE"/>
    <w:rsid w:val="005E660C"/>
    <w:rsid w:val="005E6ECE"/>
    <w:rsid w:val="005E7917"/>
    <w:rsid w:val="005F0F80"/>
    <w:rsid w:val="005F2094"/>
    <w:rsid w:val="005F38F6"/>
    <w:rsid w:val="005F48FC"/>
    <w:rsid w:val="00600773"/>
    <w:rsid w:val="00601DFC"/>
    <w:rsid w:val="00603D7C"/>
    <w:rsid w:val="00604613"/>
    <w:rsid w:val="00606923"/>
    <w:rsid w:val="00610BDA"/>
    <w:rsid w:val="00610D15"/>
    <w:rsid w:val="00610DD0"/>
    <w:rsid w:val="006131AF"/>
    <w:rsid w:val="00615618"/>
    <w:rsid w:val="00616646"/>
    <w:rsid w:val="0062177B"/>
    <w:rsid w:val="00621FCE"/>
    <w:rsid w:val="006240BB"/>
    <w:rsid w:val="00626EB6"/>
    <w:rsid w:val="0063034E"/>
    <w:rsid w:val="00631D16"/>
    <w:rsid w:val="00632392"/>
    <w:rsid w:val="00632DC2"/>
    <w:rsid w:val="00632F15"/>
    <w:rsid w:val="0063332C"/>
    <w:rsid w:val="00633F70"/>
    <w:rsid w:val="00634D10"/>
    <w:rsid w:val="00636BD6"/>
    <w:rsid w:val="00637680"/>
    <w:rsid w:val="006404A9"/>
    <w:rsid w:val="006408D4"/>
    <w:rsid w:val="0064121C"/>
    <w:rsid w:val="00642628"/>
    <w:rsid w:val="00642B43"/>
    <w:rsid w:val="00643B8C"/>
    <w:rsid w:val="00645639"/>
    <w:rsid w:val="00646BE0"/>
    <w:rsid w:val="00650838"/>
    <w:rsid w:val="00650DBD"/>
    <w:rsid w:val="00652347"/>
    <w:rsid w:val="00653136"/>
    <w:rsid w:val="0065368A"/>
    <w:rsid w:val="0065576A"/>
    <w:rsid w:val="0065643D"/>
    <w:rsid w:val="00656A07"/>
    <w:rsid w:val="00657950"/>
    <w:rsid w:val="00657F8F"/>
    <w:rsid w:val="006614AF"/>
    <w:rsid w:val="00661C68"/>
    <w:rsid w:val="00662006"/>
    <w:rsid w:val="006625FE"/>
    <w:rsid w:val="00662CFD"/>
    <w:rsid w:val="006645CD"/>
    <w:rsid w:val="00665B69"/>
    <w:rsid w:val="00666088"/>
    <w:rsid w:val="006708C5"/>
    <w:rsid w:val="00671E04"/>
    <w:rsid w:val="00672A29"/>
    <w:rsid w:val="00673A4E"/>
    <w:rsid w:val="0067497B"/>
    <w:rsid w:val="006765F8"/>
    <w:rsid w:val="006800DD"/>
    <w:rsid w:val="0068161F"/>
    <w:rsid w:val="00681963"/>
    <w:rsid w:val="00692F98"/>
    <w:rsid w:val="00695009"/>
    <w:rsid w:val="006954B6"/>
    <w:rsid w:val="00696C07"/>
    <w:rsid w:val="006A0339"/>
    <w:rsid w:val="006A0940"/>
    <w:rsid w:val="006A25F3"/>
    <w:rsid w:val="006A5818"/>
    <w:rsid w:val="006A5C9A"/>
    <w:rsid w:val="006A648A"/>
    <w:rsid w:val="006B212C"/>
    <w:rsid w:val="006B234B"/>
    <w:rsid w:val="006B4EBF"/>
    <w:rsid w:val="006B5B5A"/>
    <w:rsid w:val="006B5B63"/>
    <w:rsid w:val="006B7417"/>
    <w:rsid w:val="006C22B2"/>
    <w:rsid w:val="006C2AB6"/>
    <w:rsid w:val="006C3BE4"/>
    <w:rsid w:val="006C3D65"/>
    <w:rsid w:val="006C5276"/>
    <w:rsid w:val="006C6916"/>
    <w:rsid w:val="006C7EA6"/>
    <w:rsid w:val="006D3B75"/>
    <w:rsid w:val="006D532F"/>
    <w:rsid w:val="006D57FF"/>
    <w:rsid w:val="006D64DD"/>
    <w:rsid w:val="006E2281"/>
    <w:rsid w:val="006E6716"/>
    <w:rsid w:val="006F023F"/>
    <w:rsid w:val="006F224F"/>
    <w:rsid w:val="006F2EF9"/>
    <w:rsid w:val="006F3072"/>
    <w:rsid w:val="006F5016"/>
    <w:rsid w:val="006F7367"/>
    <w:rsid w:val="006F75DE"/>
    <w:rsid w:val="00702273"/>
    <w:rsid w:val="00703C7D"/>
    <w:rsid w:val="00710012"/>
    <w:rsid w:val="007108AD"/>
    <w:rsid w:val="007116C3"/>
    <w:rsid w:val="00711E6E"/>
    <w:rsid w:val="0071213E"/>
    <w:rsid w:val="00712177"/>
    <w:rsid w:val="007164D6"/>
    <w:rsid w:val="00721D46"/>
    <w:rsid w:val="007223D8"/>
    <w:rsid w:val="007226BD"/>
    <w:rsid w:val="00726DE9"/>
    <w:rsid w:val="00727D56"/>
    <w:rsid w:val="00730456"/>
    <w:rsid w:val="00732132"/>
    <w:rsid w:val="007336AE"/>
    <w:rsid w:val="00733C0B"/>
    <w:rsid w:val="00733D75"/>
    <w:rsid w:val="00734654"/>
    <w:rsid w:val="00734CFC"/>
    <w:rsid w:val="007357E6"/>
    <w:rsid w:val="0073581C"/>
    <w:rsid w:val="00736A67"/>
    <w:rsid w:val="007401A8"/>
    <w:rsid w:val="00742BD6"/>
    <w:rsid w:val="0074307A"/>
    <w:rsid w:val="007464BC"/>
    <w:rsid w:val="00746C24"/>
    <w:rsid w:val="0074766E"/>
    <w:rsid w:val="00751427"/>
    <w:rsid w:val="007522F3"/>
    <w:rsid w:val="00753DE0"/>
    <w:rsid w:val="0075659A"/>
    <w:rsid w:val="007566E9"/>
    <w:rsid w:val="00757B9E"/>
    <w:rsid w:val="00760D20"/>
    <w:rsid w:val="007610E7"/>
    <w:rsid w:val="0076143B"/>
    <w:rsid w:val="00761992"/>
    <w:rsid w:val="00762D4D"/>
    <w:rsid w:val="00762E0B"/>
    <w:rsid w:val="007649A9"/>
    <w:rsid w:val="00765852"/>
    <w:rsid w:val="00765F32"/>
    <w:rsid w:val="007660AB"/>
    <w:rsid w:val="00766687"/>
    <w:rsid w:val="00767CE3"/>
    <w:rsid w:val="00770B5B"/>
    <w:rsid w:val="00770F74"/>
    <w:rsid w:val="00771CBC"/>
    <w:rsid w:val="007725DD"/>
    <w:rsid w:val="00772EAF"/>
    <w:rsid w:val="00775E0C"/>
    <w:rsid w:val="00775F93"/>
    <w:rsid w:val="00776ACA"/>
    <w:rsid w:val="00776B1B"/>
    <w:rsid w:val="0077774E"/>
    <w:rsid w:val="007811D9"/>
    <w:rsid w:val="007820C5"/>
    <w:rsid w:val="007837A2"/>
    <w:rsid w:val="00783DF7"/>
    <w:rsid w:val="007908D4"/>
    <w:rsid w:val="00790926"/>
    <w:rsid w:val="00791470"/>
    <w:rsid w:val="0079265C"/>
    <w:rsid w:val="007934C3"/>
    <w:rsid w:val="00793E3B"/>
    <w:rsid w:val="0079408E"/>
    <w:rsid w:val="007957CB"/>
    <w:rsid w:val="007A0731"/>
    <w:rsid w:val="007A1173"/>
    <w:rsid w:val="007A138C"/>
    <w:rsid w:val="007A18CF"/>
    <w:rsid w:val="007A3CBF"/>
    <w:rsid w:val="007A6C07"/>
    <w:rsid w:val="007A6D34"/>
    <w:rsid w:val="007B1A99"/>
    <w:rsid w:val="007B2A4B"/>
    <w:rsid w:val="007B3A95"/>
    <w:rsid w:val="007B54FF"/>
    <w:rsid w:val="007B6D0B"/>
    <w:rsid w:val="007C1044"/>
    <w:rsid w:val="007C2081"/>
    <w:rsid w:val="007C2ECA"/>
    <w:rsid w:val="007C308F"/>
    <w:rsid w:val="007C370E"/>
    <w:rsid w:val="007C3764"/>
    <w:rsid w:val="007C3C73"/>
    <w:rsid w:val="007C44CF"/>
    <w:rsid w:val="007C4DA8"/>
    <w:rsid w:val="007C4DBA"/>
    <w:rsid w:val="007C59B5"/>
    <w:rsid w:val="007C7B9C"/>
    <w:rsid w:val="007D093A"/>
    <w:rsid w:val="007D1935"/>
    <w:rsid w:val="007D2A6A"/>
    <w:rsid w:val="007D30DB"/>
    <w:rsid w:val="007D47E3"/>
    <w:rsid w:val="007D4E97"/>
    <w:rsid w:val="007D5EDA"/>
    <w:rsid w:val="007D6212"/>
    <w:rsid w:val="007E50DE"/>
    <w:rsid w:val="007E68BC"/>
    <w:rsid w:val="007F088D"/>
    <w:rsid w:val="007F12F2"/>
    <w:rsid w:val="007F41B3"/>
    <w:rsid w:val="007F4400"/>
    <w:rsid w:val="007F44EE"/>
    <w:rsid w:val="008049B9"/>
    <w:rsid w:val="00812077"/>
    <w:rsid w:val="0081387C"/>
    <w:rsid w:val="00813E28"/>
    <w:rsid w:val="0081441B"/>
    <w:rsid w:val="00814787"/>
    <w:rsid w:val="00814AA3"/>
    <w:rsid w:val="00820547"/>
    <w:rsid w:val="00820A3C"/>
    <w:rsid w:val="008212B0"/>
    <w:rsid w:val="00821F4D"/>
    <w:rsid w:val="008228A1"/>
    <w:rsid w:val="00822EE6"/>
    <w:rsid w:val="00825B71"/>
    <w:rsid w:val="00825E18"/>
    <w:rsid w:val="008339DE"/>
    <w:rsid w:val="00833D09"/>
    <w:rsid w:val="00834DC1"/>
    <w:rsid w:val="00835655"/>
    <w:rsid w:val="008356AC"/>
    <w:rsid w:val="008404E6"/>
    <w:rsid w:val="00842293"/>
    <w:rsid w:val="00842CF3"/>
    <w:rsid w:val="0084336E"/>
    <w:rsid w:val="008437EB"/>
    <w:rsid w:val="008439CF"/>
    <w:rsid w:val="00844CDA"/>
    <w:rsid w:val="00846346"/>
    <w:rsid w:val="00846C62"/>
    <w:rsid w:val="00851D4D"/>
    <w:rsid w:val="00852AAC"/>
    <w:rsid w:val="00852B2B"/>
    <w:rsid w:val="0085785F"/>
    <w:rsid w:val="0086144A"/>
    <w:rsid w:val="00861513"/>
    <w:rsid w:val="008637CC"/>
    <w:rsid w:val="00865360"/>
    <w:rsid w:val="00866CAA"/>
    <w:rsid w:val="00867D52"/>
    <w:rsid w:val="00870012"/>
    <w:rsid w:val="0087089A"/>
    <w:rsid w:val="008719CC"/>
    <w:rsid w:val="008734E7"/>
    <w:rsid w:val="00873F27"/>
    <w:rsid w:val="00876952"/>
    <w:rsid w:val="00880094"/>
    <w:rsid w:val="00880865"/>
    <w:rsid w:val="00880E61"/>
    <w:rsid w:val="00882F1E"/>
    <w:rsid w:val="008835F8"/>
    <w:rsid w:val="00884B92"/>
    <w:rsid w:val="00885E56"/>
    <w:rsid w:val="00886E01"/>
    <w:rsid w:val="0088726A"/>
    <w:rsid w:val="0089019C"/>
    <w:rsid w:val="00890477"/>
    <w:rsid w:val="0089094F"/>
    <w:rsid w:val="00891820"/>
    <w:rsid w:val="0089298D"/>
    <w:rsid w:val="00894F88"/>
    <w:rsid w:val="00895302"/>
    <w:rsid w:val="0089623F"/>
    <w:rsid w:val="008A0E75"/>
    <w:rsid w:val="008A1882"/>
    <w:rsid w:val="008A1F82"/>
    <w:rsid w:val="008A24BF"/>
    <w:rsid w:val="008A284E"/>
    <w:rsid w:val="008A32B8"/>
    <w:rsid w:val="008B1E2A"/>
    <w:rsid w:val="008B26A5"/>
    <w:rsid w:val="008B505C"/>
    <w:rsid w:val="008B58FD"/>
    <w:rsid w:val="008B59B4"/>
    <w:rsid w:val="008B6C17"/>
    <w:rsid w:val="008C0EF9"/>
    <w:rsid w:val="008C28B2"/>
    <w:rsid w:val="008C5668"/>
    <w:rsid w:val="008C7772"/>
    <w:rsid w:val="008D1AAC"/>
    <w:rsid w:val="008D525F"/>
    <w:rsid w:val="008D59C6"/>
    <w:rsid w:val="008D7C23"/>
    <w:rsid w:val="008D7E53"/>
    <w:rsid w:val="008E0744"/>
    <w:rsid w:val="008E0FFF"/>
    <w:rsid w:val="008E15FB"/>
    <w:rsid w:val="008E1974"/>
    <w:rsid w:val="008E2F74"/>
    <w:rsid w:val="008F0CEE"/>
    <w:rsid w:val="008F10C1"/>
    <w:rsid w:val="008F1515"/>
    <w:rsid w:val="008F3144"/>
    <w:rsid w:val="008F3914"/>
    <w:rsid w:val="008F5655"/>
    <w:rsid w:val="008F6867"/>
    <w:rsid w:val="009005E0"/>
    <w:rsid w:val="009006F3"/>
    <w:rsid w:val="00905551"/>
    <w:rsid w:val="009123FF"/>
    <w:rsid w:val="00912EE0"/>
    <w:rsid w:val="009132C1"/>
    <w:rsid w:val="00913B80"/>
    <w:rsid w:val="0091753D"/>
    <w:rsid w:val="0092223D"/>
    <w:rsid w:val="009242A0"/>
    <w:rsid w:val="00924412"/>
    <w:rsid w:val="00925133"/>
    <w:rsid w:val="00926F2A"/>
    <w:rsid w:val="009278CB"/>
    <w:rsid w:val="00927ED1"/>
    <w:rsid w:val="00930709"/>
    <w:rsid w:val="00932091"/>
    <w:rsid w:val="00933867"/>
    <w:rsid w:val="009341C1"/>
    <w:rsid w:val="0093451D"/>
    <w:rsid w:val="00934A1A"/>
    <w:rsid w:val="009372BB"/>
    <w:rsid w:val="009439B5"/>
    <w:rsid w:val="009456E5"/>
    <w:rsid w:val="0094679A"/>
    <w:rsid w:val="00946F8A"/>
    <w:rsid w:val="009506F1"/>
    <w:rsid w:val="00951018"/>
    <w:rsid w:val="009518B4"/>
    <w:rsid w:val="00954D60"/>
    <w:rsid w:val="0095562E"/>
    <w:rsid w:val="00955D6D"/>
    <w:rsid w:val="00955F9A"/>
    <w:rsid w:val="009560AB"/>
    <w:rsid w:val="00956E27"/>
    <w:rsid w:val="009574E2"/>
    <w:rsid w:val="00957702"/>
    <w:rsid w:val="00957888"/>
    <w:rsid w:val="009608CA"/>
    <w:rsid w:val="00962879"/>
    <w:rsid w:val="00962F0B"/>
    <w:rsid w:val="00963EC2"/>
    <w:rsid w:val="00964F67"/>
    <w:rsid w:val="009652C5"/>
    <w:rsid w:val="0096582A"/>
    <w:rsid w:val="00966FB0"/>
    <w:rsid w:val="00967160"/>
    <w:rsid w:val="00967D06"/>
    <w:rsid w:val="00967F76"/>
    <w:rsid w:val="00971E3D"/>
    <w:rsid w:val="00972FCC"/>
    <w:rsid w:val="00973BF9"/>
    <w:rsid w:val="009740F5"/>
    <w:rsid w:val="009743FE"/>
    <w:rsid w:val="00975449"/>
    <w:rsid w:val="00975FC2"/>
    <w:rsid w:val="00976E9D"/>
    <w:rsid w:val="00977B05"/>
    <w:rsid w:val="00980442"/>
    <w:rsid w:val="009812A4"/>
    <w:rsid w:val="009818B6"/>
    <w:rsid w:val="0098200E"/>
    <w:rsid w:val="00984C41"/>
    <w:rsid w:val="00984C55"/>
    <w:rsid w:val="00985C20"/>
    <w:rsid w:val="009878C6"/>
    <w:rsid w:val="00990993"/>
    <w:rsid w:val="00991256"/>
    <w:rsid w:val="0099191A"/>
    <w:rsid w:val="009920D3"/>
    <w:rsid w:val="00994422"/>
    <w:rsid w:val="00994501"/>
    <w:rsid w:val="00995BBD"/>
    <w:rsid w:val="009960E8"/>
    <w:rsid w:val="00996948"/>
    <w:rsid w:val="009A2356"/>
    <w:rsid w:val="009A354D"/>
    <w:rsid w:val="009A3DB0"/>
    <w:rsid w:val="009A4B0E"/>
    <w:rsid w:val="009A518C"/>
    <w:rsid w:val="009A522E"/>
    <w:rsid w:val="009A5867"/>
    <w:rsid w:val="009A6880"/>
    <w:rsid w:val="009A78EE"/>
    <w:rsid w:val="009B155D"/>
    <w:rsid w:val="009B2651"/>
    <w:rsid w:val="009B2ACC"/>
    <w:rsid w:val="009B4057"/>
    <w:rsid w:val="009B470C"/>
    <w:rsid w:val="009B4DEA"/>
    <w:rsid w:val="009B5D7A"/>
    <w:rsid w:val="009C0D08"/>
    <w:rsid w:val="009C1C40"/>
    <w:rsid w:val="009C1E50"/>
    <w:rsid w:val="009C3F96"/>
    <w:rsid w:val="009C43D3"/>
    <w:rsid w:val="009C67C5"/>
    <w:rsid w:val="009C6BFE"/>
    <w:rsid w:val="009C7486"/>
    <w:rsid w:val="009D0102"/>
    <w:rsid w:val="009D0FB3"/>
    <w:rsid w:val="009D2647"/>
    <w:rsid w:val="009D4492"/>
    <w:rsid w:val="009D64DB"/>
    <w:rsid w:val="009D6DB0"/>
    <w:rsid w:val="009E6059"/>
    <w:rsid w:val="009F213F"/>
    <w:rsid w:val="009F3671"/>
    <w:rsid w:val="009F4272"/>
    <w:rsid w:val="009F5BC0"/>
    <w:rsid w:val="009F6A24"/>
    <w:rsid w:val="009F724D"/>
    <w:rsid w:val="00A014E5"/>
    <w:rsid w:val="00A0213C"/>
    <w:rsid w:val="00A021B0"/>
    <w:rsid w:val="00A039B0"/>
    <w:rsid w:val="00A03AF8"/>
    <w:rsid w:val="00A05EE8"/>
    <w:rsid w:val="00A06280"/>
    <w:rsid w:val="00A10B4C"/>
    <w:rsid w:val="00A10E87"/>
    <w:rsid w:val="00A14032"/>
    <w:rsid w:val="00A23EC1"/>
    <w:rsid w:val="00A25709"/>
    <w:rsid w:val="00A25D23"/>
    <w:rsid w:val="00A3089B"/>
    <w:rsid w:val="00A30BDC"/>
    <w:rsid w:val="00A348B2"/>
    <w:rsid w:val="00A349BE"/>
    <w:rsid w:val="00A34BE4"/>
    <w:rsid w:val="00A358DB"/>
    <w:rsid w:val="00A36DF0"/>
    <w:rsid w:val="00A37B56"/>
    <w:rsid w:val="00A41950"/>
    <w:rsid w:val="00A420FA"/>
    <w:rsid w:val="00A428C5"/>
    <w:rsid w:val="00A440D6"/>
    <w:rsid w:val="00A44330"/>
    <w:rsid w:val="00A46881"/>
    <w:rsid w:val="00A46E73"/>
    <w:rsid w:val="00A47842"/>
    <w:rsid w:val="00A5384D"/>
    <w:rsid w:val="00A54D55"/>
    <w:rsid w:val="00A54EFF"/>
    <w:rsid w:val="00A56738"/>
    <w:rsid w:val="00A56AB1"/>
    <w:rsid w:val="00A607FF"/>
    <w:rsid w:val="00A60B4B"/>
    <w:rsid w:val="00A60C90"/>
    <w:rsid w:val="00A61503"/>
    <w:rsid w:val="00A61D18"/>
    <w:rsid w:val="00A62006"/>
    <w:rsid w:val="00A635B5"/>
    <w:rsid w:val="00A63F45"/>
    <w:rsid w:val="00A64DEE"/>
    <w:rsid w:val="00A65D64"/>
    <w:rsid w:val="00A70FDB"/>
    <w:rsid w:val="00A71451"/>
    <w:rsid w:val="00A722D3"/>
    <w:rsid w:val="00A73AA4"/>
    <w:rsid w:val="00A73BD0"/>
    <w:rsid w:val="00A8046E"/>
    <w:rsid w:val="00A81AD1"/>
    <w:rsid w:val="00A83259"/>
    <w:rsid w:val="00A85030"/>
    <w:rsid w:val="00A86546"/>
    <w:rsid w:val="00A878B9"/>
    <w:rsid w:val="00A90BBE"/>
    <w:rsid w:val="00A93E19"/>
    <w:rsid w:val="00A94752"/>
    <w:rsid w:val="00A96DD6"/>
    <w:rsid w:val="00A976F8"/>
    <w:rsid w:val="00A97873"/>
    <w:rsid w:val="00A97941"/>
    <w:rsid w:val="00A97FB7"/>
    <w:rsid w:val="00AA0EE0"/>
    <w:rsid w:val="00AA33EF"/>
    <w:rsid w:val="00AA545A"/>
    <w:rsid w:val="00AB37A1"/>
    <w:rsid w:val="00AB4920"/>
    <w:rsid w:val="00AB504B"/>
    <w:rsid w:val="00AB5469"/>
    <w:rsid w:val="00AB6835"/>
    <w:rsid w:val="00AB6B33"/>
    <w:rsid w:val="00AB7DD0"/>
    <w:rsid w:val="00AC00EA"/>
    <w:rsid w:val="00AC08B3"/>
    <w:rsid w:val="00AC0E69"/>
    <w:rsid w:val="00AC1247"/>
    <w:rsid w:val="00AC615A"/>
    <w:rsid w:val="00AC6216"/>
    <w:rsid w:val="00AD243B"/>
    <w:rsid w:val="00AD4866"/>
    <w:rsid w:val="00AD4B64"/>
    <w:rsid w:val="00AD4EA0"/>
    <w:rsid w:val="00AD521E"/>
    <w:rsid w:val="00AD5B9F"/>
    <w:rsid w:val="00AD5C8F"/>
    <w:rsid w:val="00AD60AD"/>
    <w:rsid w:val="00AD6490"/>
    <w:rsid w:val="00AE07BA"/>
    <w:rsid w:val="00AE0EB0"/>
    <w:rsid w:val="00AE2A05"/>
    <w:rsid w:val="00AE32E0"/>
    <w:rsid w:val="00AE3657"/>
    <w:rsid w:val="00AE3BDC"/>
    <w:rsid w:val="00AE4208"/>
    <w:rsid w:val="00AE50B8"/>
    <w:rsid w:val="00AE5777"/>
    <w:rsid w:val="00AE7A82"/>
    <w:rsid w:val="00AF18F8"/>
    <w:rsid w:val="00AF289A"/>
    <w:rsid w:val="00AF70E5"/>
    <w:rsid w:val="00B0028F"/>
    <w:rsid w:val="00B01290"/>
    <w:rsid w:val="00B055BC"/>
    <w:rsid w:val="00B0637D"/>
    <w:rsid w:val="00B07B4B"/>
    <w:rsid w:val="00B07C99"/>
    <w:rsid w:val="00B07D50"/>
    <w:rsid w:val="00B1287C"/>
    <w:rsid w:val="00B15442"/>
    <w:rsid w:val="00B20976"/>
    <w:rsid w:val="00B21472"/>
    <w:rsid w:val="00B22673"/>
    <w:rsid w:val="00B22723"/>
    <w:rsid w:val="00B24940"/>
    <w:rsid w:val="00B2689C"/>
    <w:rsid w:val="00B26D8F"/>
    <w:rsid w:val="00B26DA5"/>
    <w:rsid w:val="00B27A5B"/>
    <w:rsid w:val="00B27E46"/>
    <w:rsid w:val="00B312BC"/>
    <w:rsid w:val="00B31FBC"/>
    <w:rsid w:val="00B32C3A"/>
    <w:rsid w:val="00B34918"/>
    <w:rsid w:val="00B35952"/>
    <w:rsid w:val="00B35AF1"/>
    <w:rsid w:val="00B369EB"/>
    <w:rsid w:val="00B40888"/>
    <w:rsid w:val="00B40C13"/>
    <w:rsid w:val="00B434BC"/>
    <w:rsid w:val="00B4364F"/>
    <w:rsid w:val="00B43A72"/>
    <w:rsid w:val="00B45189"/>
    <w:rsid w:val="00B4560A"/>
    <w:rsid w:val="00B505A6"/>
    <w:rsid w:val="00B50708"/>
    <w:rsid w:val="00B519DC"/>
    <w:rsid w:val="00B52FC2"/>
    <w:rsid w:val="00B5409F"/>
    <w:rsid w:val="00B5418E"/>
    <w:rsid w:val="00B551CC"/>
    <w:rsid w:val="00B55946"/>
    <w:rsid w:val="00B60341"/>
    <w:rsid w:val="00B618B2"/>
    <w:rsid w:val="00B672C3"/>
    <w:rsid w:val="00B677AA"/>
    <w:rsid w:val="00B7057D"/>
    <w:rsid w:val="00B705B8"/>
    <w:rsid w:val="00B71194"/>
    <w:rsid w:val="00B72FD3"/>
    <w:rsid w:val="00B73508"/>
    <w:rsid w:val="00B7372B"/>
    <w:rsid w:val="00B76612"/>
    <w:rsid w:val="00B7784E"/>
    <w:rsid w:val="00B77F3D"/>
    <w:rsid w:val="00B81572"/>
    <w:rsid w:val="00B82428"/>
    <w:rsid w:val="00B8376B"/>
    <w:rsid w:val="00B84AE3"/>
    <w:rsid w:val="00B858C1"/>
    <w:rsid w:val="00B86065"/>
    <w:rsid w:val="00B868C7"/>
    <w:rsid w:val="00B86F3C"/>
    <w:rsid w:val="00B87815"/>
    <w:rsid w:val="00B87B90"/>
    <w:rsid w:val="00B90E92"/>
    <w:rsid w:val="00B90ED5"/>
    <w:rsid w:val="00B912EE"/>
    <w:rsid w:val="00B9138B"/>
    <w:rsid w:val="00B91587"/>
    <w:rsid w:val="00B92AA7"/>
    <w:rsid w:val="00B938BA"/>
    <w:rsid w:val="00B93D1E"/>
    <w:rsid w:val="00B96CBF"/>
    <w:rsid w:val="00B96F90"/>
    <w:rsid w:val="00BA0185"/>
    <w:rsid w:val="00BA02A8"/>
    <w:rsid w:val="00BA1752"/>
    <w:rsid w:val="00BA18B4"/>
    <w:rsid w:val="00BA198A"/>
    <w:rsid w:val="00BA1B44"/>
    <w:rsid w:val="00BA3624"/>
    <w:rsid w:val="00BA37F4"/>
    <w:rsid w:val="00BA3F71"/>
    <w:rsid w:val="00BA4170"/>
    <w:rsid w:val="00BA4D1A"/>
    <w:rsid w:val="00BA5DB0"/>
    <w:rsid w:val="00BA76A5"/>
    <w:rsid w:val="00BA7B71"/>
    <w:rsid w:val="00BB2D3E"/>
    <w:rsid w:val="00BB371E"/>
    <w:rsid w:val="00BB456E"/>
    <w:rsid w:val="00BB5D1B"/>
    <w:rsid w:val="00BB6B15"/>
    <w:rsid w:val="00BC0FF9"/>
    <w:rsid w:val="00BC1C50"/>
    <w:rsid w:val="00BC3182"/>
    <w:rsid w:val="00BC5067"/>
    <w:rsid w:val="00BC53AC"/>
    <w:rsid w:val="00BC5E12"/>
    <w:rsid w:val="00BC7A08"/>
    <w:rsid w:val="00BD205C"/>
    <w:rsid w:val="00BD2251"/>
    <w:rsid w:val="00BD2701"/>
    <w:rsid w:val="00BD2CD2"/>
    <w:rsid w:val="00BD6F4A"/>
    <w:rsid w:val="00BE0579"/>
    <w:rsid w:val="00BE2A36"/>
    <w:rsid w:val="00BE2CD7"/>
    <w:rsid w:val="00BE7249"/>
    <w:rsid w:val="00BF2336"/>
    <w:rsid w:val="00BF2788"/>
    <w:rsid w:val="00BF301D"/>
    <w:rsid w:val="00BF3B19"/>
    <w:rsid w:val="00BF49A6"/>
    <w:rsid w:val="00BF64EA"/>
    <w:rsid w:val="00C00E0A"/>
    <w:rsid w:val="00C01D25"/>
    <w:rsid w:val="00C03113"/>
    <w:rsid w:val="00C033DE"/>
    <w:rsid w:val="00C04E72"/>
    <w:rsid w:val="00C12367"/>
    <w:rsid w:val="00C131A2"/>
    <w:rsid w:val="00C15AC4"/>
    <w:rsid w:val="00C16137"/>
    <w:rsid w:val="00C172EB"/>
    <w:rsid w:val="00C2261D"/>
    <w:rsid w:val="00C226F1"/>
    <w:rsid w:val="00C22817"/>
    <w:rsid w:val="00C23D28"/>
    <w:rsid w:val="00C241DA"/>
    <w:rsid w:val="00C243E7"/>
    <w:rsid w:val="00C273DF"/>
    <w:rsid w:val="00C3024D"/>
    <w:rsid w:val="00C30BCD"/>
    <w:rsid w:val="00C31A55"/>
    <w:rsid w:val="00C320FD"/>
    <w:rsid w:val="00C35481"/>
    <w:rsid w:val="00C3598F"/>
    <w:rsid w:val="00C37099"/>
    <w:rsid w:val="00C42A68"/>
    <w:rsid w:val="00C42BFA"/>
    <w:rsid w:val="00C448BB"/>
    <w:rsid w:val="00C45672"/>
    <w:rsid w:val="00C45A4E"/>
    <w:rsid w:val="00C45F73"/>
    <w:rsid w:val="00C47131"/>
    <w:rsid w:val="00C47575"/>
    <w:rsid w:val="00C47678"/>
    <w:rsid w:val="00C502A3"/>
    <w:rsid w:val="00C5144D"/>
    <w:rsid w:val="00C54C14"/>
    <w:rsid w:val="00C56344"/>
    <w:rsid w:val="00C568A0"/>
    <w:rsid w:val="00C56A77"/>
    <w:rsid w:val="00C63C0B"/>
    <w:rsid w:val="00C63D0E"/>
    <w:rsid w:val="00C63DF9"/>
    <w:rsid w:val="00C64BE0"/>
    <w:rsid w:val="00C66657"/>
    <w:rsid w:val="00C66C55"/>
    <w:rsid w:val="00C71773"/>
    <w:rsid w:val="00C71DC0"/>
    <w:rsid w:val="00C7536E"/>
    <w:rsid w:val="00C7543A"/>
    <w:rsid w:val="00C75613"/>
    <w:rsid w:val="00C7605A"/>
    <w:rsid w:val="00C76DC2"/>
    <w:rsid w:val="00C76E8F"/>
    <w:rsid w:val="00C77A53"/>
    <w:rsid w:val="00C81FFB"/>
    <w:rsid w:val="00C82683"/>
    <w:rsid w:val="00C84F15"/>
    <w:rsid w:val="00C862D1"/>
    <w:rsid w:val="00C923F3"/>
    <w:rsid w:val="00C9263F"/>
    <w:rsid w:val="00C93802"/>
    <w:rsid w:val="00C944C5"/>
    <w:rsid w:val="00C946F9"/>
    <w:rsid w:val="00C96EC6"/>
    <w:rsid w:val="00CA1B4A"/>
    <w:rsid w:val="00CA2790"/>
    <w:rsid w:val="00CA41C3"/>
    <w:rsid w:val="00CA5D53"/>
    <w:rsid w:val="00CB676E"/>
    <w:rsid w:val="00CB67A9"/>
    <w:rsid w:val="00CC0ECF"/>
    <w:rsid w:val="00CC2FA1"/>
    <w:rsid w:val="00CC4A76"/>
    <w:rsid w:val="00CC5280"/>
    <w:rsid w:val="00CC6002"/>
    <w:rsid w:val="00CC608E"/>
    <w:rsid w:val="00CC68E6"/>
    <w:rsid w:val="00CC69B2"/>
    <w:rsid w:val="00CC70EE"/>
    <w:rsid w:val="00CD026B"/>
    <w:rsid w:val="00CD0FD1"/>
    <w:rsid w:val="00CD1B8C"/>
    <w:rsid w:val="00CD2542"/>
    <w:rsid w:val="00CD43EB"/>
    <w:rsid w:val="00CD50FF"/>
    <w:rsid w:val="00CD526C"/>
    <w:rsid w:val="00CD68D6"/>
    <w:rsid w:val="00CD74F9"/>
    <w:rsid w:val="00CD7E08"/>
    <w:rsid w:val="00CD7F10"/>
    <w:rsid w:val="00CE0A4C"/>
    <w:rsid w:val="00CE2107"/>
    <w:rsid w:val="00CE22FD"/>
    <w:rsid w:val="00CE25E4"/>
    <w:rsid w:val="00CE260F"/>
    <w:rsid w:val="00CE3024"/>
    <w:rsid w:val="00CF4F89"/>
    <w:rsid w:val="00CF5FFB"/>
    <w:rsid w:val="00D0211D"/>
    <w:rsid w:val="00D0287C"/>
    <w:rsid w:val="00D037C5"/>
    <w:rsid w:val="00D04884"/>
    <w:rsid w:val="00D04C97"/>
    <w:rsid w:val="00D05DD4"/>
    <w:rsid w:val="00D065A7"/>
    <w:rsid w:val="00D06C91"/>
    <w:rsid w:val="00D06EFD"/>
    <w:rsid w:val="00D070AF"/>
    <w:rsid w:val="00D07355"/>
    <w:rsid w:val="00D1073F"/>
    <w:rsid w:val="00D11F6B"/>
    <w:rsid w:val="00D1380B"/>
    <w:rsid w:val="00D14380"/>
    <w:rsid w:val="00D1478D"/>
    <w:rsid w:val="00D17512"/>
    <w:rsid w:val="00D17803"/>
    <w:rsid w:val="00D206DB"/>
    <w:rsid w:val="00D208C4"/>
    <w:rsid w:val="00D2375F"/>
    <w:rsid w:val="00D23DB9"/>
    <w:rsid w:val="00D24C02"/>
    <w:rsid w:val="00D255D2"/>
    <w:rsid w:val="00D25E5A"/>
    <w:rsid w:val="00D32847"/>
    <w:rsid w:val="00D330C6"/>
    <w:rsid w:val="00D3493E"/>
    <w:rsid w:val="00D34A60"/>
    <w:rsid w:val="00D357F6"/>
    <w:rsid w:val="00D36EE1"/>
    <w:rsid w:val="00D40AC6"/>
    <w:rsid w:val="00D4126A"/>
    <w:rsid w:val="00D4424C"/>
    <w:rsid w:val="00D443FD"/>
    <w:rsid w:val="00D44A0A"/>
    <w:rsid w:val="00D44BF6"/>
    <w:rsid w:val="00D47375"/>
    <w:rsid w:val="00D5020A"/>
    <w:rsid w:val="00D51121"/>
    <w:rsid w:val="00D53EB5"/>
    <w:rsid w:val="00D54E74"/>
    <w:rsid w:val="00D551DF"/>
    <w:rsid w:val="00D56524"/>
    <w:rsid w:val="00D56603"/>
    <w:rsid w:val="00D62C73"/>
    <w:rsid w:val="00D63481"/>
    <w:rsid w:val="00D636F9"/>
    <w:rsid w:val="00D6462A"/>
    <w:rsid w:val="00D67105"/>
    <w:rsid w:val="00D67669"/>
    <w:rsid w:val="00D67998"/>
    <w:rsid w:val="00D7093E"/>
    <w:rsid w:val="00D712D9"/>
    <w:rsid w:val="00D7341E"/>
    <w:rsid w:val="00D8130C"/>
    <w:rsid w:val="00D81F0B"/>
    <w:rsid w:val="00D820EE"/>
    <w:rsid w:val="00D82AAA"/>
    <w:rsid w:val="00D83AFC"/>
    <w:rsid w:val="00D83B52"/>
    <w:rsid w:val="00D84D90"/>
    <w:rsid w:val="00D8624A"/>
    <w:rsid w:val="00D872A6"/>
    <w:rsid w:val="00D877B6"/>
    <w:rsid w:val="00D91E13"/>
    <w:rsid w:val="00D93C89"/>
    <w:rsid w:val="00D94424"/>
    <w:rsid w:val="00DA03AA"/>
    <w:rsid w:val="00DA0CA4"/>
    <w:rsid w:val="00DA1849"/>
    <w:rsid w:val="00DA2398"/>
    <w:rsid w:val="00DA3CF7"/>
    <w:rsid w:val="00DA4E77"/>
    <w:rsid w:val="00DB01C5"/>
    <w:rsid w:val="00DB2394"/>
    <w:rsid w:val="00DB27FB"/>
    <w:rsid w:val="00DB5B41"/>
    <w:rsid w:val="00DB5F5E"/>
    <w:rsid w:val="00DB7D48"/>
    <w:rsid w:val="00DC0E65"/>
    <w:rsid w:val="00DC14EC"/>
    <w:rsid w:val="00DC2DCF"/>
    <w:rsid w:val="00DC6ABC"/>
    <w:rsid w:val="00DC7248"/>
    <w:rsid w:val="00DD1280"/>
    <w:rsid w:val="00DD2306"/>
    <w:rsid w:val="00DD3E03"/>
    <w:rsid w:val="00DD452C"/>
    <w:rsid w:val="00DD4A11"/>
    <w:rsid w:val="00DD4AD2"/>
    <w:rsid w:val="00DD5073"/>
    <w:rsid w:val="00DE1948"/>
    <w:rsid w:val="00DE28F7"/>
    <w:rsid w:val="00DE529B"/>
    <w:rsid w:val="00DE59D0"/>
    <w:rsid w:val="00DE6774"/>
    <w:rsid w:val="00DF08DC"/>
    <w:rsid w:val="00DF0B7B"/>
    <w:rsid w:val="00DF30B8"/>
    <w:rsid w:val="00DF389F"/>
    <w:rsid w:val="00DF3A64"/>
    <w:rsid w:val="00DF3F5B"/>
    <w:rsid w:val="00DF426F"/>
    <w:rsid w:val="00DF43DF"/>
    <w:rsid w:val="00DF4545"/>
    <w:rsid w:val="00DF70C0"/>
    <w:rsid w:val="00DF72BB"/>
    <w:rsid w:val="00DF7567"/>
    <w:rsid w:val="00DF7CA2"/>
    <w:rsid w:val="00E002FC"/>
    <w:rsid w:val="00E0057C"/>
    <w:rsid w:val="00E005E5"/>
    <w:rsid w:val="00E02C3D"/>
    <w:rsid w:val="00E037E7"/>
    <w:rsid w:val="00E03982"/>
    <w:rsid w:val="00E0463F"/>
    <w:rsid w:val="00E05808"/>
    <w:rsid w:val="00E0703E"/>
    <w:rsid w:val="00E070E6"/>
    <w:rsid w:val="00E11544"/>
    <w:rsid w:val="00E1178C"/>
    <w:rsid w:val="00E12655"/>
    <w:rsid w:val="00E12DB3"/>
    <w:rsid w:val="00E178F6"/>
    <w:rsid w:val="00E17925"/>
    <w:rsid w:val="00E2025A"/>
    <w:rsid w:val="00E21453"/>
    <w:rsid w:val="00E23B7A"/>
    <w:rsid w:val="00E25D11"/>
    <w:rsid w:val="00E25F67"/>
    <w:rsid w:val="00E26BF1"/>
    <w:rsid w:val="00E31155"/>
    <w:rsid w:val="00E31AC4"/>
    <w:rsid w:val="00E31CB4"/>
    <w:rsid w:val="00E3276A"/>
    <w:rsid w:val="00E345E8"/>
    <w:rsid w:val="00E35F20"/>
    <w:rsid w:val="00E36DEE"/>
    <w:rsid w:val="00E4287F"/>
    <w:rsid w:val="00E42D8A"/>
    <w:rsid w:val="00E44966"/>
    <w:rsid w:val="00E45C3E"/>
    <w:rsid w:val="00E50C9E"/>
    <w:rsid w:val="00E51CA6"/>
    <w:rsid w:val="00E5371B"/>
    <w:rsid w:val="00E53ABD"/>
    <w:rsid w:val="00E5431F"/>
    <w:rsid w:val="00E54460"/>
    <w:rsid w:val="00E54673"/>
    <w:rsid w:val="00E57AEF"/>
    <w:rsid w:val="00E606D1"/>
    <w:rsid w:val="00E61E35"/>
    <w:rsid w:val="00E62137"/>
    <w:rsid w:val="00E62640"/>
    <w:rsid w:val="00E63D3F"/>
    <w:rsid w:val="00E664F4"/>
    <w:rsid w:val="00E71309"/>
    <w:rsid w:val="00E72077"/>
    <w:rsid w:val="00E748C3"/>
    <w:rsid w:val="00E757AD"/>
    <w:rsid w:val="00E75B36"/>
    <w:rsid w:val="00E76266"/>
    <w:rsid w:val="00E7747A"/>
    <w:rsid w:val="00E77B0A"/>
    <w:rsid w:val="00E81591"/>
    <w:rsid w:val="00E82716"/>
    <w:rsid w:val="00E83808"/>
    <w:rsid w:val="00E83B83"/>
    <w:rsid w:val="00E84A85"/>
    <w:rsid w:val="00E855ED"/>
    <w:rsid w:val="00E86F8F"/>
    <w:rsid w:val="00E90906"/>
    <w:rsid w:val="00E90F2E"/>
    <w:rsid w:val="00E92134"/>
    <w:rsid w:val="00E930EB"/>
    <w:rsid w:val="00E962E9"/>
    <w:rsid w:val="00E96657"/>
    <w:rsid w:val="00EA2C24"/>
    <w:rsid w:val="00EA3DF2"/>
    <w:rsid w:val="00EA4AF9"/>
    <w:rsid w:val="00EA574A"/>
    <w:rsid w:val="00EA737C"/>
    <w:rsid w:val="00EA7698"/>
    <w:rsid w:val="00EB03A6"/>
    <w:rsid w:val="00EB1726"/>
    <w:rsid w:val="00EB252E"/>
    <w:rsid w:val="00EB3858"/>
    <w:rsid w:val="00EB3EEC"/>
    <w:rsid w:val="00EB4E32"/>
    <w:rsid w:val="00EB59E1"/>
    <w:rsid w:val="00EB654F"/>
    <w:rsid w:val="00EB6C09"/>
    <w:rsid w:val="00EB71BD"/>
    <w:rsid w:val="00EB7A1D"/>
    <w:rsid w:val="00EC49D3"/>
    <w:rsid w:val="00EC6485"/>
    <w:rsid w:val="00EC6808"/>
    <w:rsid w:val="00ED12F3"/>
    <w:rsid w:val="00ED2534"/>
    <w:rsid w:val="00ED3A86"/>
    <w:rsid w:val="00ED4166"/>
    <w:rsid w:val="00ED536B"/>
    <w:rsid w:val="00ED7640"/>
    <w:rsid w:val="00EE18F5"/>
    <w:rsid w:val="00EE232B"/>
    <w:rsid w:val="00EE2B55"/>
    <w:rsid w:val="00EE301C"/>
    <w:rsid w:val="00EE3DA0"/>
    <w:rsid w:val="00EE5B7C"/>
    <w:rsid w:val="00EE7CCA"/>
    <w:rsid w:val="00EF3CF9"/>
    <w:rsid w:val="00EF46C9"/>
    <w:rsid w:val="00EF531C"/>
    <w:rsid w:val="00EF5A7D"/>
    <w:rsid w:val="00EF7CB1"/>
    <w:rsid w:val="00F00F0E"/>
    <w:rsid w:val="00F0508B"/>
    <w:rsid w:val="00F06BD0"/>
    <w:rsid w:val="00F07366"/>
    <w:rsid w:val="00F171D4"/>
    <w:rsid w:val="00F17C31"/>
    <w:rsid w:val="00F23DCA"/>
    <w:rsid w:val="00F24897"/>
    <w:rsid w:val="00F248B7"/>
    <w:rsid w:val="00F275DF"/>
    <w:rsid w:val="00F303AC"/>
    <w:rsid w:val="00F31DEE"/>
    <w:rsid w:val="00F36FD4"/>
    <w:rsid w:val="00F37C61"/>
    <w:rsid w:val="00F41D0F"/>
    <w:rsid w:val="00F42374"/>
    <w:rsid w:val="00F4294E"/>
    <w:rsid w:val="00F43080"/>
    <w:rsid w:val="00F435B4"/>
    <w:rsid w:val="00F4471D"/>
    <w:rsid w:val="00F44997"/>
    <w:rsid w:val="00F4560E"/>
    <w:rsid w:val="00F45F2C"/>
    <w:rsid w:val="00F45FF1"/>
    <w:rsid w:val="00F5018E"/>
    <w:rsid w:val="00F5023E"/>
    <w:rsid w:val="00F52A22"/>
    <w:rsid w:val="00F54C0A"/>
    <w:rsid w:val="00F57321"/>
    <w:rsid w:val="00F636BB"/>
    <w:rsid w:val="00F64C8D"/>
    <w:rsid w:val="00F67FFD"/>
    <w:rsid w:val="00F71363"/>
    <w:rsid w:val="00F71739"/>
    <w:rsid w:val="00F71ACA"/>
    <w:rsid w:val="00F71DE7"/>
    <w:rsid w:val="00F72B4B"/>
    <w:rsid w:val="00F72D05"/>
    <w:rsid w:val="00F7525E"/>
    <w:rsid w:val="00F76AE0"/>
    <w:rsid w:val="00F77C95"/>
    <w:rsid w:val="00F808EE"/>
    <w:rsid w:val="00F80BD5"/>
    <w:rsid w:val="00F80EC3"/>
    <w:rsid w:val="00F8140D"/>
    <w:rsid w:val="00F81715"/>
    <w:rsid w:val="00F81F27"/>
    <w:rsid w:val="00F84B8D"/>
    <w:rsid w:val="00F85CF5"/>
    <w:rsid w:val="00F87181"/>
    <w:rsid w:val="00F9136C"/>
    <w:rsid w:val="00F917B6"/>
    <w:rsid w:val="00F94745"/>
    <w:rsid w:val="00F9478E"/>
    <w:rsid w:val="00F950F2"/>
    <w:rsid w:val="00F95859"/>
    <w:rsid w:val="00F95B47"/>
    <w:rsid w:val="00F971C4"/>
    <w:rsid w:val="00FA0BA8"/>
    <w:rsid w:val="00FA1080"/>
    <w:rsid w:val="00FA249B"/>
    <w:rsid w:val="00FA27C5"/>
    <w:rsid w:val="00FA29B7"/>
    <w:rsid w:val="00FB1093"/>
    <w:rsid w:val="00FB18B0"/>
    <w:rsid w:val="00FB1D89"/>
    <w:rsid w:val="00FB30B3"/>
    <w:rsid w:val="00FB461C"/>
    <w:rsid w:val="00FC0BB7"/>
    <w:rsid w:val="00FC2676"/>
    <w:rsid w:val="00FC389C"/>
    <w:rsid w:val="00FC4FD7"/>
    <w:rsid w:val="00FC5AEF"/>
    <w:rsid w:val="00FC62C0"/>
    <w:rsid w:val="00FC65EE"/>
    <w:rsid w:val="00FC7FA9"/>
    <w:rsid w:val="00FD161C"/>
    <w:rsid w:val="00FD1F5F"/>
    <w:rsid w:val="00FD1F6C"/>
    <w:rsid w:val="00FD41BB"/>
    <w:rsid w:val="00FD46B1"/>
    <w:rsid w:val="00FD684F"/>
    <w:rsid w:val="00FD6FD5"/>
    <w:rsid w:val="00FD73F9"/>
    <w:rsid w:val="00FE0FFD"/>
    <w:rsid w:val="00FE129E"/>
    <w:rsid w:val="00FE2E5C"/>
    <w:rsid w:val="00FE6E4F"/>
    <w:rsid w:val="00FF1098"/>
    <w:rsid w:val="00FF21FB"/>
    <w:rsid w:val="00FF23ED"/>
    <w:rsid w:val="00FF2574"/>
    <w:rsid w:val="00FF3278"/>
    <w:rsid w:val="00FF51C6"/>
    <w:rsid w:val="00FF54D1"/>
    <w:rsid w:val="00FF5639"/>
    <w:rsid w:val="00FF5F5F"/>
    <w:rsid w:val="00FF666D"/>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00F9"/>
  <w15:chartTrackingRefBased/>
  <w15:docId w15:val="{66B765D6-8B88-49CE-BAD1-15A402AC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BD"/>
  </w:style>
  <w:style w:type="paragraph" w:styleId="Ttulo1">
    <w:name w:val="heading 1"/>
    <w:basedOn w:val="Normal"/>
    <w:link w:val="Ttulo1Char"/>
    <w:uiPriority w:val="9"/>
    <w:qFormat/>
    <w:rsid w:val="00F8140D"/>
    <w:pPr>
      <w:spacing w:before="100" w:beforeAutospacing="1" w:after="100" w:afterAutospacing="1" w:line="240" w:lineRule="auto"/>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9F5BC0"/>
  </w:style>
  <w:style w:type="paragraph" w:styleId="Textodenotaderodap">
    <w:name w:val="footnote text"/>
    <w:basedOn w:val="Normal"/>
    <w:link w:val="TextodenotaderodapChar"/>
    <w:uiPriority w:val="99"/>
    <w:semiHidden/>
    <w:unhideWhenUsed/>
    <w:rsid w:val="009D010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D0102"/>
    <w:rPr>
      <w:sz w:val="20"/>
      <w:szCs w:val="20"/>
    </w:rPr>
  </w:style>
  <w:style w:type="character" w:styleId="Refdenotaderodap">
    <w:name w:val="footnote reference"/>
    <w:basedOn w:val="Fontepargpadro"/>
    <w:uiPriority w:val="99"/>
    <w:semiHidden/>
    <w:unhideWhenUsed/>
    <w:rsid w:val="009D0102"/>
    <w:rPr>
      <w:vertAlign w:val="superscript"/>
    </w:rPr>
  </w:style>
  <w:style w:type="paragraph" w:styleId="NormalWeb">
    <w:name w:val="Normal (Web)"/>
    <w:basedOn w:val="Normal"/>
    <w:uiPriority w:val="99"/>
    <w:unhideWhenUsed/>
    <w:rsid w:val="00F41D0F"/>
    <w:pPr>
      <w:spacing w:before="100" w:beforeAutospacing="1" w:after="100" w:afterAutospacing="1" w:line="240" w:lineRule="auto"/>
    </w:pPr>
    <w:rPr>
      <w:rFonts w:eastAsia="Times New Roman"/>
      <w:szCs w:val="24"/>
      <w:lang w:eastAsia="pt-BR"/>
    </w:rPr>
  </w:style>
  <w:style w:type="character" w:customStyle="1" w:styleId="mw-mmv-title">
    <w:name w:val="mw-mmv-title"/>
    <w:basedOn w:val="Fontepargpadro"/>
    <w:rsid w:val="00F41D0F"/>
  </w:style>
  <w:style w:type="table" w:styleId="Tabelacomgrade">
    <w:name w:val="Table Grid"/>
    <w:basedOn w:val="Tabelanormal"/>
    <w:uiPriority w:val="59"/>
    <w:rsid w:val="00F4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17C31"/>
    <w:rPr>
      <w:color w:val="0000FF"/>
      <w:u w:val="single"/>
    </w:rPr>
  </w:style>
  <w:style w:type="paragraph" w:customStyle="1" w:styleId="Default">
    <w:name w:val="Default"/>
    <w:rsid w:val="007522F3"/>
    <w:pPr>
      <w:autoSpaceDE w:val="0"/>
      <w:autoSpaceDN w:val="0"/>
      <w:adjustRightInd w:val="0"/>
      <w:spacing w:after="0" w:line="240" w:lineRule="auto"/>
    </w:pPr>
    <w:rPr>
      <w:color w:val="000000"/>
      <w:szCs w:val="24"/>
    </w:rPr>
  </w:style>
  <w:style w:type="character" w:styleId="Forte">
    <w:name w:val="Strong"/>
    <w:basedOn w:val="Fontepargpadro"/>
    <w:uiPriority w:val="22"/>
    <w:qFormat/>
    <w:rsid w:val="00246507"/>
    <w:rPr>
      <w:b/>
      <w:bCs/>
    </w:rPr>
  </w:style>
  <w:style w:type="character" w:customStyle="1" w:styleId="st">
    <w:name w:val="st"/>
    <w:basedOn w:val="Fontepargpadro"/>
    <w:rsid w:val="0019784B"/>
  </w:style>
  <w:style w:type="character" w:customStyle="1" w:styleId="Ttulo1Char">
    <w:name w:val="Título 1 Char"/>
    <w:basedOn w:val="Fontepargpadro"/>
    <w:link w:val="Ttulo1"/>
    <w:uiPriority w:val="9"/>
    <w:rsid w:val="00F8140D"/>
    <w:rPr>
      <w:rFonts w:eastAsia="Times New Roman"/>
      <w:b/>
      <w:bCs/>
      <w:kern w:val="36"/>
      <w:sz w:val="48"/>
      <w:szCs w:val="48"/>
      <w:lang w:eastAsia="pt-BR"/>
    </w:rPr>
  </w:style>
  <w:style w:type="paragraph" w:styleId="Textodebalo">
    <w:name w:val="Balloon Text"/>
    <w:basedOn w:val="Normal"/>
    <w:link w:val="TextodebaloChar"/>
    <w:uiPriority w:val="99"/>
    <w:semiHidden/>
    <w:unhideWhenUsed/>
    <w:rsid w:val="00F814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40D"/>
    <w:rPr>
      <w:rFonts w:ascii="Segoe UI" w:hAnsi="Segoe UI" w:cs="Segoe UI"/>
      <w:sz w:val="18"/>
      <w:szCs w:val="18"/>
    </w:rPr>
  </w:style>
  <w:style w:type="character" w:styleId="TextodoEspaoReservado">
    <w:name w:val="Placeholder Text"/>
    <w:basedOn w:val="Fontepargpadro"/>
    <w:uiPriority w:val="99"/>
    <w:semiHidden/>
    <w:rsid w:val="0017539F"/>
    <w:rPr>
      <w:color w:val="808080"/>
    </w:rPr>
  </w:style>
  <w:style w:type="table" w:customStyle="1" w:styleId="Tabelacomgrade1">
    <w:name w:val="Tabela com grade1"/>
    <w:basedOn w:val="Tabelanormal"/>
    <w:next w:val="Tabelacomgrade"/>
    <w:uiPriority w:val="39"/>
    <w:rsid w:val="00185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F21FB"/>
    <w:pPr>
      <w:ind w:left="720"/>
      <w:contextualSpacing/>
    </w:pPr>
  </w:style>
  <w:style w:type="character" w:styleId="HiperlinkVisitado">
    <w:name w:val="FollowedHyperlink"/>
    <w:basedOn w:val="Fontepargpadro"/>
    <w:uiPriority w:val="99"/>
    <w:semiHidden/>
    <w:unhideWhenUsed/>
    <w:rsid w:val="00C45F73"/>
    <w:rPr>
      <w:color w:val="954F72" w:themeColor="followedHyperlink"/>
      <w:u w:val="single"/>
    </w:rPr>
  </w:style>
  <w:style w:type="paragraph" w:styleId="Cabealho">
    <w:name w:val="header"/>
    <w:basedOn w:val="Normal"/>
    <w:link w:val="CabealhoChar"/>
    <w:uiPriority w:val="99"/>
    <w:unhideWhenUsed/>
    <w:rsid w:val="00C456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5672"/>
  </w:style>
  <w:style w:type="paragraph" w:styleId="Rodap">
    <w:name w:val="footer"/>
    <w:basedOn w:val="Normal"/>
    <w:link w:val="RodapChar"/>
    <w:uiPriority w:val="99"/>
    <w:unhideWhenUsed/>
    <w:rsid w:val="00C45672"/>
    <w:pPr>
      <w:tabs>
        <w:tab w:val="center" w:pos="4252"/>
        <w:tab w:val="right" w:pos="8504"/>
      </w:tabs>
      <w:spacing w:after="0" w:line="240" w:lineRule="auto"/>
    </w:pPr>
  </w:style>
  <w:style w:type="character" w:customStyle="1" w:styleId="RodapChar">
    <w:name w:val="Rodapé Char"/>
    <w:basedOn w:val="Fontepargpadro"/>
    <w:link w:val="Rodap"/>
    <w:uiPriority w:val="99"/>
    <w:rsid w:val="00C45672"/>
  </w:style>
  <w:style w:type="character" w:styleId="Nmerodelinha">
    <w:name w:val="line number"/>
    <w:basedOn w:val="Fontepargpadro"/>
    <w:uiPriority w:val="99"/>
    <w:semiHidden/>
    <w:unhideWhenUsed/>
    <w:rsid w:val="0024583B"/>
  </w:style>
  <w:style w:type="character" w:customStyle="1" w:styleId="video-url-fadeable">
    <w:name w:val="video-url-fadeable"/>
    <w:basedOn w:val="Fontepargpadro"/>
    <w:rsid w:val="0041408C"/>
  </w:style>
  <w:style w:type="character" w:styleId="MenoPendente">
    <w:name w:val="Unresolved Mention"/>
    <w:basedOn w:val="Fontepargpadro"/>
    <w:uiPriority w:val="99"/>
    <w:semiHidden/>
    <w:unhideWhenUsed/>
    <w:rsid w:val="00C4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269">
      <w:bodyDiv w:val="1"/>
      <w:marLeft w:val="0"/>
      <w:marRight w:val="0"/>
      <w:marTop w:val="0"/>
      <w:marBottom w:val="0"/>
      <w:divBdr>
        <w:top w:val="none" w:sz="0" w:space="0" w:color="auto"/>
        <w:left w:val="none" w:sz="0" w:space="0" w:color="auto"/>
        <w:bottom w:val="none" w:sz="0" w:space="0" w:color="auto"/>
        <w:right w:val="none" w:sz="0" w:space="0" w:color="auto"/>
      </w:divBdr>
    </w:div>
    <w:div w:id="66416549">
      <w:bodyDiv w:val="1"/>
      <w:marLeft w:val="0"/>
      <w:marRight w:val="0"/>
      <w:marTop w:val="0"/>
      <w:marBottom w:val="0"/>
      <w:divBdr>
        <w:top w:val="none" w:sz="0" w:space="0" w:color="auto"/>
        <w:left w:val="none" w:sz="0" w:space="0" w:color="auto"/>
        <w:bottom w:val="none" w:sz="0" w:space="0" w:color="auto"/>
        <w:right w:val="none" w:sz="0" w:space="0" w:color="auto"/>
      </w:divBdr>
    </w:div>
    <w:div w:id="193350307">
      <w:bodyDiv w:val="1"/>
      <w:marLeft w:val="0"/>
      <w:marRight w:val="0"/>
      <w:marTop w:val="0"/>
      <w:marBottom w:val="0"/>
      <w:divBdr>
        <w:top w:val="none" w:sz="0" w:space="0" w:color="auto"/>
        <w:left w:val="none" w:sz="0" w:space="0" w:color="auto"/>
        <w:bottom w:val="none" w:sz="0" w:space="0" w:color="auto"/>
        <w:right w:val="none" w:sz="0" w:space="0" w:color="auto"/>
      </w:divBdr>
      <w:divsChild>
        <w:div w:id="210845761">
          <w:marLeft w:val="0"/>
          <w:marRight w:val="0"/>
          <w:marTop w:val="0"/>
          <w:marBottom w:val="0"/>
          <w:divBdr>
            <w:top w:val="none" w:sz="0" w:space="0" w:color="auto"/>
            <w:left w:val="none" w:sz="0" w:space="0" w:color="auto"/>
            <w:bottom w:val="none" w:sz="0" w:space="0" w:color="auto"/>
            <w:right w:val="none" w:sz="0" w:space="0" w:color="auto"/>
          </w:divBdr>
        </w:div>
      </w:divsChild>
    </w:div>
    <w:div w:id="232938183">
      <w:bodyDiv w:val="1"/>
      <w:marLeft w:val="0"/>
      <w:marRight w:val="0"/>
      <w:marTop w:val="0"/>
      <w:marBottom w:val="0"/>
      <w:divBdr>
        <w:top w:val="none" w:sz="0" w:space="0" w:color="auto"/>
        <w:left w:val="none" w:sz="0" w:space="0" w:color="auto"/>
        <w:bottom w:val="none" w:sz="0" w:space="0" w:color="auto"/>
        <w:right w:val="none" w:sz="0" w:space="0" w:color="auto"/>
      </w:divBdr>
    </w:div>
    <w:div w:id="244263820">
      <w:bodyDiv w:val="1"/>
      <w:marLeft w:val="0"/>
      <w:marRight w:val="0"/>
      <w:marTop w:val="0"/>
      <w:marBottom w:val="0"/>
      <w:divBdr>
        <w:top w:val="none" w:sz="0" w:space="0" w:color="auto"/>
        <w:left w:val="none" w:sz="0" w:space="0" w:color="auto"/>
        <w:bottom w:val="none" w:sz="0" w:space="0" w:color="auto"/>
        <w:right w:val="none" w:sz="0" w:space="0" w:color="auto"/>
      </w:divBdr>
    </w:div>
    <w:div w:id="299458216">
      <w:bodyDiv w:val="1"/>
      <w:marLeft w:val="0"/>
      <w:marRight w:val="0"/>
      <w:marTop w:val="0"/>
      <w:marBottom w:val="0"/>
      <w:divBdr>
        <w:top w:val="none" w:sz="0" w:space="0" w:color="auto"/>
        <w:left w:val="none" w:sz="0" w:space="0" w:color="auto"/>
        <w:bottom w:val="none" w:sz="0" w:space="0" w:color="auto"/>
        <w:right w:val="none" w:sz="0" w:space="0" w:color="auto"/>
      </w:divBdr>
    </w:div>
    <w:div w:id="446508766">
      <w:bodyDiv w:val="1"/>
      <w:marLeft w:val="0"/>
      <w:marRight w:val="0"/>
      <w:marTop w:val="0"/>
      <w:marBottom w:val="0"/>
      <w:divBdr>
        <w:top w:val="none" w:sz="0" w:space="0" w:color="auto"/>
        <w:left w:val="none" w:sz="0" w:space="0" w:color="auto"/>
        <w:bottom w:val="none" w:sz="0" w:space="0" w:color="auto"/>
        <w:right w:val="none" w:sz="0" w:space="0" w:color="auto"/>
      </w:divBdr>
      <w:divsChild>
        <w:div w:id="2067532801">
          <w:marLeft w:val="0"/>
          <w:marRight w:val="0"/>
          <w:marTop w:val="0"/>
          <w:marBottom w:val="0"/>
          <w:divBdr>
            <w:top w:val="none" w:sz="0" w:space="0" w:color="auto"/>
            <w:left w:val="none" w:sz="0" w:space="0" w:color="auto"/>
            <w:bottom w:val="none" w:sz="0" w:space="0" w:color="auto"/>
            <w:right w:val="none" w:sz="0" w:space="0" w:color="auto"/>
          </w:divBdr>
        </w:div>
      </w:divsChild>
    </w:div>
    <w:div w:id="470876270">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7">
          <w:marLeft w:val="0"/>
          <w:marRight w:val="0"/>
          <w:marTop w:val="0"/>
          <w:marBottom w:val="0"/>
          <w:divBdr>
            <w:top w:val="none" w:sz="0" w:space="0" w:color="auto"/>
            <w:left w:val="none" w:sz="0" w:space="0" w:color="auto"/>
            <w:bottom w:val="none" w:sz="0" w:space="0" w:color="auto"/>
            <w:right w:val="none" w:sz="0" w:space="0" w:color="auto"/>
          </w:divBdr>
          <w:divsChild>
            <w:div w:id="2136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5196">
      <w:bodyDiv w:val="1"/>
      <w:marLeft w:val="0"/>
      <w:marRight w:val="0"/>
      <w:marTop w:val="0"/>
      <w:marBottom w:val="0"/>
      <w:divBdr>
        <w:top w:val="none" w:sz="0" w:space="0" w:color="auto"/>
        <w:left w:val="none" w:sz="0" w:space="0" w:color="auto"/>
        <w:bottom w:val="none" w:sz="0" w:space="0" w:color="auto"/>
        <w:right w:val="none" w:sz="0" w:space="0" w:color="auto"/>
      </w:divBdr>
    </w:div>
    <w:div w:id="641235260">
      <w:bodyDiv w:val="1"/>
      <w:marLeft w:val="0"/>
      <w:marRight w:val="0"/>
      <w:marTop w:val="0"/>
      <w:marBottom w:val="0"/>
      <w:divBdr>
        <w:top w:val="none" w:sz="0" w:space="0" w:color="auto"/>
        <w:left w:val="none" w:sz="0" w:space="0" w:color="auto"/>
        <w:bottom w:val="none" w:sz="0" w:space="0" w:color="auto"/>
        <w:right w:val="none" w:sz="0" w:space="0" w:color="auto"/>
      </w:divBdr>
    </w:div>
    <w:div w:id="653294862">
      <w:bodyDiv w:val="1"/>
      <w:marLeft w:val="0"/>
      <w:marRight w:val="0"/>
      <w:marTop w:val="0"/>
      <w:marBottom w:val="0"/>
      <w:divBdr>
        <w:top w:val="none" w:sz="0" w:space="0" w:color="auto"/>
        <w:left w:val="none" w:sz="0" w:space="0" w:color="auto"/>
        <w:bottom w:val="none" w:sz="0" w:space="0" w:color="auto"/>
        <w:right w:val="none" w:sz="0" w:space="0" w:color="auto"/>
      </w:divBdr>
      <w:divsChild>
        <w:div w:id="2138209313">
          <w:marLeft w:val="0"/>
          <w:marRight w:val="0"/>
          <w:marTop w:val="0"/>
          <w:marBottom w:val="0"/>
          <w:divBdr>
            <w:top w:val="none" w:sz="0" w:space="0" w:color="auto"/>
            <w:left w:val="none" w:sz="0" w:space="0" w:color="auto"/>
            <w:bottom w:val="none" w:sz="0" w:space="0" w:color="auto"/>
            <w:right w:val="none" w:sz="0" w:space="0" w:color="auto"/>
          </w:divBdr>
        </w:div>
      </w:divsChild>
    </w:div>
    <w:div w:id="874775473">
      <w:bodyDiv w:val="1"/>
      <w:marLeft w:val="0"/>
      <w:marRight w:val="0"/>
      <w:marTop w:val="0"/>
      <w:marBottom w:val="0"/>
      <w:divBdr>
        <w:top w:val="none" w:sz="0" w:space="0" w:color="auto"/>
        <w:left w:val="none" w:sz="0" w:space="0" w:color="auto"/>
        <w:bottom w:val="none" w:sz="0" w:space="0" w:color="auto"/>
        <w:right w:val="none" w:sz="0" w:space="0" w:color="auto"/>
      </w:divBdr>
    </w:div>
    <w:div w:id="930235148">
      <w:bodyDiv w:val="1"/>
      <w:marLeft w:val="0"/>
      <w:marRight w:val="0"/>
      <w:marTop w:val="0"/>
      <w:marBottom w:val="0"/>
      <w:divBdr>
        <w:top w:val="none" w:sz="0" w:space="0" w:color="auto"/>
        <w:left w:val="none" w:sz="0" w:space="0" w:color="auto"/>
        <w:bottom w:val="none" w:sz="0" w:space="0" w:color="auto"/>
        <w:right w:val="none" w:sz="0" w:space="0" w:color="auto"/>
      </w:divBdr>
    </w:div>
    <w:div w:id="1028213019">
      <w:bodyDiv w:val="1"/>
      <w:marLeft w:val="0"/>
      <w:marRight w:val="0"/>
      <w:marTop w:val="0"/>
      <w:marBottom w:val="0"/>
      <w:divBdr>
        <w:top w:val="none" w:sz="0" w:space="0" w:color="auto"/>
        <w:left w:val="none" w:sz="0" w:space="0" w:color="auto"/>
        <w:bottom w:val="none" w:sz="0" w:space="0" w:color="auto"/>
        <w:right w:val="none" w:sz="0" w:space="0" w:color="auto"/>
      </w:divBdr>
    </w:div>
    <w:div w:id="1031489576">
      <w:bodyDiv w:val="1"/>
      <w:marLeft w:val="0"/>
      <w:marRight w:val="0"/>
      <w:marTop w:val="0"/>
      <w:marBottom w:val="0"/>
      <w:divBdr>
        <w:top w:val="none" w:sz="0" w:space="0" w:color="auto"/>
        <w:left w:val="none" w:sz="0" w:space="0" w:color="auto"/>
        <w:bottom w:val="none" w:sz="0" w:space="0" w:color="auto"/>
        <w:right w:val="none" w:sz="0" w:space="0" w:color="auto"/>
      </w:divBdr>
    </w:div>
    <w:div w:id="1132560065">
      <w:bodyDiv w:val="1"/>
      <w:marLeft w:val="0"/>
      <w:marRight w:val="0"/>
      <w:marTop w:val="0"/>
      <w:marBottom w:val="0"/>
      <w:divBdr>
        <w:top w:val="none" w:sz="0" w:space="0" w:color="auto"/>
        <w:left w:val="none" w:sz="0" w:space="0" w:color="auto"/>
        <w:bottom w:val="none" w:sz="0" w:space="0" w:color="auto"/>
        <w:right w:val="none" w:sz="0" w:space="0" w:color="auto"/>
      </w:divBdr>
    </w:div>
    <w:div w:id="1152327865">
      <w:bodyDiv w:val="1"/>
      <w:marLeft w:val="0"/>
      <w:marRight w:val="0"/>
      <w:marTop w:val="0"/>
      <w:marBottom w:val="0"/>
      <w:divBdr>
        <w:top w:val="none" w:sz="0" w:space="0" w:color="auto"/>
        <w:left w:val="none" w:sz="0" w:space="0" w:color="auto"/>
        <w:bottom w:val="none" w:sz="0" w:space="0" w:color="auto"/>
        <w:right w:val="none" w:sz="0" w:space="0" w:color="auto"/>
      </w:divBdr>
    </w:div>
    <w:div w:id="1359818701">
      <w:bodyDiv w:val="1"/>
      <w:marLeft w:val="0"/>
      <w:marRight w:val="0"/>
      <w:marTop w:val="0"/>
      <w:marBottom w:val="0"/>
      <w:divBdr>
        <w:top w:val="none" w:sz="0" w:space="0" w:color="auto"/>
        <w:left w:val="none" w:sz="0" w:space="0" w:color="auto"/>
        <w:bottom w:val="none" w:sz="0" w:space="0" w:color="auto"/>
        <w:right w:val="none" w:sz="0" w:space="0" w:color="auto"/>
      </w:divBdr>
    </w:div>
    <w:div w:id="1466046240">
      <w:bodyDiv w:val="1"/>
      <w:marLeft w:val="0"/>
      <w:marRight w:val="0"/>
      <w:marTop w:val="0"/>
      <w:marBottom w:val="0"/>
      <w:divBdr>
        <w:top w:val="none" w:sz="0" w:space="0" w:color="auto"/>
        <w:left w:val="none" w:sz="0" w:space="0" w:color="auto"/>
        <w:bottom w:val="none" w:sz="0" w:space="0" w:color="auto"/>
        <w:right w:val="none" w:sz="0" w:space="0" w:color="auto"/>
      </w:divBdr>
    </w:div>
    <w:div w:id="1479375627">
      <w:bodyDiv w:val="1"/>
      <w:marLeft w:val="0"/>
      <w:marRight w:val="0"/>
      <w:marTop w:val="0"/>
      <w:marBottom w:val="0"/>
      <w:divBdr>
        <w:top w:val="none" w:sz="0" w:space="0" w:color="auto"/>
        <w:left w:val="none" w:sz="0" w:space="0" w:color="auto"/>
        <w:bottom w:val="none" w:sz="0" w:space="0" w:color="auto"/>
        <w:right w:val="none" w:sz="0" w:space="0" w:color="auto"/>
      </w:divBdr>
      <w:divsChild>
        <w:div w:id="1196695586">
          <w:marLeft w:val="0"/>
          <w:marRight w:val="0"/>
          <w:marTop w:val="0"/>
          <w:marBottom w:val="0"/>
          <w:divBdr>
            <w:top w:val="none" w:sz="0" w:space="0" w:color="auto"/>
            <w:left w:val="none" w:sz="0" w:space="0" w:color="auto"/>
            <w:bottom w:val="none" w:sz="0" w:space="0" w:color="auto"/>
            <w:right w:val="none" w:sz="0" w:space="0" w:color="auto"/>
          </w:divBdr>
        </w:div>
      </w:divsChild>
    </w:div>
    <w:div w:id="1515801505">
      <w:bodyDiv w:val="1"/>
      <w:marLeft w:val="0"/>
      <w:marRight w:val="0"/>
      <w:marTop w:val="0"/>
      <w:marBottom w:val="0"/>
      <w:divBdr>
        <w:top w:val="none" w:sz="0" w:space="0" w:color="auto"/>
        <w:left w:val="none" w:sz="0" w:space="0" w:color="auto"/>
        <w:bottom w:val="none" w:sz="0" w:space="0" w:color="auto"/>
        <w:right w:val="none" w:sz="0" w:space="0" w:color="auto"/>
      </w:divBdr>
    </w:div>
    <w:div w:id="1584293936">
      <w:bodyDiv w:val="1"/>
      <w:marLeft w:val="0"/>
      <w:marRight w:val="0"/>
      <w:marTop w:val="0"/>
      <w:marBottom w:val="0"/>
      <w:divBdr>
        <w:top w:val="none" w:sz="0" w:space="0" w:color="auto"/>
        <w:left w:val="none" w:sz="0" w:space="0" w:color="auto"/>
        <w:bottom w:val="none" w:sz="0" w:space="0" w:color="auto"/>
        <w:right w:val="none" w:sz="0" w:space="0" w:color="auto"/>
      </w:divBdr>
    </w:div>
    <w:div w:id="1631208383">
      <w:bodyDiv w:val="1"/>
      <w:marLeft w:val="0"/>
      <w:marRight w:val="0"/>
      <w:marTop w:val="0"/>
      <w:marBottom w:val="0"/>
      <w:divBdr>
        <w:top w:val="none" w:sz="0" w:space="0" w:color="auto"/>
        <w:left w:val="none" w:sz="0" w:space="0" w:color="auto"/>
        <w:bottom w:val="none" w:sz="0" w:space="0" w:color="auto"/>
        <w:right w:val="none" w:sz="0" w:space="0" w:color="auto"/>
      </w:divBdr>
    </w:div>
    <w:div w:id="1817257604">
      <w:bodyDiv w:val="1"/>
      <w:marLeft w:val="0"/>
      <w:marRight w:val="0"/>
      <w:marTop w:val="0"/>
      <w:marBottom w:val="0"/>
      <w:divBdr>
        <w:top w:val="none" w:sz="0" w:space="0" w:color="auto"/>
        <w:left w:val="none" w:sz="0" w:space="0" w:color="auto"/>
        <w:bottom w:val="none" w:sz="0" w:space="0" w:color="auto"/>
        <w:right w:val="none" w:sz="0" w:space="0" w:color="auto"/>
      </w:divBdr>
      <w:divsChild>
        <w:div w:id="1125656548">
          <w:marLeft w:val="0"/>
          <w:marRight w:val="0"/>
          <w:marTop w:val="0"/>
          <w:marBottom w:val="0"/>
          <w:divBdr>
            <w:top w:val="none" w:sz="0" w:space="0" w:color="auto"/>
            <w:left w:val="none" w:sz="0" w:space="0" w:color="auto"/>
            <w:bottom w:val="none" w:sz="0" w:space="0" w:color="auto"/>
            <w:right w:val="none" w:sz="0" w:space="0" w:color="auto"/>
          </w:divBdr>
        </w:div>
      </w:divsChild>
    </w:div>
    <w:div w:id="1824620467">
      <w:bodyDiv w:val="1"/>
      <w:marLeft w:val="0"/>
      <w:marRight w:val="0"/>
      <w:marTop w:val="0"/>
      <w:marBottom w:val="0"/>
      <w:divBdr>
        <w:top w:val="none" w:sz="0" w:space="0" w:color="auto"/>
        <w:left w:val="none" w:sz="0" w:space="0" w:color="auto"/>
        <w:bottom w:val="none" w:sz="0" w:space="0" w:color="auto"/>
        <w:right w:val="none" w:sz="0" w:space="0" w:color="auto"/>
      </w:divBdr>
    </w:div>
    <w:div w:id="1852134792">
      <w:bodyDiv w:val="1"/>
      <w:marLeft w:val="0"/>
      <w:marRight w:val="0"/>
      <w:marTop w:val="0"/>
      <w:marBottom w:val="0"/>
      <w:divBdr>
        <w:top w:val="none" w:sz="0" w:space="0" w:color="auto"/>
        <w:left w:val="none" w:sz="0" w:space="0" w:color="auto"/>
        <w:bottom w:val="none" w:sz="0" w:space="0" w:color="auto"/>
        <w:right w:val="none" w:sz="0" w:space="0" w:color="auto"/>
      </w:divBdr>
    </w:div>
    <w:div w:id="19927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88czE1B8L60"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3B29-12D1-4B61-AF44-16291C31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4454</TotalTime>
  <Pages>50</Pages>
  <Words>118084</Words>
  <Characters>637659</Characters>
  <Application>Microsoft Office Word</Application>
  <DocSecurity>0</DocSecurity>
  <Lines>5313</Lines>
  <Paragraphs>1508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1592</cp:revision>
  <cp:lastPrinted>2020-08-24T22:39:00Z</cp:lastPrinted>
  <dcterms:created xsi:type="dcterms:W3CDTF">2019-08-18T12:05:00Z</dcterms:created>
  <dcterms:modified xsi:type="dcterms:W3CDTF">2020-08-24T22:43:00Z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https://csl.mendeley.com/styles/479248741/associacao-brasileira-de-normas-tecnicas</vt:lpwstr>
  </property>
  <property fmtid="{D5CDD505-2E9C-101B-9397-08002B2CF9AE}" pid="9" name="Mendeley Recent Style Name 3_1">
    <vt:lpwstr>Associação Brasileira de Normas Técnicas (Portuguese - Brazil) - Jordan Brizi Neris, Mcs</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http://www.zotero.org/styles/environmental-pollution</vt:lpwstr>
  </property>
  <property fmtid="{D5CDD505-2E9C-101B-9397-08002B2CF9AE}" pid="13" name="Mendeley Recent Style Name 5_1">
    <vt:lpwstr>Environmental Pollution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http://www.zotero.org/styles/taylor-and-francis-apa</vt:lpwstr>
  </property>
  <property fmtid="{D5CDD505-2E9C-101B-9397-08002B2CF9AE}" pid="19" name="Mendeley Recent Style Name 8_1">
    <vt:lpwstr>Taylor &amp; Francis - APA</vt:lpwstr>
  </property>
  <property fmtid="{D5CDD505-2E9C-101B-9397-08002B2CF9AE}" pid="20" name="Mendeley Recent Style Id 9_1">
    <vt:lpwstr>https://csl.mendeley.com/styles/479248741/TeseUFSCar</vt:lpwstr>
  </property>
  <property fmtid="{D5CDD505-2E9C-101B-9397-08002B2CF9AE}" pid="21" name="Mendeley Recent Style Name 9_1">
    <vt:lpwstr>Tese UFSCar</vt:lpwstr>
  </property>
  <property fmtid="{D5CDD505-2E9C-101B-9397-08002B2CF9AE}" pid="22" name="Mendeley Document_1">
    <vt:lpwstr>True</vt:lpwstr>
  </property>
  <property fmtid="{D5CDD505-2E9C-101B-9397-08002B2CF9AE}" pid="23" name="Mendeley Unique User Id_1">
    <vt:lpwstr>cba6ea03-411d-3979-aca5-2dc4b95f69b0</vt:lpwstr>
  </property>
  <property fmtid="{D5CDD505-2E9C-101B-9397-08002B2CF9AE}" pid="24" name="Mendeley Citation Style_1">
    <vt:lpwstr>http://www.zotero.org/styles/ecotoxicology-and-environmental-safety</vt:lpwstr>
  </property>
</Properties>
</file>