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7/19 - 6/20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a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single serverless architecture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accounts; expanded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5/18 - 7/19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architecture, resulting in drastically improved reliability</w:t>
      </w:r>
    </w:p>
    <w:p>
      <w:pPr>
        <w:pStyle w:val="Definition"/>
        <w:numPr>
          <w:numId w:val="1002"/>
          <w:ilvl w:val="0"/>
        </w:numPr>
      </w:pPr>
      <w:r>
        <w:t xml:space="preserve">Worked with a 3rd party service provider to integrate against their API</w:t>
      </w:r>
    </w:p>
    <w:p>
      <w:pPr>
        <w:pStyle w:val="DefinitionTerm"/>
      </w:pPr>
      <w:r>
        <w:t xml:space="preserve">6/17 - 5/18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"/>
        <w:numPr>
          <w:numId w:val="1003"/>
          <w:ilvl w:val="0"/>
        </w:numPr>
      </w:pPr>
      <w:r>
        <w:t xml:space="preserve">Implemented a new testing tool using Simple DirectMedia Layer that enabled engineers to visually verify the output of their encoder changes</w:t>
      </w:r>
    </w:p>
    <w:p>
      <w:pPr>
        <w:pStyle w:val="Definition"/>
        <w:numPr>
          <w:numId w:val="1003"/>
          <w:ilvl w:val="0"/>
        </w:numPr>
      </w:pPr>
      <w:r>
        <w:t xml:space="preserve">Optimized color space conversion code in the HEVC encoder for a 2% overall CPU time reduction</w:t>
      </w:r>
    </w:p>
    <w:p>
      <w:pPr>
        <w:pStyle w:val="Heading2"/>
      </w:pPr>
      <w:bookmarkStart w:id="28" w:name="technical-experience"/>
      <w:r>
        <w:t xml:space="preserve">Technical Experience</w:t>
      </w:r>
      <w:bookmarkEnd w:id="28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2012 - 2017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0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0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0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2020-06-13T02:32:37Z</dcterms:created>
  <dcterms:modified xsi:type="dcterms:W3CDTF">2020-06-13T02:32:37Z</dcterms:modified>
</cp:coreProperties>
</file>