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1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1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1"/>
          <w:ilvl w:val="0"/>
        </w:numPr>
      </w:pPr>
      <w:r>
        <w:t xml:space="preserve">Improved logging and visibility into a previously opaque monolith responsible for managing over 1 million IRA accounts — expanding its metrics dashboard from displaying just CPU and memory usage to exposing full metrics suites for GraphQL, 3rd party API performance, database performance, and batch job success rates</w:t>
      </w:r>
    </w:p>
    <w:p>
      <w:pPr>
        <w:pStyle w:val="Definition"/>
        <w:numPr>
          <w:numId w:val="1001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2"/>
          <w:ilvl w:val="0"/>
        </w:numPr>
      </w:pPr>
      <w:r>
        <w:t xml:space="preserve">Migrated cross-system investment synchronization stream processor from a monolithic backend into a new serverless architecture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03/15 – 07/15</w:t>
      </w:r>
    </w:p>
    <w:p>
      <w:pPr>
        <w:pStyle w:val="Compact"/>
        <w:pStyle w:val="Definition"/>
      </w:pPr>
      <w:r>
        <w:rPr>
          <w:b/>
        </w:rPr>
        <w:t xml:space="preserve">Product Validation Engineer Intern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Daimler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jOOQ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1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2020-07-08T21:29:07Z</dcterms:created>
  <dcterms:modified xsi:type="dcterms:W3CDTF">2020-07-08T21:29:07Z</dcterms:modified>
</cp:coreProperties>
</file>