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DA2F4" w14:textId="77777777" w:rsidR="0094625B" w:rsidRPr="00347609" w:rsidRDefault="00347609">
      <w:pPr>
        <w:rPr>
          <w:b/>
          <w:sz w:val="22"/>
        </w:rPr>
      </w:pPr>
      <w:r w:rsidRPr="00347609">
        <w:rPr>
          <w:b/>
          <w:sz w:val="22"/>
        </w:rPr>
        <w:t xml:space="preserve">MLL406 T2 2018 </w:t>
      </w:r>
      <w:r>
        <w:rPr>
          <w:b/>
          <w:sz w:val="22"/>
        </w:rPr>
        <w:t xml:space="preserve">- </w:t>
      </w:r>
      <w:r w:rsidRPr="00347609">
        <w:rPr>
          <w:b/>
          <w:sz w:val="22"/>
        </w:rPr>
        <w:t xml:space="preserve">Written Assignment </w:t>
      </w:r>
    </w:p>
    <w:p w14:paraId="5D91649F" w14:textId="77777777" w:rsidR="00347609" w:rsidRPr="00347609" w:rsidRDefault="00347609">
      <w:pPr>
        <w:rPr>
          <w:b/>
          <w:sz w:val="22"/>
        </w:rPr>
      </w:pPr>
    </w:p>
    <w:p w14:paraId="2DCE1CE0" w14:textId="77777777" w:rsidR="00347609" w:rsidRPr="00347609" w:rsidRDefault="00347609">
      <w:pPr>
        <w:rPr>
          <w:sz w:val="22"/>
        </w:rPr>
      </w:pPr>
      <w:r w:rsidRPr="00347609">
        <w:rPr>
          <w:sz w:val="22"/>
        </w:rPr>
        <w:t>Name: Jordan Edwards</w:t>
      </w:r>
    </w:p>
    <w:p w14:paraId="5736938B" w14:textId="77777777" w:rsidR="00347609" w:rsidRPr="00925C81" w:rsidRDefault="00347609">
      <w:pPr>
        <w:rPr>
          <w:sz w:val="22"/>
        </w:rPr>
      </w:pPr>
      <w:r w:rsidRPr="00925C81">
        <w:rPr>
          <w:sz w:val="22"/>
        </w:rPr>
        <w:t>Student ID: 214136151</w:t>
      </w:r>
    </w:p>
    <w:p w14:paraId="63C710FD" w14:textId="77777777" w:rsidR="00347609" w:rsidRDefault="008B4BAF">
      <w:r>
        <w:rPr>
          <w:sz w:val="22"/>
        </w:rPr>
        <w:t>Word count: 2,386</w:t>
      </w:r>
      <w:r w:rsidR="00925C81">
        <w:rPr>
          <w:sz w:val="22"/>
        </w:rPr>
        <w:t xml:space="preserve"> (excluding headings, references and calculations)</w:t>
      </w:r>
    </w:p>
    <w:p w14:paraId="66E39D6A" w14:textId="77777777" w:rsidR="00347609" w:rsidRDefault="00347609"/>
    <w:p w14:paraId="451ACDBD" w14:textId="77777777" w:rsidR="00347609" w:rsidRDefault="00347609"/>
    <w:p w14:paraId="3053AA85" w14:textId="77777777" w:rsidR="00347609" w:rsidRDefault="00347609"/>
    <w:p w14:paraId="14C18883" w14:textId="77777777" w:rsidR="00347609" w:rsidRDefault="00347609"/>
    <w:p w14:paraId="5F9EB50C" w14:textId="77777777" w:rsidR="00347609" w:rsidRDefault="00347609"/>
    <w:p w14:paraId="669474AF" w14:textId="77777777" w:rsidR="00347609" w:rsidRDefault="00347609"/>
    <w:p w14:paraId="684D49EB" w14:textId="77777777" w:rsidR="00347609" w:rsidRDefault="00347609"/>
    <w:p w14:paraId="7819AF3C" w14:textId="77777777" w:rsidR="00347609" w:rsidRDefault="00347609"/>
    <w:p w14:paraId="0C647C19" w14:textId="77777777" w:rsidR="00347609" w:rsidRDefault="00347609"/>
    <w:p w14:paraId="05F982C2" w14:textId="77777777" w:rsidR="00347609" w:rsidRDefault="00347609"/>
    <w:p w14:paraId="5019FE61" w14:textId="77777777" w:rsidR="00347609" w:rsidRDefault="00347609"/>
    <w:p w14:paraId="1040A808" w14:textId="77777777" w:rsidR="00347609" w:rsidRDefault="00347609"/>
    <w:p w14:paraId="1B7AF7C0" w14:textId="77777777" w:rsidR="00347609" w:rsidRDefault="00347609"/>
    <w:p w14:paraId="577F471B" w14:textId="77777777" w:rsidR="00347609" w:rsidRDefault="00347609"/>
    <w:p w14:paraId="48D7C627" w14:textId="77777777" w:rsidR="00347609" w:rsidRDefault="00347609"/>
    <w:p w14:paraId="18D99CDD" w14:textId="77777777" w:rsidR="00347609" w:rsidRDefault="00347609"/>
    <w:p w14:paraId="6F6383D4" w14:textId="77777777" w:rsidR="00347609" w:rsidRDefault="00347609"/>
    <w:p w14:paraId="57C54909" w14:textId="77777777" w:rsidR="00347609" w:rsidRDefault="00347609"/>
    <w:p w14:paraId="468FC333" w14:textId="77777777" w:rsidR="00347609" w:rsidRDefault="00347609"/>
    <w:p w14:paraId="144048B5" w14:textId="77777777" w:rsidR="00347609" w:rsidRDefault="00347609"/>
    <w:p w14:paraId="0131FEAE" w14:textId="77777777" w:rsidR="00347609" w:rsidRDefault="00347609"/>
    <w:p w14:paraId="76041227" w14:textId="77777777" w:rsidR="00347609" w:rsidRDefault="00347609"/>
    <w:p w14:paraId="1539642C" w14:textId="77777777" w:rsidR="00347609" w:rsidRDefault="00347609"/>
    <w:p w14:paraId="55C4B0B1" w14:textId="77777777" w:rsidR="00347609" w:rsidRDefault="00347609"/>
    <w:p w14:paraId="75BB65CB" w14:textId="77777777" w:rsidR="00347609" w:rsidRDefault="00347609"/>
    <w:p w14:paraId="313D0160" w14:textId="77777777" w:rsidR="00347609" w:rsidRDefault="00347609"/>
    <w:p w14:paraId="0C6A979F" w14:textId="77777777" w:rsidR="00347609" w:rsidRDefault="00347609"/>
    <w:p w14:paraId="704756C5" w14:textId="77777777" w:rsidR="00347609" w:rsidRDefault="00347609"/>
    <w:p w14:paraId="7BD8C39E" w14:textId="77777777" w:rsidR="00347609" w:rsidRDefault="00347609"/>
    <w:p w14:paraId="45D56E92" w14:textId="77777777" w:rsidR="00347609" w:rsidRDefault="00347609"/>
    <w:p w14:paraId="27FFBFB7" w14:textId="77777777" w:rsidR="00347609" w:rsidRDefault="00347609"/>
    <w:p w14:paraId="196A9FCE" w14:textId="77777777" w:rsidR="00347609" w:rsidRDefault="00347609"/>
    <w:p w14:paraId="2A8170E3" w14:textId="77777777" w:rsidR="00347609" w:rsidRDefault="00347609"/>
    <w:p w14:paraId="42D48024" w14:textId="77777777" w:rsidR="00347609" w:rsidRDefault="00347609"/>
    <w:p w14:paraId="6D44D073" w14:textId="77777777" w:rsidR="00347609" w:rsidRDefault="00347609"/>
    <w:p w14:paraId="03FDB0C9" w14:textId="77777777" w:rsidR="00347609" w:rsidRDefault="00347609"/>
    <w:p w14:paraId="3673BCCD" w14:textId="77777777" w:rsidR="00347609" w:rsidRDefault="00347609"/>
    <w:p w14:paraId="111EDDA4" w14:textId="77777777" w:rsidR="00347609" w:rsidRDefault="00347609"/>
    <w:p w14:paraId="682995E5" w14:textId="77777777" w:rsidR="00347609" w:rsidRDefault="00347609"/>
    <w:p w14:paraId="1E6870AC" w14:textId="77777777" w:rsidR="00347609" w:rsidRDefault="00347609"/>
    <w:p w14:paraId="27B74157" w14:textId="77777777" w:rsidR="00347609" w:rsidRDefault="00347609"/>
    <w:p w14:paraId="3C526BB1" w14:textId="77777777" w:rsidR="00347609" w:rsidRDefault="00347609"/>
    <w:p w14:paraId="40FA2AE9" w14:textId="77777777" w:rsidR="00347609" w:rsidRDefault="00347609"/>
    <w:p w14:paraId="584CFCAB" w14:textId="77777777" w:rsidR="00347609" w:rsidRDefault="00347609"/>
    <w:p w14:paraId="1C8605AA" w14:textId="77777777" w:rsidR="00347609" w:rsidRDefault="00347609" w:rsidP="00347609">
      <w:pPr>
        <w:pStyle w:val="Default"/>
        <w:rPr>
          <w:rFonts w:asciiTheme="minorHAnsi" w:hAnsiTheme="minorHAnsi" w:cstheme="minorBidi"/>
          <w:color w:val="auto"/>
          <w:sz w:val="20"/>
          <w:szCs w:val="22"/>
        </w:rPr>
      </w:pPr>
    </w:p>
    <w:p w14:paraId="5C94008E" w14:textId="77777777" w:rsidR="00BE253D" w:rsidRDefault="00BE253D" w:rsidP="00347609">
      <w:pPr>
        <w:pStyle w:val="Default"/>
        <w:rPr>
          <w:rFonts w:asciiTheme="minorHAnsi" w:hAnsiTheme="minorHAnsi" w:cstheme="minorBidi"/>
          <w:color w:val="auto"/>
          <w:sz w:val="20"/>
          <w:szCs w:val="22"/>
        </w:rPr>
      </w:pPr>
    </w:p>
    <w:p w14:paraId="34E63176" w14:textId="77777777" w:rsidR="00347609" w:rsidRDefault="00347609" w:rsidP="00347609">
      <w:pPr>
        <w:pStyle w:val="Default"/>
        <w:rPr>
          <w:b/>
          <w:bCs/>
          <w:sz w:val="22"/>
          <w:szCs w:val="22"/>
        </w:rPr>
      </w:pPr>
      <w:r w:rsidRPr="00347609">
        <w:rPr>
          <w:b/>
          <w:bCs/>
          <w:i/>
          <w:iCs/>
          <w:sz w:val="22"/>
          <w:szCs w:val="22"/>
        </w:rPr>
        <w:lastRenderedPageBreak/>
        <w:t>Required</w:t>
      </w:r>
      <w:r w:rsidRPr="00347609">
        <w:rPr>
          <w:b/>
          <w:bCs/>
          <w:sz w:val="22"/>
          <w:szCs w:val="22"/>
        </w:rPr>
        <w:t xml:space="preserve">: For CC consider the effect on taxable income of the </w:t>
      </w:r>
      <w:r>
        <w:rPr>
          <w:b/>
          <w:bCs/>
          <w:sz w:val="22"/>
          <w:szCs w:val="22"/>
        </w:rPr>
        <w:t xml:space="preserve">following. Support your answers </w:t>
      </w:r>
      <w:r w:rsidRPr="00347609">
        <w:rPr>
          <w:b/>
          <w:bCs/>
          <w:sz w:val="22"/>
          <w:szCs w:val="22"/>
        </w:rPr>
        <w:t xml:space="preserve">with case and legislative authority. Calculations are not required. </w:t>
      </w:r>
    </w:p>
    <w:p w14:paraId="7E044897" w14:textId="77777777" w:rsidR="001F06E6" w:rsidRPr="00347609" w:rsidRDefault="001F06E6" w:rsidP="00347609">
      <w:pPr>
        <w:pStyle w:val="Default"/>
        <w:rPr>
          <w:sz w:val="22"/>
          <w:szCs w:val="22"/>
        </w:rPr>
      </w:pPr>
    </w:p>
    <w:p w14:paraId="0561C910" w14:textId="77777777" w:rsidR="006C19B8" w:rsidRDefault="006C19B8" w:rsidP="001F06E6">
      <w:pPr>
        <w:pStyle w:val="Default"/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a) The deductibility for CC of</w:t>
      </w:r>
      <w:r w:rsidR="00347609" w:rsidRPr="00347609">
        <w:rPr>
          <w:b/>
          <w:bCs/>
          <w:sz w:val="22"/>
          <w:szCs w:val="22"/>
        </w:rPr>
        <w:t xml:space="preserve"> each separate element of Gillian’s employment package and any tax impact if all or part of Gillian’s bonus is repaid. (5 marks) </w:t>
      </w:r>
    </w:p>
    <w:p w14:paraId="136B1633" w14:textId="77777777" w:rsidR="006C19B8" w:rsidRDefault="006C19B8" w:rsidP="006C19B8">
      <w:pPr>
        <w:pStyle w:val="Default"/>
        <w:rPr>
          <w:b/>
          <w:bCs/>
          <w:sz w:val="22"/>
          <w:szCs w:val="22"/>
        </w:rPr>
      </w:pPr>
    </w:p>
    <w:p w14:paraId="0E3F5C86" w14:textId="77777777" w:rsidR="004925C4" w:rsidRPr="00A52EEE" w:rsidRDefault="00D72683" w:rsidP="006C19B8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1. </w:t>
      </w:r>
      <w:r w:rsidR="004925C4">
        <w:rPr>
          <w:b/>
          <w:bCs/>
          <w:i/>
          <w:sz w:val="22"/>
          <w:szCs w:val="22"/>
        </w:rPr>
        <w:t>$200,000 Salary and the $40,000 lump sum</w:t>
      </w:r>
    </w:p>
    <w:p w14:paraId="2FCD4AC9" w14:textId="77777777" w:rsidR="006C5FBB" w:rsidRDefault="00D72683" w:rsidP="006C19B8">
      <w:pPr>
        <w:pStyle w:val="Default"/>
        <w:rPr>
          <w:bCs/>
          <w:i/>
          <w:color w:val="auto"/>
          <w:sz w:val="22"/>
          <w:szCs w:val="22"/>
        </w:rPr>
      </w:pPr>
      <w:r>
        <w:rPr>
          <w:bCs/>
          <w:sz w:val="22"/>
          <w:szCs w:val="22"/>
        </w:rPr>
        <w:t xml:space="preserve">The $200,000 salary is deductible as a general deduction under </w:t>
      </w:r>
      <w:r w:rsidRPr="00487777">
        <w:rPr>
          <w:bCs/>
          <w:color w:val="auto"/>
          <w:sz w:val="22"/>
          <w:szCs w:val="22"/>
        </w:rPr>
        <w:t>s 8 – 1</w:t>
      </w:r>
      <w:r w:rsidR="00487777" w:rsidRPr="00487777">
        <w:rPr>
          <w:bCs/>
          <w:color w:val="auto"/>
          <w:sz w:val="22"/>
          <w:szCs w:val="22"/>
        </w:rPr>
        <w:t xml:space="preserve"> (1) (b)</w:t>
      </w:r>
      <w:r w:rsidRPr="00487777">
        <w:rPr>
          <w:bCs/>
          <w:color w:val="auto"/>
          <w:sz w:val="22"/>
          <w:szCs w:val="22"/>
        </w:rPr>
        <w:t xml:space="preserve"> of the</w:t>
      </w:r>
      <w:r w:rsidRPr="00487777">
        <w:rPr>
          <w:bCs/>
          <w:i/>
          <w:color w:val="auto"/>
          <w:sz w:val="22"/>
          <w:szCs w:val="22"/>
        </w:rPr>
        <w:t xml:space="preserve"> </w:t>
      </w:r>
      <w:r w:rsidR="00487777">
        <w:rPr>
          <w:bCs/>
          <w:i/>
          <w:color w:val="auto"/>
          <w:sz w:val="22"/>
          <w:szCs w:val="22"/>
        </w:rPr>
        <w:t xml:space="preserve">Income Tax Assessment Act </w:t>
      </w:r>
      <w:r w:rsidR="00487777" w:rsidRPr="00B32252">
        <w:rPr>
          <w:bCs/>
          <w:i/>
          <w:color w:val="auto"/>
          <w:sz w:val="22"/>
          <w:szCs w:val="22"/>
        </w:rPr>
        <w:t>1997</w:t>
      </w:r>
      <w:r w:rsidR="00487777">
        <w:rPr>
          <w:bCs/>
          <w:color w:val="auto"/>
          <w:sz w:val="22"/>
          <w:szCs w:val="22"/>
        </w:rPr>
        <w:t xml:space="preserve"> (“</w:t>
      </w:r>
      <w:r w:rsidR="00487777">
        <w:rPr>
          <w:bCs/>
          <w:i/>
          <w:color w:val="auto"/>
          <w:sz w:val="22"/>
          <w:szCs w:val="22"/>
        </w:rPr>
        <w:t>ITAA 97”</w:t>
      </w:r>
      <w:r w:rsidR="00487777">
        <w:rPr>
          <w:bCs/>
          <w:color w:val="auto"/>
          <w:sz w:val="22"/>
          <w:szCs w:val="22"/>
        </w:rPr>
        <w:t>).</w:t>
      </w:r>
      <w:r>
        <w:rPr>
          <w:bCs/>
          <w:i/>
          <w:color w:val="FF0000"/>
          <w:sz w:val="22"/>
          <w:szCs w:val="22"/>
        </w:rPr>
        <w:t xml:space="preserve"> </w:t>
      </w:r>
      <w:r>
        <w:rPr>
          <w:bCs/>
          <w:color w:val="auto"/>
          <w:sz w:val="22"/>
          <w:szCs w:val="22"/>
        </w:rPr>
        <w:t xml:space="preserve">It is arguably </w:t>
      </w:r>
      <w:r w:rsidR="004E341B">
        <w:rPr>
          <w:bCs/>
          <w:color w:val="auto"/>
          <w:sz w:val="22"/>
          <w:szCs w:val="22"/>
        </w:rPr>
        <w:t xml:space="preserve">‘necessarily </w:t>
      </w:r>
      <w:r>
        <w:rPr>
          <w:bCs/>
          <w:color w:val="auto"/>
          <w:sz w:val="22"/>
          <w:szCs w:val="22"/>
        </w:rPr>
        <w:t>incurred</w:t>
      </w:r>
      <w:r w:rsidR="004E341B">
        <w:rPr>
          <w:bCs/>
          <w:color w:val="auto"/>
          <w:sz w:val="22"/>
          <w:szCs w:val="22"/>
        </w:rPr>
        <w:t>’</w:t>
      </w:r>
      <w:r>
        <w:rPr>
          <w:bCs/>
          <w:color w:val="auto"/>
          <w:sz w:val="22"/>
          <w:szCs w:val="22"/>
        </w:rPr>
        <w:t xml:space="preserve"> in </w:t>
      </w:r>
      <w:r w:rsidR="004E341B">
        <w:rPr>
          <w:bCs/>
          <w:color w:val="auto"/>
          <w:sz w:val="22"/>
          <w:szCs w:val="22"/>
        </w:rPr>
        <w:t>carrying on a business</w:t>
      </w:r>
      <w:r>
        <w:rPr>
          <w:bCs/>
          <w:color w:val="auto"/>
          <w:sz w:val="22"/>
          <w:szCs w:val="22"/>
        </w:rPr>
        <w:t>, as the company needs employees like Gill</w:t>
      </w:r>
      <w:r w:rsidR="00DE0AFE">
        <w:rPr>
          <w:bCs/>
          <w:color w:val="auto"/>
          <w:sz w:val="22"/>
          <w:szCs w:val="22"/>
        </w:rPr>
        <w:t xml:space="preserve">ian to help manage sales </w:t>
      </w:r>
      <w:r w:rsidR="00487777">
        <w:rPr>
          <w:bCs/>
          <w:color w:val="auto"/>
          <w:sz w:val="22"/>
          <w:szCs w:val="22"/>
        </w:rPr>
        <w:t>to keep the business running.</w:t>
      </w:r>
      <w:r>
        <w:rPr>
          <w:bCs/>
          <w:color w:val="auto"/>
          <w:sz w:val="22"/>
          <w:szCs w:val="22"/>
        </w:rPr>
        <w:t xml:space="preserve"> </w:t>
      </w:r>
      <w:r>
        <w:rPr>
          <w:rStyle w:val="FootnoteReference"/>
          <w:bCs/>
          <w:color w:val="auto"/>
          <w:sz w:val="22"/>
          <w:szCs w:val="22"/>
        </w:rPr>
        <w:footnoteReference w:id="1"/>
      </w:r>
      <w:r w:rsidR="004E341B">
        <w:rPr>
          <w:bCs/>
          <w:color w:val="auto"/>
          <w:sz w:val="22"/>
          <w:szCs w:val="22"/>
        </w:rPr>
        <w:t xml:space="preserve"> </w:t>
      </w:r>
      <w:r w:rsidR="00487777">
        <w:rPr>
          <w:bCs/>
          <w:color w:val="auto"/>
          <w:sz w:val="22"/>
          <w:szCs w:val="22"/>
        </w:rPr>
        <w:t>Wages</w:t>
      </w:r>
      <w:r w:rsidR="004925C4">
        <w:rPr>
          <w:bCs/>
          <w:color w:val="auto"/>
          <w:sz w:val="22"/>
          <w:szCs w:val="22"/>
        </w:rPr>
        <w:t xml:space="preserve"> a</w:t>
      </w:r>
      <w:r w:rsidR="00487777">
        <w:rPr>
          <w:bCs/>
          <w:color w:val="auto"/>
          <w:sz w:val="22"/>
          <w:szCs w:val="22"/>
        </w:rPr>
        <w:t>re</w:t>
      </w:r>
      <w:r w:rsidR="004925C4">
        <w:rPr>
          <w:bCs/>
          <w:color w:val="auto"/>
          <w:sz w:val="22"/>
          <w:szCs w:val="22"/>
        </w:rPr>
        <w:t xml:space="preserve"> recurring</w:t>
      </w:r>
      <w:r w:rsidR="00487777">
        <w:rPr>
          <w:bCs/>
          <w:color w:val="auto"/>
          <w:sz w:val="22"/>
          <w:szCs w:val="22"/>
        </w:rPr>
        <w:t xml:space="preserve"> and lasting </w:t>
      </w:r>
      <w:r w:rsidR="004B5401">
        <w:rPr>
          <w:bCs/>
          <w:color w:val="auto"/>
          <w:sz w:val="22"/>
          <w:szCs w:val="22"/>
        </w:rPr>
        <w:t xml:space="preserve">as CC has a legal requirement to pay wages in accordance with </w:t>
      </w:r>
      <w:r w:rsidR="00487777">
        <w:rPr>
          <w:bCs/>
          <w:color w:val="auto"/>
          <w:sz w:val="22"/>
          <w:szCs w:val="22"/>
        </w:rPr>
        <w:t>Gillian’s employment contract.</w:t>
      </w:r>
    </w:p>
    <w:p w14:paraId="71BACD25" w14:textId="77777777" w:rsidR="006C5FBB" w:rsidRDefault="006C5FBB" w:rsidP="006C19B8">
      <w:pPr>
        <w:pStyle w:val="Default"/>
        <w:rPr>
          <w:bCs/>
          <w:i/>
          <w:color w:val="auto"/>
          <w:sz w:val="22"/>
          <w:szCs w:val="22"/>
        </w:rPr>
      </w:pPr>
    </w:p>
    <w:p w14:paraId="265CF343" w14:textId="77777777" w:rsidR="002F65A3" w:rsidRDefault="004E341B" w:rsidP="006C19B8">
      <w:pPr>
        <w:pStyle w:val="Default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>The potent</w:t>
      </w:r>
      <w:r w:rsidR="00DE0AFE">
        <w:rPr>
          <w:bCs/>
          <w:color w:val="auto"/>
          <w:sz w:val="22"/>
          <w:szCs w:val="22"/>
        </w:rPr>
        <w:t xml:space="preserve">ial lump sum payment of $40,000 </w:t>
      </w:r>
      <w:r w:rsidR="00487777">
        <w:rPr>
          <w:bCs/>
          <w:color w:val="auto"/>
          <w:sz w:val="22"/>
          <w:szCs w:val="22"/>
        </w:rPr>
        <w:t>meets the</w:t>
      </w:r>
      <w:r w:rsidR="006C5FBB">
        <w:rPr>
          <w:bCs/>
          <w:color w:val="auto"/>
          <w:sz w:val="22"/>
          <w:szCs w:val="22"/>
        </w:rPr>
        <w:t xml:space="preserve"> positive limb of s 8-1</w:t>
      </w:r>
      <w:r>
        <w:rPr>
          <w:bCs/>
          <w:color w:val="auto"/>
          <w:sz w:val="22"/>
          <w:szCs w:val="22"/>
        </w:rPr>
        <w:t xml:space="preserve"> in the same manner as </w:t>
      </w:r>
      <w:r w:rsidR="00341372">
        <w:rPr>
          <w:bCs/>
          <w:color w:val="auto"/>
          <w:sz w:val="22"/>
          <w:szCs w:val="22"/>
        </w:rPr>
        <w:t>the payment of</w:t>
      </w:r>
      <w:r>
        <w:rPr>
          <w:bCs/>
          <w:color w:val="auto"/>
          <w:sz w:val="22"/>
          <w:szCs w:val="22"/>
        </w:rPr>
        <w:t xml:space="preserve"> salary,</w:t>
      </w:r>
      <w:r w:rsidR="00487777">
        <w:rPr>
          <w:bCs/>
          <w:color w:val="auto"/>
          <w:sz w:val="22"/>
          <w:szCs w:val="22"/>
        </w:rPr>
        <w:t xml:space="preserve"> in regards to the first limb being satisfied.</w:t>
      </w:r>
      <w:r w:rsidR="00487777">
        <w:rPr>
          <w:rStyle w:val="FootnoteReference"/>
          <w:bCs/>
          <w:color w:val="auto"/>
          <w:sz w:val="22"/>
          <w:szCs w:val="22"/>
        </w:rPr>
        <w:footnoteReference w:id="2"/>
      </w:r>
      <w:r>
        <w:rPr>
          <w:bCs/>
          <w:color w:val="auto"/>
          <w:sz w:val="22"/>
          <w:szCs w:val="22"/>
        </w:rPr>
        <w:t xml:space="preserve"> </w:t>
      </w:r>
      <w:r w:rsidR="00487777">
        <w:rPr>
          <w:bCs/>
          <w:color w:val="auto"/>
          <w:sz w:val="22"/>
          <w:szCs w:val="22"/>
        </w:rPr>
        <w:t>However</w:t>
      </w:r>
      <w:r>
        <w:rPr>
          <w:bCs/>
          <w:color w:val="auto"/>
          <w:sz w:val="22"/>
          <w:szCs w:val="22"/>
        </w:rPr>
        <w:t xml:space="preserve"> </w:t>
      </w:r>
      <w:r w:rsidR="002F65A3">
        <w:rPr>
          <w:bCs/>
          <w:color w:val="auto"/>
          <w:sz w:val="22"/>
          <w:szCs w:val="22"/>
        </w:rPr>
        <w:t xml:space="preserve">an issue arises as to whether it is captured by </w:t>
      </w:r>
      <w:r w:rsidR="00B32252">
        <w:rPr>
          <w:bCs/>
          <w:color w:val="auto"/>
          <w:sz w:val="22"/>
          <w:szCs w:val="22"/>
        </w:rPr>
        <w:t xml:space="preserve">the first </w:t>
      </w:r>
      <w:r w:rsidR="004B5401">
        <w:rPr>
          <w:bCs/>
          <w:color w:val="auto"/>
          <w:sz w:val="22"/>
          <w:szCs w:val="22"/>
        </w:rPr>
        <w:t xml:space="preserve">negative limb in s 8-1 </w:t>
      </w:r>
      <w:r w:rsidR="00B32252">
        <w:rPr>
          <w:bCs/>
          <w:color w:val="auto"/>
          <w:sz w:val="22"/>
          <w:szCs w:val="22"/>
        </w:rPr>
        <w:t xml:space="preserve">of the </w:t>
      </w:r>
      <w:r w:rsidR="00B32252">
        <w:rPr>
          <w:bCs/>
          <w:i/>
          <w:color w:val="auto"/>
          <w:sz w:val="22"/>
          <w:szCs w:val="22"/>
        </w:rPr>
        <w:t xml:space="preserve">ITAA </w:t>
      </w:r>
      <w:r w:rsidR="00B32252" w:rsidRPr="00B32252">
        <w:rPr>
          <w:bCs/>
          <w:color w:val="auto"/>
          <w:sz w:val="22"/>
          <w:szCs w:val="22"/>
        </w:rPr>
        <w:t>97</w:t>
      </w:r>
      <w:r w:rsidR="00B32252">
        <w:rPr>
          <w:bCs/>
          <w:color w:val="auto"/>
          <w:sz w:val="22"/>
          <w:szCs w:val="22"/>
        </w:rPr>
        <w:t xml:space="preserve"> </w:t>
      </w:r>
      <w:r w:rsidR="002F65A3" w:rsidRPr="00B32252">
        <w:rPr>
          <w:bCs/>
          <w:color w:val="auto"/>
          <w:sz w:val="22"/>
          <w:szCs w:val="22"/>
        </w:rPr>
        <w:t>through</w:t>
      </w:r>
      <w:r w:rsidR="002F65A3">
        <w:rPr>
          <w:bCs/>
          <w:color w:val="auto"/>
          <w:sz w:val="22"/>
          <w:szCs w:val="22"/>
        </w:rPr>
        <w:t xml:space="preserve"> being</w:t>
      </w:r>
      <w:r w:rsidR="004B5401">
        <w:rPr>
          <w:bCs/>
          <w:color w:val="auto"/>
          <w:sz w:val="22"/>
          <w:szCs w:val="22"/>
        </w:rPr>
        <w:t xml:space="preserve"> regarded as </w:t>
      </w:r>
      <w:r w:rsidR="00B32252">
        <w:rPr>
          <w:bCs/>
          <w:color w:val="auto"/>
          <w:sz w:val="22"/>
          <w:szCs w:val="22"/>
        </w:rPr>
        <w:t xml:space="preserve">an </w:t>
      </w:r>
      <w:r w:rsidR="00487777">
        <w:rPr>
          <w:bCs/>
          <w:color w:val="auto"/>
          <w:sz w:val="22"/>
          <w:szCs w:val="22"/>
        </w:rPr>
        <w:t>outgoing of capital</w:t>
      </w:r>
      <w:r w:rsidR="006C5FBB">
        <w:rPr>
          <w:bCs/>
          <w:color w:val="auto"/>
          <w:sz w:val="22"/>
          <w:szCs w:val="22"/>
        </w:rPr>
        <w:t>.</w:t>
      </w:r>
      <w:r w:rsidR="004B5401">
        <w:rPr>
          <w:rStyle w:val="FootnoteReference"/>
          <w:bCs/>
          <w:color w:val="auto"/>
          <w:sz w:val="22"/>
          <w:szCs w:val="22"/>
        </w:rPr>
        <w:footnoteReference w:id="3"/>
      </w:r>
      <w:r w:rsidR="006C5FBB">
        <w:rPr>
          <w:bCs/>
          <w:color w:val="auto"/>
          <w:sz w:val="22"/>
          <w:szCs w:val="22"/>
        </w:rPr>
        <w:t xml:space="preserve"> </w:t>
      </w:r>
      <w:r w:rsidR="004B5401">
        <w:rPr>
          <w:bCs/>
          <w:color w:val="auto"/>
          <w:sz w:val="22"/>
          <w:szCs w:val="22"/>
        </w:rPr>
        <w:t xml:space="preserve">The </w:t>
      </w:r>
      <w:r w:rsidR="00613B36">
        <w:rPr>
          <w:bCs/>
          <w:color w:val="auto"/>
          <w:sz w:val="22"/>
          <w:szCs w:val="22"/>
        </w:rPr>
        <w:t>‘process-structure’</w:t>
      </w:r>
      <w:r w:rsidR="004B5401">
        <w:rPr>
          <w:bCs/>
          <w:color w:val="auto"/>
          <w:sz w:val="22"/>
          <w:szCs w:val="22"/>
        </w:rPr>
        <w:t xml:space="preserve"> test from </w:t>
      </w:r>
      <w:r w:rsidR="004B5401">
        <w:rPr>
          <w:bCs/>
          <w:i/>
          <w:color w:val="auto"/>
          <w:sz w:val="22"/>
          <w:szCs w:val="22"/>
        </w:rPr>
        <w:t xml:space="preserve">Sun Newspaper Ltd v FCT </w:t>
      </w:r>
      <w:r w:rsidR="004B5401">
        <w:rPr>
          <w:bCs/>
          <w:color w:val="auto"/>
          <w:sz w:val="22"/>
          <w:szCs w:val="22"/>
        </w:rPr>
        <w:t>requires</w:t>
      </w:r>
      <w:r w:rsidR="002F65A3">
        <w:rPr>
          <w:bCs/>
          <w:color w:val="auto"/>
          <w:sz w:val="22"/>
          <w:szCs w:val="22"/>
        </w:rPr>
        <w:t xml:space="preserve"> three matter</w:t>
      </w:r>
      <w:r w:rsidR="00666180">
        <w:rPr>
          <w:bCs/>
          <w:color w:val="auto"/>
          <w:sz w:val="22"/>
          <w:szCs w:val="22"/>
        </w:rPr>
        <w:t>s</w:t>
      </w:r>
      <w:r w:rsidR="002F65A3">
        <w:rPr>
          <w:bCs/>
          <w:color w:val="auto"/>
          <w:sz w:val="22"/>
          <w:szCs w:val="22"/>
        </w:rPr>
        <w:t xml:space="preserve"> to be considered</w:t>
      </w:r>
      <w:r w:rsidR="00B32252">
        <w:rPr>
          <w:bCs/>
          <w:color w:val="auto"/>
          <w:sz w:val="22"/>
          <w:szCs w:val="22"/>
        </w:rPr>
        <w:t xml:space="preserve"> in assessing an outgoing as revenue or capital:</w:t>
      </w:r>
      <w:r w:rsidR="002F65A3">
        <w:rPr>
          <w:bCs/>
          <w:color w:val="auto"/>
          <w:sz w:val="22"/>
          <w:szCs w:val="22"/>
        </w:rPr>
        <w:t xml:space="preserve"> The character of the advantage sought, the manner in which it is to be used, relied upon or enjoyed and the means adopted to obtain it.</w:t>
      </w:r>
      <w:r w:rsidR="002F65A3" w:rsidRPr="002F65A3">
        <w:rPr>
          <w:rStyle w:val="FootnoteReference"/>
          <w:bCs/>
          <w:color w:val="auto"/>
          <w:sz w:val="22"/>
          <w:szCs w:val="22"/>
        </w:rPr>
        <w:t xml:space="preserve"> </w:t>
      </w:r>
      <w:r w:rsidR="002F65A3">
        <w:rPr>
          <w:rStyle w:val="FootnoteReference"/>
          <w:bCs/>
          <w:color w:val="auto"/>
          <w:sz w:val="22"/>
          <w:szCs w:val="22"/>
        </w:rPr>
        <w:footnoteReference w:id="4"/>
      </w:r>
    </w:p>
    <w:p w14:paraId="56ED1DB1" w14:textId="77777777" w:rsidR="002F65A3" w:rsidRDefault="002F65A3" w:rsidP="006C19B8">
      <w:pPr>
        <w:pStyle w:val="Default"/>
        <w:rPr>
          <w:bCs/>
          <w:color w:val="auto"/>
          <w:sz w:val="22"/>
          <w:szCs w:val="22"/>
        </w:rPr>
      </w:pPr>
    </w:p>
    <w:p w14:paraId="6198ECA9" w14:textId="77777777" w:rsidR="006C5FBB" w:rsidRPr="00EC5F45" w:rsidRDefault="002F65A3" w:rsidP="006C19B8">
      <w:pPr>
        <w:pStyle w:val="Default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>The</w:t>
      </w:r>
      <w:r w:rsidR="004B5401">
        <w:rPr>
          <w:bCs/>
          <w:color w:val="auto"/>
          <w:sz w:val="22"/>
          <w:szCs w:val="22"/>
        </w:rPr>
        <w:t xml:space="preserve"> </w:t>
      </w:r>
      <w:r w:rsidR="00EC5F45">
        <w:rPr>
          <w:bCs/>
          <w:color w:val="auto"/>
          <w:sz w:val="22"/>
          <w:szCs w:val="22"/>
        </w:rPr>
        <w:t>‘</w:t>
      </w:r>
      <w:r w:rsidR="004B5401">
        <w:rPr>
          <w:bCs/>
          <w:color w:val="auto"/>
          <w:sz w:val="22"/>
          <w:szCs w:val="22"/>
        </w:rPr>
        <w:t>character of the advantage sough</w:t>
      </w:r>
      <w:r w:rsidR="00EC5F45">
        <w:rPr>
          <w:bCs/>
          <w:color w:val="auto"/>
          <w:sz w:val="22"/>
          <w:szCs w:val="22"/>
        </w:rPr>
        <w:t>t’</w:t>
      </w:r>
      <w:r w:rsidR="004B5401">
        <w:rPr>
          <w:bCs/>
          <w:color w:val="auto"/>
          <w:sz w:val="22"/>
          <w:szCs w:val="22"/>
        </w:rPr>
        <w:t xml:space="preserve"> </w:t>
      </w:r>
      <w:r>
        <w:rPr>
          <w:bCs/>
          <w:color w:val="auto"/>
          <w:sz w:val="22"/>
          <w:szCs w:val="22"/>
        </w:rPr>
        <w:t>relates to its ‘lasting qualities’.</w:t>
      </w:r>
      <w:r w:rsidRPr="002F65A3">
        <w:rPr>
          <w:rStyle w:val="FootnoteReference"/>
          <w:bCs/>
          <w:color w:val="auto"/>
          <w:sz w:val="22"/>
          <w:szCs w:val="22"/>
        </w:rPr>
        <w:t xml:space="preserve"> </w:t>
      </w:r>
      <w:r>
        <w:rPr>
          <w:rStyle w:val="FootnoteReference"/>
          <w:bCs/>
          <w:color w:val="auto"/>
          <w:sz w:val="22"/>
          <w:szCs w:val="22"/>
        </w:rPr>
        <w:footnoteReference w:id="5"/>
      </w:r>
      <w:r w:rsidR="000A1F82">
        <w:rPr>
          <w:bCs/>
          <w:color w:val="auto"/>
          <w:sz w:val="22"/>
          <w:szCs w:val="22"/>
        </w:rPr>
        <w:t xml:space="preserve"> Here the advantage is not </w:t>
      </w:r>
      <w:r w:rsidR="00B923DF">
        <w:rPr>
          <w:bCs/>
          <w:color w:val="auto"/>
          <w:sz w:val="22"/>
          <w:szCs w:val="22"/>
        </w:rPr>
        <w:t xml:space="preserve">arguably </w:t>
      </w:r>
      <w:r w:rsidR="000A1F82">
        <w:rPr>
          <w:bCs/>
          <w:color w:val="auto"/>
          <w:sz w:val="22"/>
          <w:szCs w:val="22"/>
        </w:rPr>
        <w:t>‘</w:t>
      </w:r>
      <w:r w:rsidR="00B923DF">
        <w:rPr>
          <w:bCs/>
          <w:color w:val="auto"/>
          <w:sz w:val="22"/>
          <w:szCs w:val="22"/>
        </w:rPr>
        <w:t>lasting</w:t>
      </w:r>
      <w:r w:rsidR="000A1F82">
        <w:rPr>
          <w:bCs/>
          <w:color w:val="auto"/>
          <w:sz w:val="22"/>
          <w:szCs w:val="22"/>
        </w:rPr>
        <w:t>’</w:t>
      </w:r>
      <w:r>
        <w:rPr>
          <w:bCs/>
          <w:color w:val="auto"/>
          <w:sz w:val="22"/>
          <w:szCs w:val="22"/>
        </w:rPr>
        <w:t xml:space="preserve">, </w:t>
      </w:r>
      <w:r w:rsidR="00B923DF">
        <w:rPr>
          <w:bCs/>
          <w:color w:val="auto"/>
          <w:sz w:val="22"/>
          <w:szCs w:val="22"/>
        </w:rPr>
        <w:t xml:space="preserve">as the benefit for CC will </w:t>
      </w:r>
      <w:r w:rsidR="000A1F82">
        <w:rPr>
          <w:bCs/>
          <w:color w:val="auto"/>
          <w:sz w:val="22"/>
          <w:szCs w:val="22"/>
        </w:rPr>
        <w:t xml:space="preserve">have </w:t>
      </w:r>
      <w:r w:rsidR="00B923DF">
        <w:rPr>
          <w:bCs/>
          <w:color w:val="auto"/>
          <w:sz w:val="22"/>
          <w:szCs w:val="22"/>
        </w:rPr>
        <w:t>be</w:t>
      </w:r>
      <w:r w:rsidR="000A1F82">
        <w:rPr>
          <w:bCs/>
          <w:color w:val="auto"/>
          <w:sz w:val="22"/>
          <w:szCs w:val="22"/>
        </w:rPr>
        <w:t>en</w:t>
      </w:r>
      <w:r w:rsidR="00B923DF">
        <w:rPr>
          <w:bCs/>
          <w:color w:val="auto"/>
          <w:sz w:val="22"/>
          <w:szCs w:val="22"/>
        </w:rPr>
        <w:t xml:space="preserve"> </w:t>
      </w:r>
      <w:r w:rsidR="000A1F82">
        <w:rPr>
          <w:bCs/>
          <w:color w:val="auto"/>
          <w:sz w:val="22"/>
          <w:szCs w:val="22"/>
        </w:rPr>
        <w:t xml:space="preserve">already </w:t>
      </w:r>
      <w:r w:rsidR="00B923DF">
        <w:rPr>
          <w:bCs/>
          <w:color w:val="auto"/>
          <w:sz w:val="22"/>
          <w:szCs w:val="22"/>
        </w:rPr>
        <w:t>enjoyed for the financial year (“FY”), hint</w:t>
      </w:r>
      <w:r w:rsidR="00B32252">
        <w:rPr>
          <w:bCs/>
          <w:color w:val="auto"/>
          <w:sz w:val="22"/>
          <w:szCs w:val="22"/>
        </w:rPr>
        <w:t xml:space="preserve">ing at being more akin to </w:t>
      </w:r>
      <w:r w:rsidR="000A1F82">
        <w:rPr>
          <w:bCs/>
          <w:color w:val="auto"/>
          <w:sz w:val="22"/>
          <w:szCs w:val="22"/>
        </w:rPr>
        <w:t>revenue</w:t>
      </w:r>
      <w:r>
        <w:rPr>
          <w:bCs/>
          <w:color w:val="auto"/>
          <w:sz w:val="22"/>
          <w:szCs w:val="22"/>
        </w:rPr>
        <w:t xml:space="preserve">. The manner in which it is used </w:t>
      </w:r>
      <w:r w:rsidR="000A1F82">
        <w:rPr>
          <w:bCs/>
          <w:color w:val="auto"/>
          <w:sz w:val="22"/>
          <w:szCs w:val="22"/>
        </w:rPr>
        <w:t>is as an</w:t>
      </w:r>
      <w:r w:rsidR="006C5FBB">
        <w:rPr>
          <w:bCs/>
          <w:color w:val="auto"/>
          <w:sz w:val="22"/>
          <w:szCs w:val="22"/>
        </w:rPr>
        <w:t xml:space="preserve"> incentive</w:t>
      </w:r>
      <w:r w:rsidR="000A1F82">
        <w:rPr>
          <w:bCs/>
          <w:color w:val="auto"/>
          <w:sz w:val="22"/>
          <w:szCs w:val="22"/>
        </w:rPr>
        <w:t xml:space="preserve"> and</w:t>
      </w:r>
      <w:r w:rsidR="006C5FBB">
        <w:rPr>
          <w:bCs/>
          <w:color w:val="auto"/>
          <w:sz w:val="22"/>
          <w:szCs w:val="22"/>
        </w:rPr>
        <w:t xml:space="preserve"> is only for Gillian’s first year of employment</w:t>
      </w:r>
      <w:r>
        <w:rPr>
          <w:bCs/>
          <w:color w:val="auto"/>
          <w:sz w:val="22"/>
          <w:szCs w:val="22"/>
        </w:rPr>
        <w:t xml:space="preserve"> at this point,</w:t>
      </w:r>
      <w:r w:rsidR="00EC5F45">
        <w:rPr>
          <w:bCs/>
          <w:color w:val="auto"/>
          <w:sz w:val="22"/>
          <w:szCs w:val="22"/>
        </w:rPr>
        <w:t xml:space="preserve"> it is also arguably hard to increase sales by 20% recurringly, though not impossible</w:t>
      </w:r>
      <w:r w:rsidR="006C5FBB">
        <w:rPr>
          <w:bCs/>
          <w:color w:val="auto"/>
          <w:sz w:val="22"/>
          <w:szCs w:val="22"/>
        </w:rPr>
        <w:t>.</w:t>
      </w:r>
      <w:r w:rsidR="00B32252">
        <w:rPr>
          <w:bCs/>
          <w:color w:val="auto"/>
          <w:sz w:val="22"/>
          <w:szCs w:val="22"/>
        </w:rPr>
        <w:t xml:space="preserve"> T</w:t>
      </w:r>
      <w:r>
        <w:rPr>
          <w:bCs/>
          <w:color w:val="auto"/>
          <w:sz w:val="22"/>
          <w:szCs w:val="22"/>
        </w:rPr>
        <w:t xml:space="preserve">he means adopted to obtain </w:t>
      </w:r>
      <w:r w:rsidR="000A1F82">
        <w:rPr>
          <w:bCs/>
          <w:color w:val="auto"/>
          <w:sz w:val="22"/>
          <w:szCs w:val="22"/>
        </w:rPr>
        <w:t>the potential increase in sales is a once</w:t>
      </w:r>
      <w:r w:rsidR="00EC5F45">
        <w:rPr>
          <w:bCs/>
          <w:color w:val="auto"/>
          <w:sz w:val="22"/>
          <w:szCs w:val="22"/>
        </w:rPr>
        <w:t>-</w:t>
      </w:r>
      <w:r w:rsidR="006C5FBB">
        <w:rPr>
          <w:bCs/>
          <w:color w:val="auto"/>
          <w:sz w:val="22"/>
          <w:szCs w:val="22"/>
        </w:rPr>
        <w:t xml:space="preserve">off payment, </w:t>
      </w:r>
      <w:r>
        <w:rPr>
          <w:bCs/>
          <w:color w:val="auto"/>
          <w:sz w:val="22"/>
          <w:szCs w:val="22"/>
        </w:rPr>
        <w:t>pointing more towards capital.</w:t>
      </w:r>
      <w:r w:rsidR="00EC5F45">
        <w:rPr>
          <w:bCs/>
          <w:i/>
          <w:color w:val="auto"/>
          <w:sz w:val="22"/>
          <w:szCs w:val="22"/>
        </w:rPr>
        <w:t xml:space="preserve"> </w:t>
      </w:r>
      <w:r w:rsidR="00B923DF">
        <w:rPr>
          <w:bCs/>
          <w:color w:val="auto"/>
          <w:sz w:val="22"/>
          <w:szCs w:val="22"/>
        </w:rPr>
        <w:t>Weighing up these matters I would be mor</w:t>
      </w:r>
      <w:r w:rsidR="0050652D">
        <w:rPr>
          <w:bCs/>
          <w:color w:val="auto"/>
          <w:sz w:val="22"/>
          <w:szCs w:val="22"/>
        </w:rPr>
        <w:t>e inclined to say the payment is</w:t>
      </w:r>
      <w:r w:rsidR="00B923DF">
        <w:rPr>
          <w:bCs/>
          <w:color w:val="auto"/>
          <w:sz w:val="22"/>
          <w:szCs w:val="22"/>
        </w:rPr>
        <w:t xml:space="preserve"> </w:t>
      </w:r>
      <w:r w:rsidR="00655CCB">
        <w:rPr>
          <w:bCs/>
          <w:color w:val="auto"/>
          <w:sz w:val="22"/>
          <w:szCs w:val="22"/>
        </w:rPr>
        <w:t xml:space="preserve">structure based and a capital outlay. </w:t>
      </w:r>
    </w:p>
    <w:p w14:paraId="42BBF5AC" w14:textId="77777777" w:rsidR="006C5FBB" w:rsidRDefault="006C5FBB" w:rsidP="006C19B8">
      <w:pPr>
        <w:pStyle w:val="Default"/>
        <w:rPr>
          <w:bCs/>
          <w:i/>
          <w:color w:val="auto"/>
          <w:sz w:val="22"/>
          <w:szCs w:val="22"/>
        </w:rPr>
      </w:pPr>
    </w:p>
    <w:p w14:paraId="3FCC9F00" w14:textId="77777777" w:rsidR="00655CCB" w:rsidRDefault="006C5FBB" w:rsidP="00655CCB">
      <w:pPr>
        <w:pStyle w:val="Default"/>
        <w:rPr>
          <w:bCs/>
          <w:sz w:val="22"/>
          <w:szCs w:val="22"/>
        </w:rPr>
      </w:pPr>
      <w:r>
        <w:rPr>
          <w:bCs/>
          <w:color w:val="auto"/>
          <w:sz w:val="22"/>
          <w:szCs w:val="22"/>
        </w:rPr>
        <w:t xml:space="preserve">It should be noted that as the lump </w:t>
      </w:r>
      <w:r w:rsidR="00655CCB">
        <w:rPr>
          <w:bCs/>
          <w:color w:val="auto"/>
          <w:sz w:val="22"/>
          <w:szCs w:val="22"/>
        </w:rPr>
        <w:t xml:space="preserve">sum payment has not occurred yet, it cannot be deducted. </w:t>
      </w:r>
      <w:r w:rsidR="00655CCB">
        <w:rPr>
          <w:bCs/>
          <w:sz w:val="22"/>
          <w:szCs w:val="22"/>
        </w:rPr>
        <w:t xml:space="preserve"> The payment can be spread  after it is paid (if it is paid) in equal proportions over 5 years as a deduction if the capital expenditure is regarded as ‘business related’ and incurred ‘in relation to a business proposed to be carried on’.</w:t>
      </w:r>
      <w:r w:rsidR="00655CCB">
        <w:rPr>
          <w:rStyle w:val="FootnoteReference"/>
          <w:bCs/>
          <w:sz w:val="22"/>
          <w:szCs w:val="22"/>
        </w:rPr>
        <w:footnoteReference w:id="6"/>
      </w:r>
      <w:r w:rsidR="00655CCB">
        <w:rPr>
          <w:bCs/>
          <w:sz w:val="22"/>
          <w:szCs w:val="22"/>
        </w:rPr>
        <w:t xml:space="preserve"> Arguably incentivising employees to increase sales is business related and although they are making a loss, the facts indicate an intention to carry on trading. </w:t>
      </w:r>
    </w:p>
    <w:p w14:paraId="27FCA2D6" w14:textId="77777777" w:rsidR="002C7B69" w:rsidRPr="00A16CF3" w:rsidRDefault="006C5FBB" w:rsidP="006C19B8">
      <w:pPr>
        <w:pStyle w:val="Default"/>
        <w:rPr>
          <w:bCs/>
          <w:sz w:val="22"/>
          <w:szCs w:val="22"/>
        </w:rPr>
      </w:pPr>
      <w:r>
        <w:rPr>
          <w:bCs/>
          <w:color w:val="auto"/>
          <w:sz w:val="22"/>
          <w:szCs w:val="22"/>
        </w:rPr>
        <w:t xml:space="preserve"> It will be deductible </w:t>
      </w:r>
      <w:r w:rsidR="004E341B">
        <w:rPr>
          <w:bCs/>
          <w:color w:val="auto"/>
          <w:sz w:val="22"/>
          <w:szCs w:val="22"/>
        </w:rPr>
        <w:t>i</w:t>
      </w:r>
      <w:r w:rsidR="00341372">
        <w:rPr>
          <w:bCs/>
          <w:color w:val="auto"/>
          <w:sz w:val="22"/>
          <w:szCs w:val="22"/>
        </w:rPr>
        <w:t>n the financial year it is paid</w:t>
      </w:r>
      <w:r w:rsidR="00655CCB">
        <w:rPr>
          <w:bCs/>
          <w:color w:val="auto"/>
          <w:sz w:val="22"/>
          <w:szCs w:val="22"/>
        </w:rPr>
        <w:t xml:space="preserve"> (likely the next year). </w:t>
      </w:r>
    </w:p>
    <w:p w14:paraId="21FFAB6F" w14:textId="77777777" w:rsidR="009121FF" w:rsidRDefault="009121FF" w:rsidP="006C19B8">
      <w:pPr>
        <w:pStyle w:val="Default"/>
        <w:rPr>
          <w:bCs/>
          <w:sz w:val="22"/>
          <w:szCs w:val="22"/>
        </w:rPr>
      </w:pPr>
    </w:p>
    <w:p w14:paraId="686083EF" w14:textId="77777777" w:rsidR="00CA01F5" w:rsidRDefault="00CA01F5" w:rsidP="006C19B8">
      <w:pPr>
        <w:pStyle w:val="Default"/>
        <w:rPr>
          <w:bCs/>
          <w:sz w:val="22"/>
          <w:szCs w:val="22"/>
        </w:rPr>
      </w:pPr>
    </w:p>
    <w:p w14:paraId="59B25405" w14:textId="77777777" w:rsidR="004925C4" w:rsidRDefault="00A52EEE" w:rsidP="006C19B8">
      <w:pPr>
        <w:pStyle w:val="Default"/>
        <w:rPr>
          <w:b/>
          <w:bCs/>
          <w:i/>
          <w:sz w:val="22"/>
          <w:szCs w:val="22"/>
        </w:rPr>
      </w:pPr>
      <w:r>
        <w:rPr>
          <w:b/>
          <w:bCs/>
          <w:i/>
          <w:sz w:val="22"/>
          <w:szCs w:val="22"/>
        </w:rPr>
        <w:t xml:space="preserve">2. </w:t>
      </w:r>
      <w:r w:rsidR="004925C4">
        <w:rPr>
          <w:b/>
          <w:bCs/>
          <w:i/>
          <w:sz w:val="22"/>
          <w:szCs w:val="22"/>
        </w:rPr>
        <w:t xml:space="preserve">$100,000 sign-on and the potential tax implications of reimbursement </w:t>
      </w:r>
    </w:p>
    <w:p w14:paraId="294E28BF" w14:textId="77777777" w:rsidR="005003FF" w:rsidRDefault="00EC5F45" w:rsidP="006C19B8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The lump sum </w:t>
      </w:r>
      <w:r w:rsidR="00A52EEE">
        <w:rPr>
          <w:bCs/>
          <w:sz w:val="22"/>
          <w:szCs w:val="22"/>
        </w:rPr>
        <w:t xml:space="preserve">payment </w:t>
      </w:r>
      <w:r>
        <w:rPr>
          <w:bCs/>
          <w:sz w:val="22"/>
          <w:szCs w:val="22"/>
        </w:rPr>
        <w:t>of $100,000 should be treated the same as explained above</w:t>
      </w:r>
      <w:r w:rsidR="00555EDD">
        <w:rPr>
          <w:bCs/>
          <w:sz w:val="22"/>
          <w:szCs w:val="22"/>
        </w:rPr>
        <w:t xml:space="preserve"> for the $40,000 payment</w:t>
      </w:r>
      <w:r>
        <w:rPr>
          <w:bCs/>
          <w:sz w:val="22"/>
          <w:szCs w:val="22"/>
        </w:rPr>
        <w:t xml:space="preserve">, </w:t>
      </w:r>
      <w:r w:rsidR="005003FF">
        <w:rPr>
          <w:bCs/>
          <w:sz w:val="22"/>
          <w:szCs w:val="22"/>
        </w:rPr>
        <w:t xml:space="preserve">however it will certainly be captured by the same negative limb as a capital </w:t>
      </w:r>
      <w:r w:rsidR="00301F81">
        <w:rPr>
          <w:bCs/>
          <w:sz w:val="22"/>
          <w:szCs w:val="22"/>
        </w:rPr>
        <w:t>outgoing. I</w:t>
      </w:r>
      <w:r w:rsidR="005003FF">
        <w:rPr>
          <w:bCs/>
          <w:sz w:val="22"/>
          <w:szCs w:val="22"/>
        </w:rPr>
        <w:t>t is a once off payment lasting for three years</w:t>
      </w:r>
      <w:r w:rsidR="0050652D">
        <w:rPr>
          <w:bCs/>
          <w:sz w:val="22"/>
          <w:szCs w:val="22"/>
        </w:rPr>
        <w:t xml:space="preserve"> that does not relate to a revenue producing activity</w:t>
      </w:r>
      <w:r w:rsidR="00301F81">
        <w:rPr>
          <w:bCs/>
          <w:sz w:val="22"/>
          <w:szCs w:val="22"/>
        </w:rPr>
        <w:t>.</w:t>
      </w:r>
      <w:r w:rsidR="00301F81">
        <w:rPr>
          <w:rStyle w:val="FootnoteReference"/>
          <w:bCs/>
          <w:sz w:val="22"/>
          <w:szCs w:val="22"/>
        </w:rPr>
        <w:footnoteReference w:id="7"/>
      </w:r>
      <w:r w:rsidR="00301F81">
        <w:rPr>
          <w:bCs/>
          <w:sz w:val="22"/>
          <w:szCs w:val="22"/>
        </w:rPr>
        <w:t xml:space="preserve"> </w:t>
      </w:r>
      <w:r w:rsidR="003837FF">
        <w:rPr>
          <w:bCs/>
          <w:sz w:val="22"/>
          <w:szCs w:val="22"/>
        </w:rPr>
        <w:t xml:space="preserve">CC </w:t>
      </w:r>
      <w:r w:rsidR="00655CCB">
        <w:rPr>
          <w:bCs/>
          <w:sz w:val="22"/>
          <w:szCs w:val="22"/>
        </w:rPr>
        <w:t xml:space="preserve">can similarly </w:t>
      </w:r>
      <w:r w:rsidR="003837FF">
        <w:rPr>
          <w:bCs/>
          <w:sz w:val="22"/>
          <w:szCs w:val="22"/>
        </w:rPr>
        <w:t xml:space="preserve"> spread out the payment </w:t>
      </w:r>
      <w:r w:rsidR="00CA01F5">
        <w:rPr>
          <w:bCs/>
          <w:sz w:val="22"/>
          <w:szCs w:val="22"/>
        </w:rPr>
        <w:t xml:space="preserve">in equal proportions </w:t>
      </w:r>
      <w:r w:rsidR="003837FF">
        <w:rPr>
          <w:bCs/>
          <w:sz w:val="22"/>
          <w:szCs w:val="22"/>
        </w:rPr>
        <w:t>over 5 years</w:t>
      </w:r>
      <w:r w:rsidR="00655CCB">
        <w:rPr>
          <w:bCs/>
          <w:sz w:val="22"/>
          <w:szCs w:val="22"/>
        </w:rPr>
        <w:t xml:space="preserve"> as discussed above as arguably employee retention is ‘business related’</w:t>
      </w:r>
      <w:r w:rsidR="003837FF">
        <w:rPr>
          <w:bCs/>
          <w:sz w:val="22"/>
          <w:szCs w:val="22"/>
        </w:rPr>
        <w:t>.</w:t>
      </w:r>
      <w:r w:rsidR="003837FF">
        <w:rPr>
          <w:rStyle w:val="FootnoteReference"/>
          <w:bCs/>
          <w:sz w:val="22"/>
          <w:szCs w:val="22"/>
        </w:rPr>
        <w:footnoteReference w:id="8"/>
      </w:r>
      <w:r w:rsidR="009E15C3">
        <w:rPr>
          <w:bCs/>
          <w:sz w:val="22"/>
          <w:szCs w:val="22"/>
        </w:rPr>
        <w:t xml:space="preserve"> </w:t>
      </w:r>
    </w:p>
    <w:p w14:paraId="367DF490" w14:textId="77777777" w:rsidR="009E15C3" w:rsidRDefault="009E15C3" w:rsidP="006C19B8">
      <w:pPr>
        <w:pStyle w:val="Default"/>
        <w:rPr>
          <w:bCs/>
          <w:sz w:val="22"/>
          <w:szCs w:val="22"/>
        </w:rPr>
      </w:pPr>
    </w:p>
    <w:p w14:paraId="191C159A" w14:textId="77777777" w:rsidR="005003FF" w:rsidRDefault="0050652D" w:rsidP="006C19B8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I</w:t>
      </w:r>
      <w:r w:rsidR="005003FF">
        <w:rPr>
          <w:bCs/>
          <w:sz w:val="22"/>
          <w:szCs w:val="22"/>
        </w:rPr>
        <w:t xml:space="preserve">f the payment has to be reimbursed by Gillian (or a proportion of it reimbursed) </w:t>
      </w:r>
      <w:r w:rsidR="00555EDD">
        <w:rPr>
          <w:bCs/>
          <w:sz w:val="22"/>
          <w:szCs w:val="22"/>
        </w:rPr>
        <w:t>for leaving her</w:t>
      </w:r>
      <w:r w:rsidR="005003FF">
        <w:rPr>
          <w:bCs/>
          <w:sz w:val="22"/>
          <w:szCs w:val="22"/>
        </w:rPr>
        <w:t xml:space="preserve"> employment with CC before the three year term, this amount will come into CC’s taxable income</w:t>
      </w:r>
      <w:r w:rsidR="005C42D0">
        <w:rPr>
          <w:bCs/>
          <w:sz w:val="22"/>
          <w:szCs w:val="22"/>
        </w:rPr>
        <w:t xml:space="preserve"> as a recoupment</w:t>
      </w:r>
      <w:r w:rsidR="00750C2F">
        <w:rPr>
          <w:bCs/>
          <w:sz w:val="22"/>
          <w:szCs w:val="22"/>
        </w:rPr>
        <w:t>.</w:t>
      </w:r>
      <w:r w:rsidR="005C42D0">
        <w:rPr>
          <w:rStyle w:val="FootnoteReference"/>
          <w:bCs/>
          <w:sz w:val="22"/>
          <w:szCs w:val="22"/>
        </w:rPr>
        <w:footnoteReference w:id="9"/>
      </w:r>
      <w:r w:rsidR="00750C2F">
        <w:rPr>
          <w:bCs/>
          <w:sz w:val="22"/>
          <w:szCs w:val="22"/>
        </w:rPr>
        <w:t xml:space="preserve"> This is in effect a reversing entry for the prior deduction</w:t>
      </w:r>
      <w:r w:rsidR="003B22F0">
        <w:rPr>
          <w:bCs/>
          <w:sz w:val="22"/>
          <w:szCs w:val="22"/>
        </w:rPr>
        <w:t xml:space="preserve"> </w:t>
      </w:r>
      <w:r w:rsidR="00750C2F">
        <w:rPr>
          <w:bCs/>
          <w:sz w:val="22"/>
          <w:szCs w:val="22"/>
        </w:rPr>
        <w:t xml:space="preserve">of the payment by CC when it was paid. </w:t>
      </w:r>
    </w:p>
    <w:p w14:paraId="65756DE4" w14:textId="77777777" w:rsidR="009E15C3" w:rsidRDefault="009E15C3" w:rsidP="006C19B8">
      <w:pPr>
        <w:pStyle w:val="Default"/>
        <w:rPr>
          <w:bCs/>
          <w:sz w:val="22"/>
          <w:szCs w:val="22"/>
        </w:rPr>
      </w:pPr>
    </w:p>
    <w:p w14:paraId="65059F77" w14:textId="77777777" w:rsidR="009E15C3" w:rsidRDefault="00D12123" w:rsidP="009E15C3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T</w:t>
      </w:r>
      <w:r w:rsidR="009E15C3">
        <w:rPr>
          <w:bCs/>
          <w:sz w:val="22"/>
          <w:szCs w:val="22"/>
        </w:rPr>
        <w:t xml:space="preserve">echnically a D1 Capital Gains Tax (“CGT”) </w:t>
      </w:r>
      <w:r>
        <w:rPr>
          <w:bCs/>
          <w:sz w:val="22"/>
          <w:szCs w:val="22"/>
        </w:rPr>
        <w:t>event has occurred</w:t>
      </w:r>
      <w:r w:rsidR="009E15C3">
        <w:rPr>
          <w:bCs/>
          <w:sz w:val="22"/>
          <w:szCs w:val="22"/>
        </w:rPr>
        <w:t xml:space="preserve"> (</w:t>
      </w:r>
      <w:r>
        <w:rPr>
          <w:bCs/>
          <w:sz w:val="22"/>
          <w:szCs w:val="22"/>
        </w:rPr>
        <w:t>CC</w:t>
      </w:r>
      <w:r w:rsidR="009E15C3">
        <w:rPr>
          <w:bCs/>
          <w:sz w:val="22"/>
          <w:szCs w:val="22"/>
        </w:rPr>
        <w:t xml:space="preserve"> has obtained rights under the agreement to be reimbursed). As the facts do not hint at any incidental costs ordinarily a capital loss of $100,000 would be incurred once the three years have lapsed.</w:t>
      </w:r>
      <w:r w:rsidR="009E15C3" w:rsidRPr="009E15C3">
        <w:rPr>
          <w:rStyle w:val="FootnoteReference"/>
          <w:bCs/>
          <w:sz w:val="22"/>
          <w:szCs w:val="22"/>
        </w:rPr>
        <w:t xml:space="preserve"> </w:t>
      </w:r>
      <w:r w:rsidR="009E15C3">
        <w:rPr>
          <w:rStyle w:val="FootnoteReference"/>
          <w:bCs/>
          <w:sz w:val="22"/>
          <w:szCs w:val="22"/>
        </w:rPr>
        <w:footnoteReference w:id="10"/>
      </w:r>
      <w:r w:rsidR="009E15C3">
        <w:rPr>
          <w:bCs/>
          <w:sz w:val="22"/>
          <w:szCs w:val="22"/>
        </w:rPr>
        <w:t xml:space="preserve"> However as section 40-880 of the </w:t>
      </w:r>
      <w:r w:rsidR="009E15C3">
        <w:rPr>
          <w:bCs/>
          <w:i/>
          <w:sz w:val="22"/>
          <w:szCs w:val="22"/>
        </w:rPr>
        <w:t xml:space="preserve">ITAA 97 </w:t>
      </w:r>
      <w:r w:rsidR="009E15C3">
        <w:rPr>
          <w:bCs/>
          <w:sz w:val="22"/>
          <w:szCs w:val="22"/>
        </w:rPr>
        <w:t>applies the loss is instead spread out over 5 years as a deduction.</w:t>
      </w:r>
      <w:r w:rsidR="009E15C3">
        <w:rPr>
          <w:rStyle w:val="FootnoteReference"/>
          <w:bCs/>
          <w:sz w:val="22"/>
          <w:szCs w:val="22"/>
        </w:rPr>
        <w:footnoteReference w:id="11"/>
      </w:r>
    </w:p>
    <w:p w14:paraId="23C377B1" w14:textId="77777777" w:rsidR="004925C4" w:rsidRDefault="004925C4" w:rsidP="006C19B8">
      <w:pPr>
        <w:pStyle w:val="Default"/>
        <w:rPr>
          <w:bCs/>
          <w:sz w:val="22"/>
          <w:szCs w:val="22"/>
        </w:rPr>
      </w:pPr>
    </w:p>
    <w:p w14:paraId="1CD38484" w14:textId="77777777" w:rsidR="0045080D" w:rsidRDefault="0045080D" w:rsidP="006C19B8">
      <w:pPr>
        <w:pStyle w:val="Default"/>
        <w:rPr>
          <w:b/>
          <w:bCs/>
          <w:i/>
          <w:sz w:val="22"/>
          <w:szCs w:val="22"/>
        </w:rPr>
      </w:pPr>
    </w:p>
    <w:p w14:paraId="798F6CCE" w14:textId="77777777" w:rsidR="004925C4" w:rsidRDefault="00A52EEE" w:rsidP="006C19B8">
      <w:pPr>
        <w:pStyle w:val="Default"/>
        <w:rPr>
          <w:b/>
          <w:bCs/>
          <w:i/>
          <w:sz w:val="22"/>
          <w:szCs w:val="22"/>
        </w:rPr>
      </w:pPr>
      <w:r>
        <w:rPr>
          <w:b/>
          <w:bCs/>
          <w:i/>
          <w:sz w:val="22"/>
          <w:szCs w:val="22"/>
        </w:rPr>
        <w:t>3. Superannuation contribution of 15%</w:t>
      </w:r>
    </w:p>
    <w:p w14:paraId="0E4E052A" w14:textId="77777777" w:rsidR="004101C1" w:rsidRDefault="00FD304F" w:rsidP="006C19B8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The fact that CC is </w:t>
      </w:r>
      <w:r w:rsidR="00AA5957">
        <w:rPr>
          <w:bCs/>
          <w:sz w:val="22"/>
          <w:szCs w:val="22"/>
        </w:rPr>
        <w:t>choosing to pay more than the guaranteed 9.5% employer super contribution (</w:t>
      </w:r>
      <w:r>
        <w:rPr>
          <w:bCs/>
          <w:sz w:val="22"/>
          <w:szCs w:val="22"/>
        </w:rPr>
        <w:t>15%</w:t>
      </w:r>
      <w:r w:rsidR="00AA5957">
        <w:rPr>
          <w:bCs/>
          <w:sz w:val="22"/>
          <w:szCs w:val="22"/>
        </w:rPr>
        <w:t xml:space="preserve">) </w:t>
      </w:r>
      <w:r>
        <w:rPr>
          <w:bCs/>
          <w:sz w:val="22"/>
          <w:szCs w:val="22"/>
        </w:rPr>
        <w:t>does not matter</w:t>
      </w:r>
      <w:r w:rsidR="00AA5957">
        <w:rPr>
          <w:bCs/>
          <w:sz w:val="22"/>
          <w:szCs w:val="22"/>
        </w:rPr>
        <w:t xml:space="preserve">. The case of </w:t>
      </w:r>
      <w:r w:rsidR="00AA5957">
        <w:rPr>
          <w:bCs/>
          <w:i/>
          <w:sz w:val="22"/>
          <w:szCs w:val="22"/>
        </w:rPr>
        <w:t>FCT v Snowden</w:t>
      </w:r>
      <w:r w:rsidR="001433FF">
        <w:rPr>
          <w:bCs/>
          <w:i/>
          <w:sz w:val="22"/>
          <w:szCs w:val="22"/>
        </w:rPr>
        <w:t xml:space="preserve"> &amp; Wilson Pty Ltd </w:t>
      </w:r>
      <w:r w:rsidR="001433FF">
        <w:rPr>
          <w:rStyle w:val="FootnoteReference"/>
          <w:bCs/>
          <w:sz w:val="22"/>
          <w:szCs w:val="22"/>
        </w:rPr>
        <w:footnoteReference w:id="12"/>
      </w:r>
      <w:r w:rsidR="00AA5957">
        <w:rPr>
          <w:bCs/>
          <w:sz w:val="22"/>
          <w:szCs w:val="22"/>
        </w:rPr>
        <w:t xml:space="preserve"> outlines that the outgoing need not be “necessary” </w:t>
      </w:r>
      <w:r w:rsidR="004101C1">
        <w:rPr>
          <w:bCs/>
          <w:sz w:val="22"/>
          <w:szCs w:val="22"/>
        </w:rPr>
        <w:t xml:space="preserve">– in terms of the contributions being more than the required percentage, </w:t>
      </w:r>
      <w:r w:rsidR="00AA5957">
        <w:rPr>
          <w:bCs/>
          <w:sz w:val="22"/>
          <w:szCs w:val="22"/>
        </w:rPr>
        <w:t xml:space="preserve">as the operator is in the best position to determine what is best for the business. </w:t>
      </w:r>
    </w:p>
    <w:p w14:paraId="6228C624" w14:textId="77777777" w:rsidR="004101C1" w:rsidRDefault="004101C1" w:rsidP="006C19B8">
      <w:pPr>
        <w:pStyle w:val="Default"/>
        <w:rPr>
          <w:bCs/>
          <w:sz w:val="22"/>
          <w:szCs w:val="22"/>
        </w:rPr>
      </w:pPr>
    </w:p>
    <w:p w14:paraId="51464186" w14:textId="77777777" w:rsidR="00347609" w:rsidRPr="004101C1" w:rsidRDefault="00BE2B54" w:rsidP="00347609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The case of </w:t>
      </w:r>
      <w:r>
        <w:rPr>
          <w:bCs/>
          <w:i/>
          <w:sz w:val="22"/>
          <w:szCs w:val="22"/>
        </w:rPr>
        <w:t>Constable v FCT</w:t>
      </w:r>
      <w:r w:rsidR="001433FF">
        <w:rPr>
          <w:bCs/>
          <w:i/>
          <w:sz w:val="22"/>
          <w:szCs w:val="22"/>
        </w:rPr>
        <w:t xml:space="preserve"> </w:t>
      </w:r>
      <w:r w:rsidR="001433FF">
        <w:rPr>
          <w:rStyle w:val="FootnoteReference"/>
          <w:bCs/>
          <w:sz w:val="22"/>
          <w:szCs w:val="22"/>
        </w:rPr>
        <w:footnoteReference w:id="13"/>
      </w:r>
      <w:r>
        <w:rPr>
          <w:bCs/>
          <w:i/>
          <w:sz w:val="22"/>
          <w:szCs w:val="22"/>
        </w:rPr>
        <w:t xml:space="preserve"> </w:t>
      </w:r>
      <w:r w:rsidRPr="00BE2B54">
        <w:rPr>
          <w:bCs/>
          <w:sz w:val="22"/>
          <w:szCs w:val="22"/>
        </w:rPr>
        <w:t>is authority for saying that superannuation contributions are amounts that would have been</w:t>
      </w:r>
      <w:r w:rsidR="004101C1">
        <w:rPr>
          <w:bCs/>
          <w:sz w:val="22"/>
          <w:szCs w:val="22"/>
        </w:rPr>
        <w:t xml:space="preserve"> given as</w:t>
      </w:r>
      <w:r w:rsidRPr="00BE2B54">
        <w:rPr>
          <w:bCs/>
          <w:sz w:val="22"/>
          <w:szCs w:val="22"/>
        </w:rPr>
        <w:t xml:space="preserve"> income</w:t>
      </w:r>
      <w:r w:rsidR="004101C1">
        <w:rPr>
          <w:bCs/>
          <w:sz w:val="22"/>
          <w:szCs w:val="22"/>
        </w:rPr>
        <w:t xml:space="preserve"> for an employee</w:t>
      </w:r>
      <w:r>
        <w:rPr>
          <w:bCs/>
          <w:sz w:val="22"/>
          <w:szCs w:val="22"/>
        </w:rPr>
        <w:t>. As a result it will be d</w:t>
      </w:r>
      <w:r w:rsidR="00555EDD">
        <w:rPr>
          <w:bCs/>
          <w:sz w:val="22"/>
          <w:szCs w:val="22"/>
        </w:rPr>
        <w:t>eductible in the same way as her</w:t>
      </w:r>
      <w:r>
        <w:rPr>
          <w:bCs/>
          <w:sz w:val="22"/>
          <w:szCs w:val="22"/>
        </w:rPr>
        <w:t xml:space="preserve"> salary</w:t>
      </w:r>
      <w:r w:rsidR="00062658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as it is regular and recurring in the same regard</w:t>
      </w:r>
      <w:r w:rsidR="004101C1">
        <w:rPr>
          <w:bCs/>
          <w:sz w:val="22"/>
          <w:szCs w:val="22"/>
        </w:rPr>
        <w:t xml:space="preserve"> as explained for Gillian’s salary.</w:t>
      </w:r>
      <w:r w:rsidR="009E15C3">
        <w:rPr>
          <w:bCs/>
          <w:sz w:val="22"/>
          <w:szCs w:val="22"/>
        </w:rPr>
        <w:t xml:space="preserve"> This is also reflected in an ATO fact sheet.</w:t>
      </w:r>
      <w:r w:rsidR="001433FF">
        <w:rPr>
          <w:rStyle w:val="FootnoteReference"/>
          <w:bCs/>
          <w:sz w:val="22"/>
          <w:szCs w:val="22"/>
        </w:rPr>
        <w:footnoteReference w:id="14"/>
      </w:r>
      <w:r>
        <w:rPr>
          <w:bCs/>
          <w:sz w:val="22"/>
          <w:szCs w:val="22"/>
        </w:rPr>
        <w:t xml:space="preserve"> </w:t>
      </w:r>
    </w:p>
    <w:p w14:paraId="0F4C817B" w14:textId="77777777" w:rsidR="0045080D" w:rsidRDefault="0045080D" w:rsidP="00347609">
      <w:pPr>
        <w:pStyle w:val="Default"/>
        <w:rPr>
          <w:sz w:val="22"/>
          <w:szCs w:val="22"/>
        </w:rPr>
      </w:pPr>
    </w:p>
    <w:p w14:paraId="05101052" w14:textId="77777777" w:rsidR="0045080D" w:rsidRPr="00347609" w:rsidRDefault="0045080D" w:rsidP="00347609">
      <w:pPr>
        <w:pStyle w:val="Default"/>
        <w:rPr>
          <w:sz w:val="22"/>
          <w:szCs w:val="22"/>
        </w:rPr>
      </w:pPr>
    </w:p>
    <w:p w14:paraId="544EDBF3" w14:textId="77777777" w:rsidR="004101C1" w:rsidRDefault="00347609" w:rsidP="004101C1">
      <w:pPr>
        <w:pStyle w:val="Default"/>
        <w:ind w:left="720"/>
        <w:rPr>
          <w:b/>
          <w:bCs/>
          <w:sz w:val="22"/>
          <w:szCs w:val="22"/>
        </w:rPr>
      </w:pPr>
      <w:r w:rsidRPr="00347609">
        <w:rPr>
          <w:b/>
          <w:bCs/>
          <w:sz w:val="22"/>
          <w:szCs w:val="22"/>
        </w:rPr>
        <w:t xml:space="preserve">b) The deductibility for CC of its gift to the children’s hospital and its promotional activities. (5 marks) </w:t>
      </w:r>
    </w:p>
    <w:p w14:paraId="7058E206" w14:textId="77777777" w:rsidR="00F342AA" w:rsidRDefault="00F342AA" w:rsidP="004101C1">
      <w:pPr>
        <w:pStyle w:val="Default"/>
        <w:rPr>
          <w:b/>
          <w:bCs/>
          <w:sz w:val="22"/>
          <w:szCs w:val="22"/>
        </w:rPr>
      </w:pPr>
    </w:p>
    <w:p w14:paraId="1CE3FDD6" w14:textId="77777777" w:rsidR="00062658" w:rsidRDefault="007A0372" w:rsidP="004101C1">
      <w:pPr>
        <w:pStyle w:val="Default"/>
        <w:rPr>
          <w:bCs/>
          <w:sz w:val="22"/>
          <w:szCs w:val="22"/>
        </w:rPr>
      </w:pPr>
      <w:r w:rsidRPr="008B4BAF">
        <w:rPr>
          <w:bCs/>
          <w:i/>
          <w:sz w:val="22"/>
          <w:szCs w:val="22"/>
        </w:rPr>
        <w:t>Division 30 of the</w:t>
      </w:r>
      <w:r>
        <w:rPr>
          <w:bCs/>
          <w:i/>
          <w:sz w:val="22"/>
          <w:szCs w:val="22"/>
        </w:rPr>
        <w:t xml:space="preserve"> ITAA 97</w:t>
      </w:r>
      <w:r>
        <w:rPr>
          <w:bCs/>
          <w:sz w:val="22"/>
          <w:szCs w:val="22"/>
        </w:rPr>
        <w:t xml:space="preserve"> allows a deduction for gifts over $2 to certain deductible recipients.</w:t>
      </w:r>
      <w:r>
        <w:rPr>
          <w:rStyle w:val="FootnoteReference"/>
          <w:bCs/>
          <w:sz w:val="22"/>
          <w:szCs w:val="22"/>
        </w:rPr>
        <w:footnoteReference w:id="15"/>
      </w:r>
      <w:r>
        <w:rPr>
          <w:bCs/>
          <w:sz w:val="22"/>
          <w:szCs w:val="22"/>
        </w:rPr>
        <w:t xml:space="preserve"> These can include property</w:t>
      </w:r>
      <w:r w:rsidR="00AA161B">
        <w:rPr>
          <w:bCs/>
          <w:sz w:val="22"/>
          <w:szCs w:val="22"/>
        </w:rPr>
        <w:t xml:space="preserve"> which here for CC is </w:t>
      </w:r>
      <w:r w:rsidR="002E2CED">
        <w:rPr>
          <w:bCs/>
          <w:sz w:val="22"/>
          <w:szCs w:val="22"/>
        </w:rPr>
        <w:t>its</w:t>
      </w:r>
      <w:r>
        <w:rPr>
          <w:bCs/>
          <w:sz w:val="22"/>
          <w:szCs w:val="22"/>
        </w:rPr>
        <w:t xml:space="preserve"> computer hardware (trading stock).</w:t>
      </w:r>
      <w:r w:rsidR="00E12526">
        <w:rPr>
          <w:bCs/>
          <w:sz w:val="22"/>
          <w:szCs w:val="22"/>
        </w:rPr>
        <w:t xml:space="preserve"> An issue arises as to whether this is a ‘true gift’.</w:t>
      </w:r>
      <w:r w:rsidR="00E12526">
        <w:rPr>
          <w:rStyle w:val="FootnoteReference"/>
          <w:bCs/>
          <w:sz w:val="22"/>
          <w:szCs w:val="22"/>
        </w:rPr>
        <w:footnoteReference w:id="16"/>
      </w:r>
      <w:r w:rsidR="00E12526">
        <w:rPr>
          <w:bCs/>
          <w:sz w:val="22"/>
          <w:szCs w:val="22"/>
        </w:rPr>
        <w:t xml:space="preserve"> </w:t>
      </w:r>
      <w:r w:rsidR="00AA161B">
        <w:rPr>
          <w:bCs/>
          <w:sz w:val="22"/>
          <w:szCs w:val="22"/>
        </w:rPr>
        <w:t xml:space="preserve">That is a ‘present made without </w:t>
      </w:r>
      <w:r w:rsidR="002E2CED">
        <w:rPr>
          <w:bCs/>
          <w:sz w:val="22"/>
          <w:szCs w:val="22"/>
        </w:rPr>
        <w:t>return of any kind’.</w:t>
      </w:r>
      <w:r w:rsidR="002E2CED">
        <w:rPr>
          <w:rStyle w:val="FootnoteReference"/>
          <w:bCs/>
          <w:sz w:val="22"/>
          <w:szCs w:val="22"/>
        </w:rPr>
        <w:footnoteReference w:id="17"/>
      </w:r>
      <w:r w:rsidR="002E2CED">
        <w:rPr>
          <w:bCs/>
          <w:sz w:val="22"/>
          <w:szCs w:val="22"/>
        </w:rPr>
        <w:t xml:space="preserve"> </w:t>
      </w:r>
      <w:r w:rsidR="00E12526">
        <w:rPr>
          <w:bCs/>
          <w:sz w:val="22"/>
          <w:szCs w:val="22"/>
        </w:rPr>
        <w:t>As the facts indicate that CC did this with “the aim of increasing sales”</w:t>
      </w:r>
      <w:r w:rsidR="00A35038">
        <w:rPr>
          <w:bCs/>
          <w:sz w:val="22"/>
          <w:szCs w:val="22"/>
        </w:rPr>
        <w:t xml:space="preserve"> the gift may not be deductible under this specific division as CC is getting a </w:t>
      </w:r>
      <w:r w:rsidR="002E2CED">
        <w:rPr>
          <w:bCs/>
          <w:sz w:val="22"/>
          <w:szCs w:val="22"/>
        </w:rPr>
        <w:t>form of return</w:t>
      </w:r>
      <w:r w:rsidR="00A35038">
        <w:rPr>
          <w:bCs/>
          <w:sz w:val="22"/>
          <w:szCs w:val="22"/>
        </w:rPr>
        <w:t xml:space="preserve"> - increased profile in the eye of customers, i.e. goodwill.</w:t>
      </w:r>
      <w:r w:rsidR="00F342AA">
        <w:rPr>
          <w:bCs/>
          <w:sz w:val="22"/>
          <w:szCs w:val="22"/>
        </w:rPr>
        <w:t xml:space="preserve"> Goodwill is also arguably not </w:t>
      </w:r>
      <w:r w:rsidR="002E2CED">
        <w:rPr>
          <w:bCs/>
          <w:sz w:val="22"/>
          <w:szCs w:val="22"/>
        </w:rPr>
        <w:t xml:space="preserve">a </w:t>
      </w:r>
      <w:r w:rsidR="00F342AA">
        <w:rPr>
          <w:bCs/>
          <w:sz w:val="22"/>
          <w:szCs w:val="22"/>
        </w:rPr>
        <w:t>‘material</w:t>
      </w:r>
      <w:r w:rsidR="002E2CED">
        <w:rPr>
          <w:bCs/>
          <w:sz w:val="22"/>
          <w:szCs w:val="22"/>
        </w:rPr>
        <w:t xml:space="preserve"> advantage</w:t>
      </w:r>
      <w:r w:rsidR="00F342AA">
        <w:rPr>
          <w:bCs/>
          <w:sz w:val="22"/>
          <w:szCs w:val="22"/>
        </w:rPr>
        <w:t xml:space="preserve">’ as it is an intangible asset, so this gift might be deductible under this division, however the expenditure on marketing and promoting the gift certainly is not. </w:t>
      </w:r>
    </w:p>
    <w:p w14:paraId="718DC5BE" w14:textId="77777777" w:rsidR="00F342AA" w:rsidRPr="00F342AA" w:rsidRDefault="00F342AA" w:rsidP="004101C1">
      <w:pPr>
        <w:pStyle w:val="Default"/>
        <w:rPr>
          <w:bCs/>
          <w:i/>
          <w:sz w:val="22"/>
          <w:szCs w:val="22"/>
        </w:rPr>
      </w:pPr>
    </w:p>
    <w:p w14:paraId="66E80368" w14:textId="77777777" w:rsidR="00F342AA" w:rsidRDefault="002E2CED" w:rsidP="004101C1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An easier</w:t>
      </w:r>
      <w:r w:rsidR="00F342AA">
        <w:rPr>
          <w:bCs/>
          <w:sz w:val="22"/>
          <w:szCs w:val="22"/>
        </w:rPr>
        <w:t xml:space="preserve"> way to consider the deductibility of both the</w:t>
      </w:r>
      <w:r w:rsidR="00A35038">
        <w:rPr>
          <w:bCs/>
          <w:sz w:val="22"/>
          <w:szCs w:val="22"/>
        </w:rPr>
        <w:t xml:space="preserve"> gift and the </w:t>
      </w:r>
      <w:r w:rsidR="007A0372">
        <w:rPr>
          <w:bCs/>
          <w:sz w:val="22"/>
          <w:szCs w:val="22"/>
        </w:rPr>
        <w:t xml:space="preserve">promotional activities </w:t>
      </w:r>
      <w:r w:rsidR="00F342AA">
        <w:rPr>
          <w:bCs/>
          <w:sz w:val="22"/>
          <w:szCs w:val="22"/>
        </w:rPr>
        <w:t>is under the</w:t>
      </w:r>
      <w:r w:rsidR="00A35038">
        <w:rPr>
          <w:bCs/>
          <w:sz w:val="22"/>
          <w:szCs w:val="22"/>
        </w:rPr>
        <w:t xml:space="preserve"> general deduction</w:t>
      </w:r>
      <w:r w:rsidR="007A0372">
        <w:rPr>
          <w:bCs/>
          <w:sz w:val="22"/>
          <w:szCs w:val="22"/>
        </w:rPr>
        <w:t xml:space="preserve"> </w:t>
      </w:r>
      <w:r w:rsidR="00F342AA">
        <w:rPr>
          <w:bCs/>
          <w:sz w:val="22"/>
          <w:szCs w:val="22"/>
        </w:rPr>
        <w:t>provision</w:t>
      </w:r>
      <w:r w:rsidR="00A35038">
        <w:rPr>
          <w:bCs/>
          <w:sz w:val="22"/>
          <w:szCs w:val="22"/>
        </w:rPr>
        <w:t xml:space="preserve"> if a nexus between the gift and the gaining or producing of assessable income can be established.</w:t>
      </w:r>
      <w:r w:rsidR="00A35038">
        <w:rPr>
          <w:rStyle w:val="FootnoteReference"/>
          <w:bCs/>
          <w:sz w:val="22"/>
          <w:szCs w:val="22"/>
        </w:rPr>
        <w:footnoteReference w:id="18"/>
      </w:r>
      <w:r w:rsidR="007A0372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The gift can</w:t>
      </w:r>
      <w:r w:rsidR="00A35038">
        <w:rPr>
          <w:bCs/>
          <w:sz w:val="22"/>
          <w:szCs w:val="22"/>
        </w:rPr>
        <w:t xml:space="preserve"> be</w:t>
      </w:r>
      <w:r w:rsidR="007A0372">
        <w:rPr>
          <w:bCs/>
          <w:sz w:val="22"/>
          <w:szCs w:val="22"/>
        </w:rPr>
        <w:t xml:space="preserve"> seen </w:t>
      </w:r>
      <w:r w:rsidR="00A35038">
        <w:rPr>
          <w:bCs/>
          <w:sz w:val="22"/>
          <w:szCs w:val="22"/>
        </w:rPr>
        <w:t xml:space="preserve">by customers (and potential customers) </w:t>
      </w:r>
      <w:r w:rsidR="007A0372">
        <w:rPr>
          <w:bCs/>
          <w:sz w:val="22"/>
          <w:szCs w:val="22"/>
        </w:rPr>
        <w:t>as</w:t>
      </w:r>
      <w:r w:rsidR="00A35038">
        <w:rPr>
          <w:bCs/>
          <w:sz w:val="22"/>
          <w:szCs w:val="22"/>
        </w:rPr>
        <w:t xml:space="preserve"> CC being</w:t>
      </w:r>
      <w:r w:rsidR="007A0372">
        <w:rPr>
          <w:bCs/>
          <w:sz w:val="22"/>
          <w:szCs w:val="22"/>
        </w:rPr>
        <w:t xml:space="preserve"> socially </w:t>
      </w:r>
      <w:r w:rsidR="00E12526">
        <w:rPr>
          <w:bCs/>
          <w:sz w:val="22"/>
          <w:szCs w:val="22"/>
        </w:rPr>
        <w:t>responsible</w:t>
      </w:r>
      <w:r w:rsidR="00A35038">
        <w:rPr>
          <w:bCs/>
          <w:sz w:val="22"/>
          <w:szCs w:val="22"/>
        </w:rPr>
        <w:t xml:space="preserve"> and community minded. This is arguably related to the gaining or </w:t>
      </w:r>
      <w:r w:rsidR="00E12526">
        <w:rPr>
          <w:bCs/>
          <w:sz w:val="22"/>
          <w:szCs w:val="22"/>
        </w:rPr>
        <w:t>producing</w:t>
      </w:r>
      <w:r w:rsidR="00A35038">
        <w:rPr>
          <w:bCs/>
          <w:sz w:val="22"/>
          <w:szCs w:val="22"/>
        </w:rPr>
        <w:t xml:space="preserve"> of</w:t>
      </w:r>
      <w:r w:rsidR="00E12526">
        <w:rPr>
          <w:bCs/>
          <w:sz w:val="22"/>
          <w:szCs w:val="22"/>
        </w:rPr>
        <w:t xml:space="preserve"> assessable income </w:t>
      </w:r>
      <w:r w:rsidR="007A0372">
        <w:rPr>
          <w:bCs/>
          <w:sz w:val="22"/>
          <w:szCs w:val="22"/>
        </w:rPr>
        <w:t xml:space="preserve">as a customer may </w:t>
      </w:r>
      <w:r w:rsidR="00E12526">
        <w:rPr>
          <w:bCs/>
          <w:sz w:val="22"/>
          <w:szCs w:val="22"/>
        </w:rPr>
        <w:t xml:space="preserve">be incentivised to </w:t>
      </w:r>
      <w:r w:rsidR="007A0372">
        <w:rPr>
          <w:bCs/>
          <w:sz w:val="22"/>
          <w:szCs w:val="22"/>
        </w:rPr>
        <w:t xml:space="preserve">trade with </w:t>
      </w:r>
      <w:r>
        <w:rPr>
          <w:bCs/>
          <w:sz w:val="22"/>
          <w:szCs w:val="22"/>
        </w:rPr>
        <w:t xml:space="preserve">a </w:t>
      </w:r>
      <w:r w:rsidR="007A0372">
        <w:rPr>
          <w:bCs/>
          <w:sz w:val="22"/>
          <w:szCs w:val="22"/>
        </w:rPr>
        <w:t xml:space="preserve">socially </w:t>
      </w:r>
      <w:r w:rsidR="00E12526">
        <w:rPr>
          <w:bCs/>
          <w:sz w:val="22"/>
          <w:szCs w:val="22"/>
        </w:rPr>
        <w:lastRenderedPageBreak/>
        <w:t xml:space="preserve">responsible businesses. However </w:t>
      </w:r>
      <w:r w:rsidR="00A35038">
        <w:rPr>
          <w:bCs/>
          <w:sz w:val="22"/>
          <w:szCs w:val="22"/>
        </w:rPr>
        <w:t>this might be a once</w:t>
      </w:r>
      <w:r w:rsidR="00152330">
        <w:rPr>
          <w:bCs/>
          <w:sz w:val="22"/>
          <w:szCs w:val="22"/>
        </w:rPr>
        <w:t>-</w:t>
      </w:r>
      <w:r w:rsidR="00A35038">
        <w:rPr>
          <w:bCs/>
          <w:sz w:val="22"/>
          <w:szCs w:val="22"/>
        </w:rPr>
        <w:t xml:space="preserve">off gift, if so it </w:t>
      </w:r>
      <w:r w:rsidR="00E12526">
        <w:rPr>
          <w:bCs/>
          <w:sz w:val="22"/>
          <w:szCs w:val="22"/>
        </w:rPr>
        <w:t>will likely be capital in nature</w:t>
      </w:r>
      <w:r>
        <w:rPr>
          <w:bCs/>
          <w:sz w:val="22"/>
          <w:szCs w:val="22"/>
        </w:rPr>
        <w:t xml:space="preserve"> and not deductible</w:t>
      </w:r>
      <w:r w:rsidR="00E12526">
        <w:rPr>
          <w:bCs/>
          <w:sz w:val="22"/>
          <w:szCs w:val="22"/>
        </w:rPr>
        <w:t>.</w:t>
      </w:r>
      <w:r w:rsidR="00E12526">
        <w:rPr>
          <w:rStyle w:val="FootnoteReference"/>
          <w:bCs/>
          <w:sz w:val="22"/>
          <w:szCs w:val="22"/>
        </w:rPr>
        <w:footnoteReference w:id="19"/>
      </w:r>
      <w:r w:rsidR="00A35038">
        <w:rPr>
          <w:bCs/>
          <w:sz w:val="22"/>
          <w:szCs w:val="22"/>
        </w:rPr>
        <w:t xml:space="preserve"> More facts are needed in relation to the rec</w:t>
      </w:r>
      <w:r>
        <w:rPr>
          <w:bCs/>
          <w:sz w:val="22"/>
          <w:szCs w:val="22"/>
        </w:rPr>
        <w:t>urrence of gifts given (if any).</w:t>
      </w:r>
    </w:p>
    <w:p w14:paraId="6DD79082" w14:textId="77777777" w:rsidR="00F342AA" w:rsidRDefault="00F342AA" w:rsidP="004101C1">
      <w:pPr>
        <w:pStyle w:val="Default"/>
        <w:rPr>
          <w:bCs/>
          <w:sz w:val="22"/>
          <w:szCs w:val="22"/>
        </w:rPr>
      </w:pPr>
    </w:p>
    <w:p w14:paraId="01CFC25E" w14:textId="77777777" w:rsidR="007A0372" w:rsidRPr="007A0372" w:rsidRDefault="00486A46" w:rsidP="004101C1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Assuming h</w:t>
      </w:r>
      <w:r w:rsidR="00F342AA">
        <w:rPr>
          <w:bCs/>
          <w:sz w:val="22"/>
          <w:szCs w:val="22"/>
        </w:rPr>
        <w:t xml:space="preserve">ardware is trading stock for CC </w:t>
      </w:r>
      <w:r w:rsidR="00625C69">
        <w:rPr>
          <w:bCs/>
          <w:sz w:val="22"/>
          <w:szCs w:val="22"/>
        </w:rPr>
        <w:t xml:space="preserve">and </w:t>
      </w:r>
      <w:r>
        <w:rPr>
          <w:bCs/>
          <w:sz w:val="22"/>
          <w:szCs w:val="22"/>
        </w:rPr>
        <w:t>meets</w:t>
      </w:r>
      <w:r w:rsidR="00F342AA">
        <w:rPr>
          <w:bCs/>
          <w:sz w:val="22"/>
          <w:szCs w:val="22"/>
        </w:rPr>
        <w:t xml:space="preserve"> the definition </w:t>
      </w:r>
      <w:r>
        <w:rPr>
          <w:bCs/>
          <w:sz w:val="22"/>
          <w:szCs w:val="22"/>
        </w:rPr>
        <w:t xml:space="preserve">under the </w:t>
      </w:r>
      <w:r>
        <w:rPr>
          <w:bCs/>
          <w:i/>
          <w:sz w:val="22"/>
          <w:szCs w:val="22"/>
        </w:rPr>
        <w:t>ITAA 97</w:t>
      </w:r>
      <w:r w:rsidR="00F342AA">
        <w:rPr>
          <w:bCs/>
          <w:sz w:val="22"/>
          <w:szCs w:val="22"/>
        </w:rPr>
        <w:t>.</w:t>
      </w:r>
      <w:r w:rsidR="00F342AA">
        <w:rPr>
          <w:rStyle w:val="FootnoteReference"/>
          <w:bCs/>
          <w:sz w:val="22"/>
          <w:szCs w:val="22"/>
        </w:rPr>
        <w:footnoteReference w:id="20"/>
      </w:r>
      <w:r w:rsidR="00A35038">
        <w:rPr>
          <w:bCs/>
          <w:sz w:val="22"/>
          <w:szCs w:val="22"/>
        </w:rPr>
        <w:t xml:space="preserve"> </w:t>
      </w:r>
      <w:r w:rsidR="00721146">
        <w:rPr>
          <w:bCs/>
          <w:sz w:val="22"/>
          <w:szCs w:val="22"/>
        </w:rPr>
        <w:t xml:space="preserve">Disposals of trading stock </w:t>
      </w:r>
      <w:r w:rsidR="0099287A">
        <w:rPr>
          <w:bCs/>
          <w:sz w:val="22"/>
          <w:szCs w:val="22"/>
        </w:rPr>
        <w:t>‘</w:t>
      </w:r>
      <w:r w:rsidR="00721146">
        <w:rPr>
          <w:bCs/>
          <w:sz w:val="22"/>
          <w:szCs w:val="22"/>
        </w:rPr>
        <w:t>outside the ordinary course of business</w:t>
      </w:r>
      <w:r w:rsidR="0099287A">
        <w:rPr>
          <w:bCs/>
          <w:sz w:val="22"/>
          <w:szCs w:val="22"/>
        </w:rPr>
        <w:t>’</w:t>
      </w:r>
      <w:r w:rsidR="00721146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are </w:t>
      </w:r>
      <w:r w:rsidR="00625C69">
        <w:rPr>
          <w:bCs/>
          <w:sz w:val="22"/>
          <w:szCs w:val="22"/>
        </w:rPr>
        <w:t>treated as a sales receipt</w:t>
      </w:r>
      <w:r>
        <w:rPr>
          <w:bCs/>
          <w:sz w:val="22"/>
          <w:szCs w:val="22"/>
        </w:rPr>
        <w:t xml:space="preserve"> for </w:t>
      </w:r>
      <w:r w:rsidR="00721146">
        <w:rPr>
          <w:bCs/>
          <w:sz w:val="22"/>
          <w:szCs w:val="22"/>
        </w:rPr>
        <w:t>the market value</w:t>
      </w:r>
      <w:r w:rsidR="00625C69">
        <w:rPr>
          <w:bCs/>
          <w:sz w:val="22"/>
          <w:szCs w:val="22"/>
        </w:rPr>
        <w:t xml:space="preserve"> </w:t>
      </w:r>
      <w:r w:rsidR="00721146">
        <w:rPr>
          <w:bCs/>
          <w:sz w:val="22"/>
          <w:szCs w:val="22"/>
        </w:rPr>
        <w:t>of the trading</w:t>
      </w:r>
      <w:r>
        <w:rPr>
          <w:bCs/>
          <w:sz w:val="22"/>
          <w:szCs w:val="22"/>
        </w:rPr>
        <w:t xml:space="preserve"> stock</w:t>
      </w:r>
      <w:r w:rsidR="00625C69">
        <w:rPr>
          <w:bCs/>
          <w:sz w:val="22"/>
          <w:szCs w:val="22"/>
        </w:rPr>
        <w:t xml:space="preserve"> on the day of disposal</w:t>
      </w:r>
      <w:r>
        <w:rPr>
          <w:bCs/>
          <w:sz w:val="22"/>
          <w:szCs w:val="22"/>
        </w:rPr>
        <w:t>.</w:t>
      </w:r>
      <w:r w:rsidR="00721146">
        <w:rPr>
          <w:rStyle w:val="FootnoteReference"/>
          <w:bCs/>
          <w:sz w:val="22"/>
          <w:szCs w:val="22"/>
        </w:rPr>
        <w:footnoteReference w:id="21"/>
      </w:r>
      <w:r w:rsidR="00721146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Meaning a year-end closing adjustment </w:t>
      </w:r>
      <w:r w:rsidR="00625C69">
        <w:rPr>
          <w:bCs/>
          <w:sz w:val="22"/>
          <w:szCs w:val="22"/>
        </w:rPr>
        <w:t>needs to be made to include the trading stock donated in assessable income.</w:t>
      </w:r>
      <w:r w:rsidR="002E2CED">
        <w:rPr>
          <w:bCs/>
          <w:sz w:val="22"/>
          <w:szCs w:val="22"/>
        </w:rPr>
        <w:t xml:space="preserve"> </w:t>
      </w:r>
    </w:p>
    <w:p w14:paraId="1A603C6F" w14:textId="77777777" w:rsidR="00486A46" w:rsidRDefault="00486A46" w:rsidP="00347609">
      <w:pPr>
        <w:pStyle w:val="Default"/>
        <w:rPr>
          <w:b/>
          <w:bCs/>
          <w:sz w:val="22"/>
          <w:szCs w:val="22"/>
        </w:rPr>
      </w:pPr>
    </w:p>
    <w:p w14:paraId="78FB2F36" w14:textId="77777777" w:rsidR="00555EDD" w:rsidRPr="00347609" w:rsidRDefault="00555EDD" w:rsidP="00347609">
      <w:pPr>
        <w:pStyle w:val="Default"/>
        <w:rPr>
          <w:sz w:val="22"/>
          <w:szCs w:val="22"/>
        </w:rPr>
      </w:pPr>
    </w:p>
    <w:p w14:paraId="574F26FF" w14:textId="77777777" w:rsidR="00347609" w:rsidRDefault="00347609" w:rsidP="00347609">
      <w:pPr>
        <w:pStyle w:val="Default"/>
        <w:rPr>
          <w:b/>
          <w:bCs/>
          <w:sz w:val="22"/>
          <w:szCs w:val="22"/>
        </w:rPr>
      </w:pPr>
      <w:r w:rsidRPr="00347609">
        <w:rPr>
          <w:b/>
          <w:bCs/>
          <w:i/>
          <w:iCs/>
          <w:sz w:val="22"/>
          <w:szCs w:val="22"/>
        </w:rPr>
        <w:t>Required</w:t>
      </w:r>
      <w:r w:rsidRPr="00347609">
        <w:rPr>
          <w:b/>
          <w:bCs/>
          <w:sz w:val="22"/>
          <w:szCs w:val="22"/>
        </w:rPr>
        <w:t xml:space="preserve">: For Gillian consider the effect on her taxable income of the following. Support your answers with case and legislative authority. Calculations are not required. </w:t>
      </w:r>
    </w:p>
    <w:p w14:paraId="1297F28F" w14:textId="77777777" w:rsidR="001F06E6" w:rsidRPr="00347609" w:rsidRDefault="001F06E6" w:rsidP="00347609">
      <w:pPr>
        <w:pStyle w:val="Default"/>
        <w:rPr>
          <w:sz w:val="22"/>
          <w:szCs w:val="22"/>
        </w:rPr>
      </w:pPr>
    </w:p>
    <w:p w14:paraId="6A411D55" w14:textId="77777777" w:rsidR="00347609" w:rsidRPr="004101C1" w:rsidRDefault="00347609" w:rsidP="00347609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347609">
        <w:rPr>
          <w:b/>
          <w:bCs/>
          <w:sz w:val="22"/>
          <w:szCs w:val="22"/>
        </w:rPr>
        <w:t xml:space="preserve">a) Each element of her salary package. (5 marks) </w:t>
      </w:r>
    </w:p>
    <w:p w14:paraId="5F0F275C" w14:textId="77777777" w:rsidR="004101C1" w:rsidRDefault="004101C1" w:rsidP="004101C1">
      <w:pPr>
        <w:pStyle w:val="Default"/>
        <w:rPr>
          <w:sz w:val="22"/>
          <w:szCs w:val="22"/>
        </w:rPr>
      </w:pPr>
    </w:p>
    <w:p w14:paraId="6365DA53" w14:textId="77777777" w:rsidR="0024631E" w:rsidRPr="0024631E" w:rsidRDefault="004101C1" w:rsidP="004101C1">
      <w:pPr>
        <w:pStyle w:val="Default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i/>
          <w:sz w:val="22"/>
          <w:szCs w:val="22"/>
        </w:rPr>
        <w:t>$200,000 Salary and the $40,000 lump sum</w:t>
      </w:r>
    </w:p>
    <w:p w14:paraId="55757D30" w14:textId="77777777" w:rsidR="001161E7" w:rsidRDefault="00555EDD" w:rsidP="005C42D0">
      <w:pPr>
        <w:pStyle w:val="Default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>Her salar</w:t>
      </w:r>
      <w:r w:rsidR="00D35B84">
        <w:rPr>
          <w:bCs/>
          <w:color w:val="auto"/>
          <w:sz w:val="22"/>
          <w:szCs w:val="22"/>
        </w:rPr>
        <w:t>y</w:t>
      </w:r>
      <w:r>
        <w:rPr>
          <w:bCs/>
          <w:color w:val="auto"/>
          <w:sz w:val="22"/>
          <w:szCs w:val="22"/>
        </w:rPr>
        <w:t xml:space="preserve"> is </w:t>
      </w:r>
      <w:r w:rsidR="00D35B84">
        <w:rPr>
          <w:bCs/>
          <w:color w:val="auto"/>
          <w:sz w:val="22"/>
          <w:szCs w:val="22"/>
        </w:rPr>
        <w:t>ordinary income under section 6</w:t>
      </w:r>
      <w:r w:rsidR="00152330">
        <w:rPr>
          <w:bCs/>
          <w:color w:val="auto"/>
          <w:sz w:val="22"/>
          <w:szCs w:val="22"/>
        </w:rPr>
        <w:t>-</w:t>
      </w:r>
      <w:r w:rsidR="00D35B84">
        <w:rPr>
          <w:bCs/>
          <w:color w:val="auto"/>
          <w:sz w:val="22"/>
          <w:szCs w:val="22"/>
        </w:rPr>
        <w:t xml:space="preserve">5 (1) of the </w:t>
      </w:r>
      <w:r w:rsidR="00D35B84">
        <w:rPr>
          <w:bCs/>
          <w:i/>
          <w:color w:val="auto"/>
          <w:sz w:val="22"/>
          <w:szCs w:val="22"/>
        </w:rPr>
        <w:t xml:space="preserve">ITAA </w:t>
      </w:r>
      <w:r w:rsidR="005C42D0">
        <w:rPr>
          <w:bCs/>
          <w:i/>
          <w:color w:val="auto"/>
          <w:sz w:val="22"/>
          <w:szCs w:val="22"/>
        </w:rPr>
        <w:t xml:space="preserve">97 </w:t>
      </w:r>
      <w:r w:rsidR="005C42D0">
        <w:rPr>
          <w:bCs/>
          <w:color w:val="auto"/>
          <w:sz w:val="22"/>
          <w:szCs w:val="22"/>
        </w:rPr>
        <w:t>as</w:t>
      </w:r>
      <w:r w:rsidR="00D35B84">
        <w:rPr>
          <w:bCs/>
          <w:color w:val="auto"/>
          <w:sz w:val="22"/>
          <w:szCs w:val="22"/>
        </w:rPr>
        <w:t xml:space="preserve"> she has made a gain that is cash,</w:t>
      </w:r>
      <w:r w:rsidR="00D35B84">
        <w:rPr>
          <w:rStyle w:val="FootnoteReference"/>
          <w:bCs/>
          <w:color w:val="auto"/>
          <w:sz w:val="22"/>
          <w:szCs w:val="22"/>
        </w:rPr>
        <w:footnoteReference w:id="22"/>
      </w:r>
      <w:r w:rsidR="00F21390">
        <w:rPr>
          <w:bCs/>
          <w:color w:val="auto"/>
          <w:sz w:val="22"/>
          <w:szCs w:val="22"/>
        </w:rPr>
        <w:t xml:space="preserve"> that is a real gain.</w:t>
      </w:r>
      <w:r w:rsidR="00D35B84">
        <w:rPr>
          <w:rStyle w:val="FootnoteReference"/>
          <w:bCs/>
          <w:color w:val="auto"/>
          <w:sz w:val="22"/>
          <w:szCs w:val="22"/>
        </w:rPr>
        <w:footnoteReference w:id="23"/>
      </w:r>
      <w:r w:rsidR="00D35B84">
        <w:rPr>
          <w:bCs/>
          <w:color w:val="auto"/>
          <w:sz w:val="22"/>
          <w:szCs w:val="22"/>
        </w:rPr>
        <w:t xml:space="preserve"> </w:t>
      </w:r>
      <w:r w:rsidR="00F21390">
        <w:rPr>
          <w:bCs/>
          <w:color w:val="auto"/>
          <w:sz w:val="22"/>
          <w:szCs w:val="22"/>
        </w:rPr>
        <w:t xml:space="preserve">It </w:t>
      </w:r>
      <w:r w:rsidR="001161E7">
        <w:rPr>
          <w:bCs/>
          <w:color w:val="auto"/>
          <w:sz w:val="22"/>
          <w:szCs w:val="22"/>
        </w:rPr>
        <w:t>is</w:t>
      </w:r>
      <w:r w:rsidR="00F21390">
        <w:rPr>
          <w:bCs/>
          <w:color w:val="auto"/>
          <w:sz w:val="22"/>
          <w:szCs w:val="22"/>
        </w:rPr>
        <w:t xml:space="preserve"> in turn regular and periodic which is a characteristic of ordinary income.</w:t>
      </w:r>
      <w:r w:rsidR="001161E7">
        <w:rPr>
          <w:rStyle w:val="FootnoteReference"/>
          <w:bCs/>
          <w:color w:val="auto"/>
          <w:sz w:val="22"/>
          <w:szCs w:val="22"/>
        </w:rPr>
        <w:footnoteReference w:id="24"/>
      </w:r>
      <w:r w:rsidR="00152330">
        <w:rPr>
          <w:bCs/>
          <w:color w:val="auto"/>
          <w:sz w:val="22"/>
          <w:szCs w:val="22"/>
        </w:rPr>
        <w:t xml:space="preserve"> </w:t>
      </w:r>
    </w:p>
    <w:p w14:paraId="17508EE1" w14:textId="77777777" w:rsidR="001161E7" w:rsidRDefault="001161E7" w:rsidP="005C42D0">
      <w:pPr>
        <w:pStyle w:val="Default"/>
        <w:rPr>
          <w:bCs/>
          <w:color w:val="auto"/>
          <w:sz w:val="22"/>
          <w:szCs w:val="22"/>
        </w:rPr>
      </w:pPr>
    </w:p>
    <w:p w14:paraId="08860B8F" w14:textId="77777777" w:rsidR="00F21390" w:rsidRDefault="0071788E" w:rsidP="005C42D0">
      <w:pPr>
        <w:pStyle w:val="Default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>Although the</w:t>
      </w:r>
      <w:r w:rsidR="004101C1">
        <w:rPr>
          <w:bCs/>
          <w:color w:val="auto"/>
          <w:sz w:val="22"/>
          <w:szCs w:val="22"/>
        </w:rPr>
        <w:t xml:space="preserve"> lump sum payment of $40,000</w:t>
      </w:r>
      <w:r w:rsidR="001161E7">
        <w:rPr>
          <w:bCs/>
          <w:color w:val="auto"/>
          <w:sz w:val="22"/>
          <w:szCs w:val="22"/>
        </w:rPr>
        <w:t xml:space="preserve"> </w:t>
      </w:r>
      <w:r w:rsidR="00F21390">
        <w:rPr>
          <w:bCs/>
          <w:color w:val="auto"/>
          <w:sz w:val="22"/>
          <w:szCs w:val="22"/>
        </w:rPr>
        <w:t>does not have the characteristic of being</w:t>
      </w:r>
      <w:r w:rsidR="001161E7">
        <w:rPr>
          <w:bCs/>
          <w:color w:val="auto"/>
          <w:sz w:val="22"/>
          <w:szCs w:val="22"/>
        </w:rPr>
        <w:t xml:space="preserve"> regular or periodic (assuming she does not get the same lump sum next financi</w:t>
      </w:r>
      <w:r>
        <w:rPr>
          <w:bCs/>
          <w:color w:val="auto"/>
          <w:sz w:val="22"/>
          <w:szCs w:val="22"/>
        </w:rPr>
        <w:t xml:space="preserve">al year), it satisfies the prerequisites </w:t>
      </w:r>
      <w:r w:rsidR="00F21390">
        <w:rPr>
          <w:bCs/>
          <w:color w:val="auto"/>
          <w:sz w:val="22"/>
          <w:szCs w:val="22"/>
        </w:rPr>
        <w:t>of ordinary income as it will be cash,</w:t>
      </w:r>
      <w:r w:rsidR="00F21390">
        <w:rPr>
          <w:rStyle w:val="FootnoteReference"/>
          <w:bCs/>
          <w:color w:val="auto"/>
          <w:sz w:val="22"/>
          <w:szCs w:val="22"/>
        </w:rPr>
        <w:footnoteReference w:id="25"/>
      </w:r>
      <w:r w:rsidR="00F21390">
        <w:rPr>
          <w:bCs/>
          <w:color w:val="auto"/>
          <w:sz w:val="22"/>
          <w:szCs w:val="22"/>
        </w:rPr>
        <w:t xml:space="preserve"> and a real gain.</w:t>
      </w:r>
      <w:r w:rsidR="00F21390">
        <w:rPr>
          <w:rStyle w:val="FootnoteReference"/>
          <w:bCs/>
          <w:color w:val="auto"/>
          <w:sz w:val="22"/>
          <w:szCs w:val="22"/>
        </w:rPr>
        <w:footnoteReference w:id="26"/>
      </w:r>
    </w:p>
    <w:p w14:paraId="19761ACF" w14:textId="77777777" w:rsidR="00F21390" w:rsidRDefault="00F21390" w:rsidP="005C42D0">
      <w:pPr>
        <w:pStyle w:val="Default"/>
        <w:rPr>
          <w:bCs/>
          <w:color w:val="auto"/>
          <w:sz w:val="22"/>
          <w:szCs w:val="22"/>
        </w:rPr>
      </w:pPr>
    </w:p>
    <w:p w14:paraId="62EF30F8" w14:textId="77777777" w:rsidR="004101C1" w:rsidRPr="00A16CF3" w:rsidRDefault="001876EC" w:rsidP="005C42D0">
      <w:pPr>
        <w:pStyle w:val="Default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>There is</w:t>
      </w:r>
      <w:r w:rsidR="005C42D0">
        <w:rPr>
          <w:bCs/>
          <w:color w:val="auto"/>
          <w:sz w:val="22"/>
          <w:szCs w:val="22"/>
        </w:rPr>
        <w:t xml:space="preserve"> a clear nexus between receiving this lump sum </w:t>
      </w:r>
      <w:r w:rsidR="001161E7">
        <w:rPr>
          <w:bCs/>
          <w:color w:val="auto"/>
          <w:sz w:val="22"/>
          <w:szCs w:val="22"/>
        </w:rPr>
        <w:t xml:space="preserve">(if received) </w:t>
      </w:r>
      <w:r w:rsidR="00577206">
        <w:rPr>
          <w:bCs/>
          <w:color w:val="auto"/>
          <w:sz w:val="22"/>
          <w:szCs w:val="22"/>
        </w:rPr>
        <w:t xml:space="preserve">and the likely </w:t>
      </w:r>
      <w:r w:rsidR="005C42D0">
        <w:rPr>
          <w:bCs/>
          <w:color w:val="auto"/>
          <w:sz w:val="22"/>
          <w:szCs w:val="22"/>
        </w:rPr>
        <w:t>work performed.</w:t>
      </w:r>
      <w:r w:rsidR="005C42D0">
        <w:rPr>
          <w:rStyle w:val="FootnoteReference"/>
          <w:bCs/>
          <w:color w:val="auto"/>
          <w:sz w:val="22"/>
          <w:szCs w:val="22"/>
        </w:rPr>
        <w:footnoteReference w:id="27"/>
      </w:r>
      <w:r>
        <w:rPr>
          <w:bCs/>
          <w:color w:val="auto"/>
          <w:sz w:val="22"/>
          <w:szCs w:val="22"/>
        </w:rPr>
        <w:t xml:space="preserve"> Hence it will be </w:t>
      </w:r>
      <w:r w:rsidR="00C413F3">
        <w:rPr>
          <w:bCs/>
          <w:color w:val="auto"/>
          <w:sz w:val="22"/>
          <w:szCs w:val="22"/>
        </w:rPr>
        <w:t xml:space="preserve">assessable </w:t>
      </w:r>
      <w:r w:rsidR="00F21390">
        <w:rPr>
          <w:bCs/>
          <w:color w:val="auto"/>
          <w:sz w:val="22"/>
          <w:szCs w:val="22"/>
        </w:rPr>
        <w:t xml:space="preserve">in the financial year. </w:t>
      </w:r>
    </w:p>
    <w:p w14:paraId="0D3675A9" w14:textId="77777777" w:rsidR="004101C1" w:rsidRDefault="004101C1" w:rsidP="004101C1">
      <w:pPr>
        <w:pStyle w:val="Default"/>
        <w:rPr>
          <w:b/>
          <w:bCs/>
          <w:sz w:val="22"/>
          <w:szCs w:val="22"/>
        </w:rPr>
      </w:pPr>
    </w:p>
    <w:p w14:paraId="7D4C8685" w14:textId="77777777" w:rsidR="0045080D" w:rsidRDefault="0045080D" w:rsidP="004101C1">
      <w:pPr>
        <w:pStyle w:val="Default"/>
        <w:rPr>
          <w:b/>
          <w:bCs/>
          <w:sz w:val="22"/>
          <w:szCs w:val="22"/>
        </w:rPr>
      </w:pPr>
    </w:p>
    <w:p w14:paraId="7BD18A02" w14:textId="77777777" w:rsidR="004101C1" w:rsidRPr="004101C1" w:rsidRDefault="004101C1" w:rsidP="004101C1">
      <w:pPr>
        <w:pStyle w:val="Default"/>
        <w:rPr>
          <w:b/>
          <w:bCs/>
          <w:sz w:val="22"/>
          <w:szCs w:val="22"/>
        </w:rPr>
      </w:pPr>
      <w:r>
        <w:rPr>
          <w:b/>
          <w:bCs/>
          <w:i/>
          <w:sz w:val="22"/>
          <w:szCs w:val="22"/>
        </w:rPr>
        <w:t xml:space="preserve">2. $100,000 sign-on and the potential tax implications of reimbursement </w:t>
      </w:r>
    </w:p>
    <w:p w14:paraId="30A86BEF" w14:textId="77777777" w:rsidR="004101C1" w:rsidRDefault="004101C1" w:rsidP="004101C1">
      <w:pPr>
        <w:pStyle w:val="Default"/>
        <w:rPr>
          <w:bCs/>
          <w:color w:val="auto"/>
          <w:sz w:val="22"/>
          <w:szCs w:val="22"/>
        </w:rPr>
      </w:pPr>
      <w:r>
        <w:rPr>
          <w:bCs/>
          <w:sz w:val="22"/>
          <w:szCs w:val="22"/>
        </w:rPr>
        <w:t xml:space="preserve">The lump sum of $100,000 is </w:t>
      </w:r>
      <w:r w:rsidR="0071788E">
        <w:rPr>
          <w:bCs/>
          <w:sz w:val="22"/>
          <w:szCs w:val="22"/>
        </w:rPr>
        <w:t xml:space="preserve">similar to the $40,000 in nature and should be treated </w:t>
      </w:r>
      <w:r w:rsidR="00EA6819">
        <w:rPr>
          <w:bCs/>
          <w:sz w:val="22"/>
          <w:szCs w:val="22"/>
        </w:rPr>
        <w:t xml:space="preserve">in the same way as </w:t>
      </w:r>
      <w:r w:rsidR="002352D7">
        <w:rPr>
          <w:bCs/>
          <w:sz w:val="22"/>
          <w:szCs w:val="22"/>
        </w:rPr>
        <w:t>explained above for the</w:t>
      </w:r>
      <w:r w:rsidR="00EA6819">
        <w:rPr>
          <w:bCs/>
          <w:sz w:val="22"/>
          <w:szCs w:val="22"/>
        </w:rPr>
        <w:t xml:space="preserve"> $40,000 lump sum.</w:t>
      </w:r>
      <w:r w:rsidR="00F21390">
        <w:rPr>
          <w:bCs/>
          <w:sz w:val="22"/>
          <w:szCs w:val="22"/>
        </w:rPr>
        <w:t xml:space="preserve"> Although an issue arises as to whether </w:t>
      </w:r>
      <w:r w:rsidR="002352D7">
        <w:rPr>
          <w:bCs/>
          <w:sz w:val="22"/>
          <w:szCs w:val="22"/>
        </w:rPr>
        <w:t>this payment is a capital receipt. The relevant test is are they giving up a capital right?</w:t>
      </w:r>
      <w:r w:rsidR="002352D7">
        <w:rPr>
          <w:rStyle w:val="FootnoteReference"/>
          <w:bCs/>
          <w:sz w:val="22"/>
          <w:szCs w:val="22"/>
        </w:rPr>
        <w:footnoteReference w:id="28"/>
      </w:r>
      <w:r w:rsidR="002352D7">
        <w:rPr>
          <w:bCs/>
          <w:sz w:val="22"/>
          <w:szCs w:val="22"/>
        </w:rPr>
        <w:t xml:space="preserve"> The payment is not restricting anything, but rather incentivising her to do something. That is giving</w:t>
      </w:r>
      <w:r w:rsidR="0071788E">
        <w:rPr>
          <w:bCs/>
          <w:sz w:val="22"/>
          <w:szCs w:val="22"/>
        </w:rPr>
        <w:t xml:space="preserve"> up working with old </w:t>
      </w:r>
      <w:r w:rsidR="002352D7">
        <w:rPr>
          <w:bCs/>
          <w:sz w:val="22"/>
          <w:szCs w:val="22"/>
        </w:rPr>
        <w:t xml:space="preserve">employer (compensation) and </w:t>
      </w:r>
      <w:r w:rsidR="0071788E">
        <w:rPr>
          <w:bCs/>
          <w:sz w:val="22"/>
          <w:szCs w:val="22"/>
        </w:rPr>
        <w:t>taking up the new job with CC. In this situation such a payment would not likely be found to be capital, but rather a ‘payment for future services’</w:t>
      </w:r>
      <w:r w:rsidR="00EA6819">
        <w:rPr>
          <w:bCs/>
          <w:sz w:val="22"/>
          <w:szCs w:val="22"/>
        </w:rPr>
        <w:t xml:space="preserve">, </w:t>
      </w:r>
      <w:r w:rsidR="002352D7">
        <w:rPr>
          <w:bCs/>
          <w:sz w:val="22"/>
          <w:szCs w:val="22"/>
        </w:rPr>
        <w:t>hence an</w:t>
      </w:r>
      <w:r w:rsidR="00EA6819">
        <w:rPr>
          <w:bCs/>
          <w:sz w:val="22"/>
          <w:szCs w:val="22"/>
        </w:rPr>
        <w:t xml:space="preserve"> ‘incident of’ her ‘employment’ with CC.</w:t>
      </w:r>
      <w:r w:rsidR="00EA6819">
        <w:rPr>
          <w:rStyle w:val="FootnoteReference"/>
          <w:bCs/>
          <w:sz w:val="22"/>
          <w:szCs w:val="22"/>
        </w:rPr>
        <w:footnoteReference w:id="29"/>
      </w:r>
      <w:r w:rsidR="00EA6819">
        <w:rPr>
          <w:bCs/>
          <w:color w:val="auto"/>
          <w:sz w:val="22"/>
          <w:szCs w:val="22"/>
        </w:rPr>
        <w:t xml:space="preserve"> </w:t>
      </w:r>
    </w:p>
    <w:p w14:paraId="48417761" w14:textId="77777777" w:rsidR="00EA6819" w:rsidRDefault="00EA6819" w:rsidP="004101C1">
      <w:pPr>
        <w:pStyle w:val="Default"/>
        <w:rPr>
          <w:bCs/>
          <w:color w:val="auto"/>
          <w:sz w:val="22"/>
          <w:szCs w:val="22"/>
        </w:rPr>
      </w:pPr>
    </w:p>
    <w:p w14:paraId="128DAFFD" w14:textId="77777777" w:rsidR="00EA6819" w:rsidRPr="00EA6819" w:rsidRDefault="00EA6819" w:rsidP="004101C1">
      <w:pPr>
        <w:pStyle w:val="Default"/>
        <w:rPr>
          <w:bCs/>
          <w:color w:val="auto"/>
          <w:sz w:val="22"/>
          <w:szCs w:val="22"/>
        </w:rPr>
      </w:pPr>
      <w:r>
        <w:rPr>
          <w:bCs/>
          <w:color w:val="auto"/>
          <w:sz w:val="22"/>
          <w:szCs w:val="22"/>
        </w:rPr>
        <w:t xml:space="preserve">If Gillian has to repay this amount or any portion thereof, she would be able to claim a deduction in equal proportion to the amount repaid. As the repayment is arguably incurred in gaining that </w:t>
      </w:r>
      <w:r>
        <w:rPr>
          <w:bCs/>
          <w:color w:val="auto"/>
          <w:sz w:val="22"/>
          <w:szCs w:val="22"/>
        </w:rPr>
        <w:lastRenderedPageBreak/>
        <w:t>income, as it is directly taking away that income (or part of).</w:t>
      </w:r>
      <w:r>
        <w:rPr>
          <w:rStyle w:val="FootnoteReference"/>
          <w:bCs/>
          <w:color w:val="auto"/>
          <w:sz w:val="22"/>
          <w:szCs w:val="22"/>
        </w:rPr>
        <w:footnoteReference w:id="30"/>
      </w:r>
      <w:r>
        <w:rPr>
          <w:bCs/>
          <w:color w:val="auto"/>
          <w:sz w:val="22"/>
          <w:szCs w:val="22"/>
        </w:rPr>
        <w:t xml:space="preserve"> It is an incident of </w:t>
      </w:r>
      <w:r w:rsidR="00E62D44">
        <w:rPr>
          <w:bCs/>
          <w:color w:val="auto"/>
          <w:sz w:val="22"/>
          <w:szCs w:val="22"/>
        </w:rPr>
        <w:t xml:space="preserve">receiving that income as </w:t>
      </w:r>
      <w:r>
        <w:rPr>
          <w:bCs/>
          <w:color w:val="auto"/>
          <w:sz w:val="22"/>
          <w:szCs w:val="22"/>
        </w:rPr>
        <w:t xml:space="preserve">the income received </w:t>
      </w:r>
      <w:r w:rsidR="00E62D44">
        <w:rPr>
          <w:bCs/>
          <w:color w:val="auto"/>
          <w:sz w:val="22"/>
          <w:szCs w:val="22"/>
        </w:rPr>
        <w:t>needs to be reimbursed</w:t>
      </w:r>
      <w:r>
        <w:rPr>
          <w:bCs/>
          <w:color w:val="auto"/>
          <w:sz w:val="22"/>
          <w:szCs w:val="22"/>
        </w:rPr>
        <w:t>.</w:t>
      </w:r>
      <w:r>
        <w:rPr>
          <w:rStyle w:val="FootnoteReference"/>
          <w:bCs/>
          <w:color w:val="auto"/>
          <w:sz w:val="22"/>
          <w:szCs w:val="22"/>
        </w:rPr>
        <w:footnoteReference w:id="31"/>
      </w:r>
    </w:p>
    <w:p w14:paraId="60A53807" w14:textId="77777777" w:rsidR="0045080D" w:rsidRDefault="0045080D" w:rsidP="004101C1">
      <w:pPr>
        <w:pStyle w:val="Default"/>
        <w:rPr>
          <w:bCs/>
          <w:i/>
          <w:sz w:val="22"/>
          <w:szCs w:val="22"/>
        </w:rPr>
      </w:pPr>
    </w:p>
    <w:p w14:paraId="3D634A72" w14:textId="77777777" w:rsidR="004101C1" w:rsidRDefault="004101C1" w:rsidP="004101C1">
      <w:pPr>
        <w:pStyle w:val="Default"/>
        <w:rPr>
          <w:b/>
          <w:bCs/>
          <w:i/>
          <w:sz w:val="22"/>
          <w:szCs w:val="22"/>
        </w:rPr>
      </w:pPr>
      <w:r>
        <w:rPr>
          <w:b/>
          <w:bCs/>
          <w:i/>
          <w:sz w:val="22"/>
          <w:szCs w:val="22"/>
        </w:rPr>
        <w:t>3. Superannuation contribution of 15%</w:t>
      </w:r>
    </w:p>
    <w:p w14:paraId="252BD274" w14:textId="77777777" w:rsidR="00A16CF3" w:rsidRPr="002A5383" w:rsidRDefault="002A5383" w:rsidP="00A16CF3">
      <w:pPr>
        <w:pStyle w:val="Default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>Constable v FCT</w:t>
      </w:r>
      <w:r>
        <w:rPr>
          <w:rStyle w:val="FootnoteReference"/>
          <w:bCs/>
          <w:sz w:val="22"/>
          <w:szCs w:val="22"/>
        </w:rPr>
        <w:footnoteReference w:id="32"/>
      </w:r>
      <w:r>
        <w:rPr>
          <w:bCs/>
          <w:sz w:val="22"/>
          <w:szCs w:val="22"/>
        </w:rPr>
        <w:t xml:space="preserve"> is authority for the non-assessability </w:t>
      </w:r>
      <w:r w:rsidR="004101C1" w:rsidRPr="004101C1">
        <w:rPr>
          <w:bCs/>
          <w:sz w:val="22"/>
          <w:szCs w:val="22"/>
        </w:rPr>
        <w:t xml:space="preserve">of employer </w:t>
      </w:r>
      <w:r>
        <w:rPr>
          <w:bCs/>
          <w:sz w:val="22"/>
          <w:szCs w:val="22"/>
        </w:rPr>
        <w:t xml:space="preserve">superannuation </w:t>
      </w:r>
      <w:r w:rsidR="004101C1" w:rsidRPr="004101C1">
        <w:rPr>
          <w:bCs/>
          <w:sz w:val="22"/>
          <w:szCs w:val="22"/>
        </w:rPr>
        <w:t>contributions</w:t>
      </w:r>
      <w:r>
        <w:rPr>
          <w:bCs/>
          <w:sz w:val="22"/>
          <w:szCs w:val="22"/>
        </w:rPr>
        <w:t xml:space="preserve"> as income. Gillian has not technically received this when looked at logically, and she cannot access this money until the fund is in pension mode or otherwise dealt with. </w:t>
      </w:r>
    </w:p>
    <w:p w14:paraId="1D357A38" w14:textId="77777777" w:rsidR="00A16CF3" w:rsidRDefault="00A16CF3" w:rsidP="00A16CF3">
      <w:pPr>
        <w:pStyle w:val="Default"/>
        <w:rPr>
          <w:bCs/>
          <w:color w:val="auto"/>
          <w:sz w:val="22"/>
          <w:szCs w:val="22"/>
        </w:rPr>
      </w:pPr>
    </w:p>
    <w:p w14:paraId="279E7429" w14:textId="77777777" w:rsidR="0045080D" w:rsidRDefault="0045080D" w:rsidP="00A16CF3">
      <w:pPr>
        <w:pStyle w:val="Default"/>
        <w:rPr>
          <w:bCs/>
          <w:color w:val="auto"/>
          <w:sz w:val="22"/>
          <w:szCs w:val="22"/>
        </w:rPr>
      </w:pPr>
    </w:p>
    <w:p w14:paraId="04DB1D1E" w14:textId="77777777" w:rsidR="0072780E" w:rsidRDefault="00347609" w:rsidP="0072780E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347609">
        <w:rPr>
          <w:b/>
          <w:bCs/>
          <w:sz w:val="22"/>
          <w:szCs w:val="22"/>
        </w:rPr>
        <w:t xml:space="preserve">b) The receipt of the wine. (5 marks) </w:t>
      </w:r>
    </w:p>
    <w:p w14:paraId="64F8C1AB" w14:textId="77777777" w:rsidR="002C7B69" w:rsidRDefault="002C7B69" w:rsidP="0072780E">
      <w:pPr>
        <w:pStyle w:val="Default"/>
        <w:rPr>
          <w:i/>
          <w:sz w:val="22"/>
          <w:szCs w:val="22"/>
        </w:rPr>
      </w:pPr>
    </w:p>
    <w:p w14:paraId="362A98AF" w14:textId="77777777" w:rsidR="007A5005" w:rsidRDefault="00DE34BE" w:rsidP="0072780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It should be noted that the fact that Gillian has given away the wine to a friend does not stop it being potentially captured as assessable income</w:t>
      </w:r>
      <w:r w:rsidR="007A5005">
        <w:rPr>
          <w:sz w:val="22"/>
          <w:szCs w:val="22"/>
        </w:rPr>
        <w:t xml:space="preserve"> in it of itself</w:t>
      </w:r>
      <w:r>
        <w:rPr>
          <w:sz w:val="22"/>
          <w:szCs w:val="22"/>
        </w:rPr>
        <w:t>.</w:t>
      </w:r>
      <w:r>
        <w:rPr>
          <w:rStyle w:val="FootnoteReference"/>
          <w:sz w:val="22"/>
          <w:szCs w:val="22"/>
        </w:rPr>
        <w:footnoteReference w:id="33"/>
      </w:r>
      <w:r>
        <w:rPr>
          <w:sz w:val="22"/>
          <w:szCs w:val="22"/>
        </w:rPr>
        <w:t xml:space="preserve"> </w:t>
      </w:r>
      <w:r w:rsidR="007A5005">
        <w:rPr>
          <w:sz w:val="22"/>
          <w:szCs w:val="22"/>
        </w:rPr>
        <w:t>She will be deemed to have still derived it (if it is assessable) as she has ‘dealt with it’ by giving it to a friend.</w:t>
      </w:r>
      <w:r w:rsidR="007A5005">
        <w:rPr>
          <w:rStyle w:val="FootnoteReference"/>
          <w:sz w:val="22"/>
          <w:szCs w:val="22"/>
        </w:rPr>
        <w:footnoteReference w:id="34"/>
      </w:r>
      <w:r w:rsidR="007A5005">
        <w:rPr>
          <w:sz w:val="22"/>
          <w:szCs w:val="22"/>
        </w:rPr>
        <w:t xml:space="preserve"> </w:t>
      </w:r>
    </w:p>
    <w:p w14:paraId="1B304A11" w14:textId="77777777" w:rsidR="007A5005" w:rsidRDefault="007A5005" w:rsidP="0072780E">
      <w:pPr>
        <w:pStyle w:val="Default"/>
        <w:rPr>
          <w:sz w:val="22"/>
          <w:szCs w:val="22"/>
        </w:rPr>
      </w:pPr>
    </w:p>
    <w:p w14:paraId="26963582" w14:textId="77777777" w:rsidR="002A5383" w:rsidRDefault="002A5383" w:rsidP="0072780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The gif</w:t>
      </w:r>
      <w:r w:rsidR="00D108A3">
        <w:rPr>
          <w:sz w:val="22"/>
          <w:szCs w:val="22"/>
        </w:rPr>
        <w:t>t of wine</w:t>
      </w:r>
      <w:r>
        <w:rPr>
          <w:sz w:val="22"/>
          <w:szCs w:val="22"/>
        </w:rPr>
        <w:t xml:space="preserve"> is convertible as cash. She could arguably sell it and convert it to cash </w:t>
      </w:r>
      <w:r w:rsidR="007A5005">
        <w:rPr>
          <w:sz w:val="22"/>
          <w:szCs w:val="22"/>
        </w:rPr>
        <w:t>or give it to a third party (which she has done)</w:t>
      </w:r>
      <w:r>
        <w:rPr>
          <w:sz w:val="22"/>
          <w:szCs w:val="22"/>
        </w:rPr>
        <w:t xml:space="preserve">. </w:t>
      </w:r>
      <w:r w:rsidR="00DE34BE">
        <w:rPr>
          <w:sz w:val="22"/>
          <w:szCs w:val="22"/>
        </w:rPr>
        <w:t>However to her, it was not ‘expected’.</w:t>
      </w:r>
      <w:r w:rsidR="00DE34BE">
        <w:rPr>
          <w:rStyle w:val="FootnoteReference"/>
          <w:sz w:val="22"/>
          <w:szCs w:val="22"/>
        </w:rPr>
        <w:footnoteReference w:id="35"/>
      </w:r>
      <w:r w:rsidR="00DE34BE">
        <w:rPr>
          <w:sz w:val="22"/>
          <w:szCs w:val="22"/>
        </w:rPr>
        <w:t xml:space="preserve"> Hence s</w:t>
      </w:r>
      <w:r w:rsidR="00D108A3">
        <w:rPr>
          <w:sz w:val="22"/>
          <w:szCs w:val="22"/>
        </w:rPr>
        <w:t>ection</w:t>
      </w:r>
      <w:r w:rsidR="00DE34BE">
        <w:rPr>
          <w:sz w:val="22"/>
          <w:szCs w:val="22"/>
        </w:rPr>
        <w:t xml:space="preserve"> 15</w:t>
      </w:r>
      <w:r w:rsidR="00D108A3">
        <w:rPr>
          <w:sz w:val="22"/>
          <w:szCs w:val="22"/>
        </w:rPr>
        <w:t>-</w:t>
      </w:r>
      <w:r w:rsidR="00DE34BE">
        <w:rPr>
          <w:sz w:val="22"/>
          <w:szCs w:val="22"/>
        </w:rPr>
        <w:t>2</w:t>
      </w:r>
      <w:r w:rsidR="00D108A3">
        <w:rPr>
          <w:sz w:val="22"/>
          <w:szCs w:val="22"/>
        </w:rPr>
        <w:t xml:space="preserve"> of the </w:t>
      </w:r>
      <w:r w:rsidR="00D108A3">
        <w:rPr>
          <w:i/>
          <w:sz w:val="22"/>
          <w:szCs w:val="22"/>
        </w:rPr>
        <w:t>ITAA 97</w:t>
      </w:r>
      <w:r w:rsidR="00DE34BE">
        <w:rPr>
          <w:sz w:val="22"/>
          <w:szCs w:val="22"/>
        </w:rPr>
        <w:t xml:space="preserve"> might apply by default </w:t>
      </w:r>
      <w:r w:rsidR="00D108A3">
        <w:rPr>
          <w:sz w:val="22"/>
          <w:szCs w:val="22"/>
        </w:rPr>
        <w:t xml:space="preserve">bringing the wine into </w:t>
      </w:r>
      <w:r w:rsidR="00DE34BE">
        <w:rPr>
          <w:sz w:val="22"/>
          <w:szCs w:val="22"/>
        </w:rPr>
        <w:t>statutory income.</w:t>
      </w:r>
      <w:r w:rsidR="00DE34BE">
        <w:rPr>
          <w:rStyle w:val="FootnoteReference"/>
          <w:sz w:val="22"/>
          <w:szCs w:val="22"/>
        </w:rPr>
        <w:footnoteReference w:id="36"/>
      </w:r>
      <w:r w:rsidR="00DE34BE">
        <w:rPr>
          <w:sz w:val="22"/>
          <w:szCs w:val="22"/>
        </w:rPr>
        <w:t xml:space="preserve"> </w:t>
      </w:r>
      <w:r w:rsidR="00D108A3">
        <w:rPr>
          <w:sz w:val="22"/>
          <w:szCs w:val="22"/>
        </w:rPr>
        <w:t xml:space="preserve">What </w:t>
      </w:r>
      <w:r w:rsidR="00DE34BE">
        <w:rPr>
          <w:sz w:val="22"/>
          <w:szCs w:val="22"/>
        </w:rPr>
        <w:t>is crucial</w:t>
      </w:r>
      <w:r w:rsidR="00D108A3">
        <w:rPr>
          <w:sz w:val="22"/>
          <w:szCs w:val="22"/>
        </w:rPr>
        <w:t xml:space="preserve"> here</w:t>
      </w:r>
      <w:r w:rsidR="00DE34BE">
        <w:rPr>
          <w:sz w:val="22"/>
          <w:szCs w:val="22"/>
        </w:rPr>
        <w:t xml:space="preserve"> is </w:t>
      </w:r>
      <w:r w:rsidR="007A5005">
        <w:rPr>
          <w:sz w:val="22"/>
          <w:szCs w:val="22"/>
        </w:rPr>
        <w:t>a nexus in respect of employment.</w:t>
      </w:r>
      <w:r w:rsidR="007A5005">
        <w:rPr>
          <w:rStyle w:val="FootnoteReference"/>
          <w:sz w:val="22"/>
          <w:szCs w:val="22"/>
        </w:rPr>
        <w:footnoteReference w:id="37"/>
      </w:r>
      <w:r w:rsidR="007A5005">
        <w:rPr>
          <w:sz w:val="22"/>
          <w:szCs w:val="22"/>
        </w:rPr>
        <w:t xml:space="preserve"> On the one hand it could be said that she would not have received this wine if it weren’t for her employment. However</w:t>
      </w:r>
      <w:r w:rsidR="00257039">
        <w:rPr>
          <w:sz w:val="22"/>
          <w:szCs w:val="22"/>
        </w:rPr>
        <w:t xml:space="preserve"> on the other hand, in which I agree, she has not received</w:t>
      </w:r>
      <w:r w:rsidR="007A5005">
        <w:rPr>
          <w:sz w:val="22"/>
          <w:szCs w:val="22"/>
        </w:rPr>
        <w:t xml:space="preserve"> something arising out of </w:t>
      </w:r>
      <w:r w:rsidR="00257039">
        <w:rPr>
          <w:sz w:val="22"/>
          <w:szCs w:val="22"/>
        </w:rPr>
        <w:t xml:space="preserve">services rendered in employment (for example a bonus for increasing sales), </w:t>
      </w:r>
      <w:r w:rsidR="00DA1F91">
        <w:rPr>
          <w:sz w:val="22"/>
          <w:szCs w:val="22"/>
        </w:rPr>
        <w:t>rather it was for her</w:t>
      </w:r>
      <w:r w:rsidR="00257039">
        <w:rPr>
          <w:sz w:val="22"/>
          <w:szCs w:val="22"/>
        </w:rPr>
        <w:t xml:space="preserve"> predecessor</w:t>
      </w:r>
      <w:r w:rsidR="00DA1F91">
        <w:rPr>
          <w:sz w:val="22"/>
          <w:szCs w:val="22"/>
        </w:rPr>
        <w:t>’s discounts given</w:t>
      </w:r>
      <w:r w:rsidR="00257039">
        <w:rPr>
          <w:sz w:val="22"/>
          <w:szCs w:val="22"/>
        </w:rPr>
        <w:t xml:space="preserve">, so it will not fall into assessable income. </w:t>
      </w:r>
    </w:p>
    <w:p w14:paraId="6B8F9311" w14:textId="77777777" w:rsidR="002C7B69" w:rsidRDefault="002C7B69" w:rsidP="0072780E">
      <w:pPr>
        <w:pStyle w:val="Default"/>
        <w:rPr>
          <w:i/>
          <w:sz w:val="22"/>
          <w:szCs w:val="22"/>
        </w:rPr>
      </w:pPr>
    </w:p>
    <w:p w14:paraId="7E09E104" w14:textId="77777777" w:rsidR="0045080D" w:rsidRPr="0072780E" w:rsidRDefault="0045080D" w:rsidP="0072780E">
      <w:pPr>
        <w:pStyle w:val="Default"/>
        <w:rPr>
          <w:i/>
          <w:sz w:val="22"/>
          <w:szCs w:val="22"/>
        </w:rPr>
      </w:pPr>
    </w:p>
    <w:p w14:paraId="5C0A61BE" w14:textId="77777777" w:rsidR="00347609" w:rsidRPr="00F14B9C" w:rsidRDefault="00347609" w:rsidP="00347609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347609">
        <w:rPr>
          <w:b/>
          <w:bCs/>
          <w:sz w:val="22"/>
          <w:szCs w:val="22"/>
        </w:rPr>
        <w:t xml:space="preserve">c) The sale of her investment property and bit coin. (5 marks) </w:t>
      </w:r>
    </w:p>
    <w:p w14:paraId="1554A9A4" w14:textId="77777777" w:rsidR="001E268D" w:rsidRDefault="001E268D" w:rsidP="00F14B9C">
      <w:pPr>
        <w:pStyle w:val="Default"/>
        <w:rPr>
          <w:bCs/>
          <w:sz w:val="22"/>
          <w:szCs w:val="22"/>
        </w:rPr>
      </w:pPr>
    </w:p>
    <w:p w14:paraId="6BFCB677" w14:textId="77777777" w:rsidR="001E268D" w:rsidRPr="001E268D" w:rsidRDefault="001E268D" w:rsidP="00F14B9C">
      <w:pPr>
        <w:pStyle w:val="Default"/>
        <w:rPr>
          <w:bCs/>
          <w:sz w:val="22"/>
          <w:szCs w:val="22"/>
        </w:rPr>
      </w:pPr>
      <w:r>
        <w:rPr>
          <w:b/>
          <w:bCs/>
          <w:i/>
          <w:sz w:val="22"/>
          <w:szCs w:val="22"/>
        </w:rPr>
        <w:t xml:space="preserve">Investment property </w:t>
      </w:r>
    </w:p>
    <w:p w14:paraId="58F0F4C8" w14:textId="77777777" w:rsidR="00E83910" w:rsidRDefault="001E268D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The </w:t>
      </w:r>
      <w:r w:rsidR="00E83910">
        <w:rPr>
          <w:bCs/>
          <w:sz w:val="22"/>
          <w:szCs w:val="22"/>
        </w:rPr>
        <w:t>disposal</w:t>
      </w:r>
      <w:r>
        <w:rPr>
          <w:bCs/>
          <w:sz w:val="22"/>
          <w:szCs w:val="22"/>
        </w:rPr>
        <w:t xml:space="preserve"> of her investment property will likely attract capital gains tax. She is not</w:t>
      </w:r>
      <w:r w:rsidR="00F14B9C">
        <w:rPr>
          <w:bCs/>
          <w:sz w:val="22"/>
          <w:szCs w:val="22"/>
        </w:rPr>
        <w:t xml:space="preserve"> carrying on a business</w:t>
      </w:r>
      <w:r>
        <w:rPr>
          <w:bCs/>
          <w:sz w:val="22"/>
          <w:szCs w:val="22"/>
        </w:rPr>
        <w:t xml:space="preserve"> of selling investment properties</w:t>
      </w:r>
      <w:r w:rsidR="00617832">
        <w:rPr>
          <w:bCs/>
          <w:sz w:val="22"/>
          <w:szCs w:val="22"/>
        </w:rPr>
        <w:t xml:space="preserve"> as</w:t>
      </w:r>
      <w:r>
        <w:rPr>
          <w:bCs/>
          <w:sz w:val="22"/>
          <w:szCs w:val="22"/>
        </w:rPr>
        <w:t xml:space="preserve"> she</w:t>
      </w:r>
      <w:r w:rsidR="00617832">
        <w:rPr>
          <w:bCs/>
          <w:sz w:val="22"/>
          <w:szCs w:val="22"/>
        </w:rPr>
        <w:t xml:space="preserve"> had to sell</w:t>
      </w:r>
      <w:r>
        <w:rPr>
          <w:bCs/>
          <w:sz w:val="22"/>
          <w:szCs w:val="22"/>
        </w:rPr>
        <w:t xml:space="preserve"> the property</w:t>
      </w:r>
      <w:r w:rsidR="00617832">
        <w:rPr>
          <w:bCs/>
          <w:sz w:val="22"/>
          <w:szCs w:val="22"/>
        </w:rPr>
        <w:t xml:space="preserve"> due to new employment.</w:t>
      </w:r>
      <w:r>
        <w:rPr>
          <w:bCs/>
          <w:sz w:val="22"/>
          <w:szCs w:val="22"/>
        </w:rPr>
        <w:t xml:space="preserve"> Here an A1 capital gains tax (“CGT”) event has occurred.</w:t>
      </w:r>
      <w:r w:rsidR="00E83910">
        <w:rPr>
          <w:rStyle w:val="FootnoteReference"/>
          <w:bCs/>
          <w:sz w:val="22"/>
          <w:szCs w:val="22"/>
        </w:rPr>
        <w:footnoteReference w:id="38"/>
      </w:r>
      <w:r>
        <w:rPr>
          <w:bCs/>
          <w:sz w:val="22"/>
          <w:szCs w:val="22"/>
        </w:rPr>
        <w:t xml:space="preserve"> </w:t>
      </w:r>
      <w:r w:rsidR="00E83910">
        <w:rPr>
          <w:bCs/>
          <w:sz w:val="22"/>
          <w:szCs w:val="22"/>
        </w:rPr>
        <w:t xml:space="preserve">The land and building </w:t>
      </w:r>
      <w:r w:rsidR="00326E9A">
        <w:rPr>
          <w:bCs/>
          <w:sz w:val="22"/>
          <w:szCs w:val="22"/>
        </w:rPr>
        <w:t>are</w:t>
      </w:r>
      <w:r w:rsidR="00E83910">
        <w:rPr>
          <w:bCs/>
          <w:sz w:val="22"/>
          <w:szCs w:val="22"/>
        </w:rPr>
        <w:t xml:space="preserve"> </w:t>
      </w:r>
      <w:r w:rsidR="00424535">
        <w:rPr>
          <w:bCs/>
          <w:sz w:val="22"/>
          <w:szCs w:val="22"/>
        </w:rPr>
        <w:t>the</w:t>
      </w:r>
      <w:r w:rsidR="002659C4">
        <w:rPr>
          <w:bCs/>
          <w:sz w:val="22"/>
          <w:szCs w:val="22"/>
        </w:rPr>
        <w:t xml:space="preserve"> </w:t>
      </w:r>
      <w:r w:rsidR="00424535">
        <w:rPr>
          <w:bCs/>
          <w:sz w:val="22"/>
          <w:szCs w:val="22"/>
        </w:rPr>
        <w:t>CGT asset.</w:t>
      </w:r>
      <w:r w:rsidR="00E83910">
        <w:rPr>
          <w:rStyle w:val="FootnoteReference"/>
          <w:bCs/>
          <w:sz w:val="22"/>
          <w:szCs w:val="22"/>
        </w:rPr>
        <w:footnoteReference w:id="39"/>
      </w:r>
      <w:r w:rsidR="00E83910">
        <w:rPr>
          <w:bCs/>
          <w:sz w:val="22"/>
          <w:szCs w:val="22"/>
        </w:rPr>
        <w:t xml:space="preserve"> The cost of acquiring the land and the building initially and the improvements (the extension) are expenses that are on their face deductible under the positive limb of s 8-1,</w:t>
      </w:r>
      <w:r w:rsidR="00E83910">
        <w:rPr>
          <w:rStyle w:val="FootnoteReference"/>
          <w:bCs/>
          <w:sz w:val="22"/>
          <w:szCs w:val="22"/>
        </w:rPr>
        <w:footnoteReference w:id="40"/>
      </w:r>
      <w:r w:rsidR="00E83910">
        <w:rPr>
          <w:bCs/>
          <w:sz w:val="22"/>
          <w:szCs w:val="22"/>
        </w:rPr>
        <w:t xml:space="preserve"> as it has been improved and acquired for an income producing purpose. However the expense is capital in nature, so no </w:t>
      </w:r>
      <w:r w:rsidR="00424535">
        <w:rPr>
          <w:bCs/>
          <w:sz w:val="22"/>
          <w:szCs w:val="22"/>
        </w:rPr>
        <w:t>straight write-</w:t>
      </w:r>
      <w:r w:rsidR="002659C4">
        <w:rPr>
          <w:bCs/>
          <w:sz w:val="22"/>
          <w:szCs w:val="22"/>
        </w:rPr>
        <w:t>off</w:t>
      </w:r>
      <w:r w:rsidR="00E83910">
        <w:rPr>
          <w:bCs/>
          <w:sz w:val="22"/>
          <w:szCs w:val="22"/>
        </w:rPr>
        <w:t xml:space="preserve"> arises.</w:t>
      </w:r>
      <w:r w:rsidR="00E83910">
        <w:rPr>
          <w:rStyle w:val="FootnoteReference"/>
          <w:bCs/>
          <w:sz w:val="22"/>
          <w:szCs w:val="22"/>
        </w:rPr>
        <w:footnoteReference w:id="41"/>
      </w:r>
      <w:r w:rsidR="002659C4">
        <w:rPr>
          <w:bCs/>
          <w:sz w:val="22"/>
          <w:szCs w:val="22"/>
        </w:rPr>
        <w:t xml:space="preserve"> </w:t>
      </w:r>
      <w:r w:rsidR="00E83910">
        <w:rPr>
          <w:bCs/>
          <w:sz w:val="22"/>
          <w:szCs w:val="22"/>
        </w:rPr>
        <w:t xml:space="preserve">A capital </w:t>
      </w:r>
      <w:r w:rsidR="002659C4">
        <w:rPr>
          <w:bCs/>
          <w:sz w:val="22"/>
          <w:szCs w:val="22"/>
        </w:rPr>
        <w:t>allowance</w:t>
      </w:r>
      <w:r w:rsidR="00E83910">
        <w:rPr>
          <w:bCs/>
          <w:sz w:val="22"/>
          <w:szCs w:val="22"/>
        </w:rPr>
        <w:t xml:space="preserve"> deduction would have been allowed</w:t>
      </w:r>
      <w:r w:rsidR="00326E9A">
        <w:rPr>
          <w:bCs/>
          <w:sz w:val="22"/>
          <w:szCs w:val="22"/>
        </w:rPr>
        <w:t xml:space="preserve"> each year (see calculation below)</w:t>
      </w:r>
      <w:r w:rsidR="00E83910">
        <w:rPr>
          <w:bCs/>
          <w:sz w:val="22"/>
          <w:szCs w:val="22"/>
        </w:rPr>
        <w:t xml:space="preserve"> for the extension costs under division 43.</w:t>
      </w:r>
      <w:r w:rsidR="00E83910">
        <w:rPr>
          <w:rStyle w:val="FootnoteReference"/>
          <w:bCs/>
          <w:sz w:val="22"/>
          <w:szCs w:val="22"/>
        </w:rPr>
        <w:footnoteReference w:id="42"/>
      </w:r>
      <w:r w:rsidR="002659C4">
        <w:rPr>
          <w:bCs/>
          <w:sz w:val="22"/>
          <w:szCs w:val="22"/>
        </w:rPr>
        <w:t xml:space="preserve"> If these amounts have not been deducted the full amount of $100,000 will be added to the cost base instead. However for </w:t>
      </w:r>
      <w:r w:rsidR="00F77DE8">
        <w:rPr>
          <w:bCs/>
          <w:sz w:val="22"/>
          <w:szCs w:val="22"/>
        </w:rPr>
        <w:t>purposes</w:t>
      </w:r>
      <w:r w:rsidR="002659C4">
        <w:rPr>
          <w:bCs/>
          <w:sz w:val="22"/>
          <w:szCs w:val="22"/>
        </w:rPr>
        <w:t xml:space="preserve"> of this example they have been presumed to have been deducted each financial year since 27 October 2008 and are taken out of the cost base.</w:t>
      </w:r>
    </w:p>
    <w:p w14:paraId="2EEB78BF" w14:textId="77777777" w:rsidR="001E268D" w:rsidRDefault="001E268D" w:rsidP="00F14B9C">
      <w:pPr>
        <w:pStyle w:val="Default"/>
        <w:rPr>
          <w:bCs/>
          <w:sz w:val="22"/>
          <w:szCs w:val="22"/>
        </w:rPr>
      </w:pPr>
    </w:p>
    <w:p w14:paraId="1A83F3EE" w14:textId="77777777" w:rsidR="00EB1FA8" w:rsidRDefault="001E268D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The contract date is</w:t>
      </w:r>
      <w:r w:rsidR="002659C4">
        <w:rPr>
          <w:bCs/>
          <w:sz w:val="22"/>
          <w:szCs w:val="22"/>
        </w:rPr>
        <w:t xml:space="preserve"> the</w:t>
      </w:r>
      <w:r>
        <w:rPr>
          <w:bCs/>
          <w:sz w:val="22"/>
          <w:szCs w:val="22"/>
        </w:rPr>
        <w:t xml:space="preserve"> year in which the gain has to be reported (2018 financial year).</w:t>
      </w:r>
      <w:r w:rsidR="00E83910">
        <w:rPr>
          <w:rStyle w:val="FootnoteReference"/>
          <w:bCs/>
          <w:sz w:val="22"/>
          <w:szCs w:val="22"/>
        </w:rPr>
        <w:footnoteReference w:id="43"/>
      </w:r>
      <w:r w:rsidR="00BC293D">
        <w:rPr>
          <w:bCs/>
          <w:sz w:val="22"/>
          <w:szCs w:val="22"/>
        </w:rPr>
        <w:t xml:space="preserve"> </w:t>
      </w:r>
      <w:r w:rsidR="002659C4">
        <w:rPr>
          <w:bCs/>
          <w:sz w:val="22"/>
          <w:szCs w:val="22"/>
        </w:rPr>
        <w:t>The capital gain, less any current year losses</w:t>
      </w:r>
      <w:r w:rsidR="00F77DE8">
        <w:rPr>
          <w:bCs/>
          <w:sz w:val="22"/>
          <w:szCs w:val="22"/>
        </w:rPr>
        <w:t>,</w:t>
      </w:r>
      <w:r w:rsidR="00F77DE8">
        <w:rPr>
          <w:rStyle w:val="FootnoteReference"/>
          <w:bCs/>
          <w:sz w:val="22"/>
          <w:szCs w:val="22"/>
        </w:rPr>
        <w:footnoteReference w:id="44"/>
      </w:r>
      <w:r w:rsidR="00F77DE8">
        <w:rPr>
          <w:bCs/>
          <w:sz w:val="22"/>
          <w:szCs w:val="22"/>
        </w:rPr>
        <w:t xml:space="preserve"> </w:t>
      </w:r>
      <w:r w:rsidR="002659C4">
        <w:rPr>
          <w:bCs/>
          <w:sz w:val="22"/>
          <w:szCs w:val="22"/>
        </w:rPr>
        <w:t>is eligible for discount.</w:t>
      </w:r>
      <w:r w:rsidR="002659C4">
        <w:rPr>
          <w:rStyle w:val="FootnoteReference"/>
          <w:bCs/>
          <w:sz w:val="22"/>
          <w:szCs w:val="22"/>
        </w:rPr>
        <w:footnoteReference w:id="45"/>
      </w:r>
      <w:r w:rsidR="002659C4">
        <w:rPr>
          <w:bCs/>
          <w:sz w:val="22"/>
          <w:szCs w:val="22"/>
        </w:rPr>
        <w:t xml:space="preserve"> </w:t>
      </w:r>
      <w:r w:rsidR="00BC293D">
        <w:rPr>
          <w:bCs/>
          <w:sz w:val="22"/>
          <w:szCs w:val="22"/>
        </w:rPr>
        <w:t xml:space="preserve">The calculation of the capital gain should be as follows: </w:t>
      </w:r>
    </w:p>
    <w:p w14:paraId="5331C24F" w14:textId="77777777" w:rsidR="00152330" w:rsidRDefault="00152330" w:rsidP="00F14B9C">
      <w:pPr>
        <w:pStyle w:val="Default"/>
        <w:rPr>
          <w:bCs/>
          <w:sz w:val="22"/>
          <w:szCs w:val="22"/>
        </w:rPr>
      </w:pPr>
    </w:p>
    <w:p w14:paraId="36F82A2A" w14:textId="77777777" w:rsidR="00464B4F" w:rsidRDefault="00464B4F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Capital proceeds = $1,500,000</w:t>
      </w:r>
    </w:p>
    <w:p w14:paraId="69766273" w14:textId="77777777" w:rsidR="00BC293D" w:rsidRDefault="00BC293D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Cost base: </w:t>
      </w:r>
    </w:p>
    <w:p w14:paraId="7DABC3C5" w14:textId="77777777" w:rsidR="00BC293D" w:rsidRDefault="00BC293D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E</w:t>
      </w:r>
      <w:r w:rsidR="00F152D4">
        <w:rPr>
          <w:bCs/>
          <w:sz w:val="22"/>
          <w:szCs w:val="22"/>
        </w:rPr>
        <w:t xml:space="preserve">lement </w:t>
      </w:r>
      <w:r>
        <w:rPr>
          <w:bCs/>
          <w:sz w:val="22"/>
          <w:szCs w:val="22"/>
        </w:rPr>
        <w:t>1 costs: $500,000.</w:t>
      </w:r>
    </w:p>
    <w:p w14:paraId="41824F48" w14:textId="77777777" w:rsidR="00BC293D" w:rsidRDefault="00F152D4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Element 2</w:t>
      </w:r>
      <w:r w:rsidR="00BC293D">
        <w:rPr>
          <w:bCs/>
          <w:sz w:val="22"/>
          <w:szCs w:val="22"/>
        </w:rPr>
        <w:t xml:space="preserve"> costs: $5,000.</w:t>
      </w:r>
    </w:p>
    <w:p w14:paraId="3F285A98" w14:textId="77777777" w:rsidR="006208A4" w:rsidRDefault="00BC293D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Improvements: $100,000. </w:t>
      </w:r>
    </w:p>
    <w:p w14:paraId="0A28401B" w14:textId="77777777" w:rsidR="00BC293D" w:rsidRDefault="00BC293D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Less division 43 deductions already claimed: </w:t>
      </w:r>
    </w:p>
    <w:p w14:paraId="452FF8D7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2009 FY = $100,000 X 2.5 x 247/365 = $1,691.78</w:t>
      </w:r>
    </w:p>
    <w:p w14:paraId="5C6A3050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2010 FY = $100,000 X 2.5 = $2,500</w:t>
      </w:r>
    </w:p>
    <w:p w14:paraId="70CC4F97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2011 FY = $100,000 X 2.5 = $2,500</w:t>
      </w:r>
    </w:p>
    <w:p w14:paraId="69164E96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2012 FY = $100,000 X 2.5 = $2,500</w:t>
      </w:r>
    </w:p>
    <w:p w14:paraId="17D1BEB7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2013 FY = $100,000 X 2.5 = $2,500</w:t>
      </w:r>
    </w:p>
    <w:p w14:paraId="648E2D5F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2014 FY = $100,000 X 2.5 = $2,500</w:t>
      </w:r>
    </w:p>
    <w:p w14:paraId="3D6F8CDF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2015 FY = $100,000 X 2.5 = $2,500</w:t>
      </w:r>
    </w:p>
    <w:p w14:paraId="7B7C2E69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2016 FY = $100,000 X 2.5 = $2,500</w:t>
      </w:r>
    </w:p>
    <w:p w14:paraId="660D6575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2017 FY = $100,000 X 2.5 = $2,500</w:t>
      </w:r>
    </w:p>
    <w:p w14:paraId="2AFA2853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>
        <w:rPr>
          <w:bCs/>
          <w:sz w:val="22"/>
          <w:szCs w:val="22"/>
        </w:rPr>
        <w:t>2018 FY = $100,000 X 2.5 X 119/365 = $815.07</w:t>
      </w:r>
    </w:p>
    <w:p w14:paraId="59E9C46E" w14:textId="77777777" w:rsidR="00464B4F" w:rsidRDefault="00464B4F" w:rsidP="006208A4">
      <w:pPr>
        <w:pStyle w:val="Default"/>
        <w:ind w:left="720"/>
        <w:rPr>
          <w:bCs/>
          <w:sz w:val="22"/>
          <w:szCs w:val="22"/>
        </w:rPr>
      </w:pPr>
      <w:r w:rsidRPr="00464B4F">
        <w:rPr>
          <w:bCs/>
          <w:sz w:val="22"/>
          <w:szCs w:val="22"/>
        </w:rPr>
        <w:t>Total = ($22,506.82)</w:t>
      </w:r>
    </w:p>
    <w:p w14:paraId="7821865A" w14:textId="77777777" w:rsidR="00464B4F" w:rsidRPr="00464B4F" w:rsidRDefault="00464B4F" w:rsidP="00464B4F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Total Cost Base</w:t>
      </w:r>
      <w:r w:rsidR="006208A4">
        <w:rPr>
          <w:bCs/>
          <w:sz w:val="22"/>
          <w:szCs w:val="22"/>
        </w:rPr>
        <w:t xml:space="preserve"> = $582,493.18</w:t>
      </w:r>
    </w:p>
    <w:p w14:paraId="392C1518" w14:textId="77777777" w:rsidR="00BC293D" w:rsidRDefault="00BC293D" w:rsidP="00F14B9C">
      <w:pPr>
        <w:pStyle w:val="Default"/>
        <w:rPr>
          <w:bCs/>
          <w:sz w:val="22"/>
          <w:szCs w:val="22"/>
        </w:rPr>
      </w:pPr>
    </w:p>
    <w:p w14:paraId="6B3210DC" w14:textId="77777777" w:rsidR="00AC45E1" w:rsidRDefault="00464B4F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Capital gain = $1,500,000 - $582,493.18 = </w:t>
      </w:r>
      <w:r w:rsidR="006208A4">
        <w:rPr>
          <w:bCs/>
          <w:sz w:val="22"/>
          <w:szCs w:val="22"/>
        </w:rPr>
        <w:t>$917,506.82</w:t>
      </w:r>
    </w:p>
    <w:p w14:paraId="7ABDAB46" w14:textId="77777777" w:rsidR="00AC45E1" w:rsidRDefault="00AC45E1" w:rsidP="00F14B9C">
      <w:pPr>
        <w:pStyle w:val="Default"/>
        <w:rPr>
          <w:bCs/>
          <w:sz w:val="22"/>
          <w:szCs w:val="22"/>
        </w:rPr>
      </w:pPr>
    </w:p>
    <w:p w14:paraId="5960973C" w14:textId="77777777" w:rsidR="006208A4" w:rsidRDefault="006208A4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Less capital losses</w:t>
      </w:r>
      <w:r w:rsidR="002659C4">
        <w:rPr>
          <w:bCs/>
          <w:sz w:val="22"/>
          <w:szCs w:val="22"/>
        </w:rPr>
        <w:t xml:space="preserve"> incurred in FY</w:t>
      </w:r>
      <w:r>
        <w:rPr>
          <w:bCs/>
          <w:sz w:val="22"/>
          <w:szCs w:val="22"/>
        </w:rPr>
        <w:t xml:space="preserve"> =</w:t>
      </w:r>
      <w:r w:rsidR="002659C4">
        <w:rPr>
          <w:bCs/>
          <w:sz w:val="22"/>
          <w:szCs w:val="22"/>
        </w:rPr>
        <w:t xml:space="preserve"> $7,500 - $16,000 = ($</w:t>
      </w:r>
      <w:r w:rsidR="003A2BF4">
        <w:rPr>
          <w:bCs/>
          <w:sz w:val="22"/>
          <w:szCs w:val="22"/>
        </w:rPr>
        <w:t>8,500</w:t>
      </w:r>
      <w:r w:rsidR="002659C4">
        <w:rPr>
          <w:bCs/>
          <w:sz w:val="22"/>
          <w:szCs w:val="22"/>
        </w:rPr>
        <w:t>)</w:t>
      </w:r>
    </w:p>
    <w:p w14:paraId="6996CDE8" w14:textId="77777777" w:rsidR="00464B4F" w:rsidRDefault="00464B4F" w:rsidP="00F14B9C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>Discounted capital gain =</w:t>
      </w:r>
      <w:r w:rsidR="003A2BF4">
        <w:rPr>
          <w:bCs/>
          <w:sz w:val="22"/>
          <w:szCs w:val="22"/>
        </w:rPr>
        <w:t xml:space="preserve"> $909,006.82 </w:t>
      </w:r>
      <w:r w:rsidR="006208A4">
        <w:rPr>
          <w:bCs/>
          <w:sz w:val="22"/>
          <w:szCs w:val="22"/>
        </w:rPr>
        <w:t xml:space="preserve">X 50% = </w:t>
      </w:r>
      <w:r w:rsidR="002659C4" w:rsidRPr="002659C4">
        <w:rPr>
          <w:bCs/>
          <w:sz w:val="22"/>
          <w:szCs w:val="22"/>
          <w:u w:val="single"/>
        </w:rPr>
        <w:t>$45</w:t>
      </w:r>
      <w:r w:rsidR="003A2BF4">
        <w:rPr>
          <w:bCs/>
          <w:sz w:val="22"/>
          <w:szCs w:val="22"/>
          <w:u w:val="single"/>
        </w:rPr>
        <w:t>4,503.41</w:t>
      </w:r>
    </w:p>
    <w:p w14:paraId="596639D0" w14:textId="77777777" w:rsidR="006208A4" w:rsidRDefault="006208A4" w:rsidP="00F14B9C">
      <w:pPr>
        <w:pStyle w:val="Default"/>
        <w:rPr>
          <w:bCs/>
          <w:sz w:val="22"/>
          <w:szCs w:val="22"/>
        </w:rPr>
      </w:pPr>
    </w:p>
    <w:p w14:paraId="41C4B60E" w14:textId="77777777" w:rsidR="0045080D" w:rsidRDefault="0045080D" w:rsidP="00F14B9C">
      <w:pPr>
        <w:pStyle w:val="Default"/>
        <w:rPr>
          <w:bCs/>
          <w:sz w:val="22"/>
          <w:szCs w:val="22"/>
        </w:rPr>
      </w:pPr>
    </w:p>
    <w:p w14:paraId="32891A98" w14:textId="77777777" w:rsidR="00F14B9C" w:rsidRDefault="00AC45E1" w:rsidP="00F14B9C">
      <w:pPr>
        <w:pStyle w:val="Default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Bitcoin</w:t>
      </w:r>
    </w:p>
    <w:p w14:paraId="50CDF516" w14:textId="77777777" w:rsidR="00AC45E1" w:rsidRPr="00AC45E1" w:rsidRDefault="00AC45E1" w:rsidP="00F14B9C">
      <w:pPr>
        <w:pStyle w:val="Default"/>
        <w:rPr>
          <w:sz w:val="22"/>
          <w:szCs w:val="22"/>
        </w:rPr>
      </w:pPr>
      <w:r>
        <w:rPr>
          <w:sz w:val="22"/>
          <w:szCs w:val="22"/>
        </w:rPr>
        <w:t>Bitcoin is a form of crypto currency. The Australian Taxation Office has rule</w:t>
      </w:r>
      <w:r w:rsidR="00326E9A">
        <w:rPr>
          <w:sz w:val="22"/>
          <w:szCs w:val="22"/>
        </w:rPr>
        <w:t>d that cryptocurrency gains (or</w:t>
      </w:r>
      <w:r>
        <w:rPr>
          <w:sz w:val="22"/>
          <w:szCs w:val="22"/>
        </w:rPr>
        <w:t xml:space="preserve"> losses) are to be treated akin to shares</w:t>
      </w:r>
      <w:r w:rsidR="00284739">
        <w:rPr>
          <w:sz w:val="22"/>
          <w:szCs w:val="22"/>
        </w:rPr>
        <w:t xml:space="preserve"> and are hence </w:t>
      </w:r>
      <w:r w:rsidR="00F92D9A">
        <w:rPr>
          <w:sz w:val="22"/>
          <w:szCs w:val="22"/>
        </w:rPr>
        <w:t xml:space="preserve">A1 </w:t>
      </w:r>
      <w:r w:rsidR="00284739">
        <w:rPr>
          <w:sz w:val="22"/>
          <w:szCs w:val="22"/>
        </w:rPr>
        <w:t>‘CGT assets’</w:t>
      </w:r>
      <w:r>
        <w:rPr>
          <w:sz w:val="22"/>
          <w:szCs w:val="22"/>
        </w:rPr>
        <w:t>.</w:t>
      </w:r>
      <w:r>
        <w:rPr>
          <w:rStyle w:val="FootnoteReference"/>
          <w:sz w:val="22"/>
          <w:szCs w:val="22"/>
        </w:rPr>
        <w:footnoteReference w:id="46"/>
      </w:r>
      <w:r w:rsidR="00326E9A">
        <w:rPr>
          <w:sz w:val="22"/>
          <w:szCs w:val="22"/>
        </w:rPr>
        <w:t xml:space="preserve"> </w:t>
      </w:r>
      <w:r w:rsidR="00284739">
        <w:rPr>
          <w:sz w:val="22"/>
          <w:szCs w:val="22"/>
        </w:rPr>
        <w:t>So</w:t>
      </w:r>
      <w:r w:rsidR="00326E9A">
        <w:rPr>
          <w:sz w:val="22"/>
          <w:szCs w:val="22"/>
        </w:rPr>
        <w:t xml:space="preserve"> Gillian’s bitcoin disposal will be an A1 CGT event.</w:t>
      </w:r>
      <w:r w:rsidR="00326E9A">
        <w:rPr>
          <w:rStyle w:val="FootnoteReference"/>
          <w:sz w:val="22"/>
          <w:szCs w:val="22"/>
        </w:rPr>
        <w:footnoteReference w:id="47"/>
      </w:r>
      <w:r w:rsidR="00326E9A">
        <w:rPr>
          <w:sz w:val="22"/>
          <w:szCs w:val="22"/>
        </w:rPr>
        <w:t xml:space="preserve"> </w:t>
      </w:r>
    </w:p>
    <w:p w14:paraId="08402BDB" w14:textId="77777777" w:rsidR="00AC45E1" w:rsidRDefault="00AC45E1" w:rsidP="00F14B9C">
      <w:pPr>
        <w:pStyle w:val="Default"/>
        <w:rPr>
          <w:sz w:val="22"/>
          <w:szCs w:val="22"/>
        </w:rPr>
      </w:pPr>
    </w:p>
    <w:p w14:paraId="20DF2263" w14:textId="77777777" w:rsidR="0045080D" w:rsidRPr="00F14B9C" w:rsidRDefault="0045080D" w:rsidP="00F14B9C">
      <w:pPr>
        <w:pStyle w:val="Default"/>
        <w:rPr>
          <w:sz w:val="22"/>
          <w:szCs w:val="22"/>
        </w:rPr>
      </w:pPr>
    </w:p>
    <w:p w14:paraId="2B3701CA" w14:textId="77777777" w:rsidR="006208A4" w:rsidRPr="006208A4" w:rsidRDefault="00347609" w:rsidP="006208A4">
      <w:pPr>
        <w:pStyle w:val="Default"/>
        <w:numPr>
          <w:ilvl w:val="0"/>
          <w:numId w:val="7"/>
        </w:numPr>
        <w:rPr>
          <w:sz w:val="22"/>
          <w:szCs w:val="22"/>
        </w:rPr>
      </w:pPr>
      <w:r w:rsidRPr="00347609">
        <w:rPr>
          <w:b/>
          <w:bCs/>
          <w:sz w:val="22"/>
          <w:szCs w:val="22"/>
        </w:rPr>
        <w:t xml:space="preserve">d) Her share portfolio activities. (5 marks) </w:t>
      </w:r>
    </w:p>
    <w:p w14:paraId="784C6358" w14:textId="77777777" w:rsidR="006208A4" w:rsidRDefault="006208A4" w:rsidP="006208A4">
      <w:pPr>
        <w:pStyle w:val="Default"/>
        <w:rPr>
          <w:b/>
          <w:bCs/>
          <w:sz w:val="22"/>
          <w:szCs w:val="22"/>
        </w:rPr>
      </w:pPr>
    </w:p>
    <w:p w14:paraId="258C1351" w14:textId="77777777" w:rsidR="00226DA1" w:rsidRDefault="004E61D9" w:rsidP="006208A4">
      <w:pPr>
        <w:pStyle w:val="Default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The tax consequences of Gillian’s gains from her share portfolio will depend on whether the activity is a hobby or a business. She may likely be found to be carrying on a business as a high degree of investing and re-investing in shares to maintain a high degree of gains are evident </w:t>
      </w:r>
      <w:r w:rsidR="007F38C2">
        <w:rPr>
          <w:bCs/>
          <w:sz w:val="22"/>
          <w:szCs w:val="22"/>
        </w:rPr>
        <w:t>from the facts.</w:t>
      </w:r>
      <w:r w:rsidR="007F38C2">
        <w:rPr>
          <w:rStyle w:val="FootnoteReference"/>
          <w:bCs/>
          <w:sz w:val="22"/>
          <w:szCs w:val="22"/>
        </w:rPr>
        <w:footnoteReference w:id="48"/>
      </w:r>
      <w:r w:rsidR="007F38C2">
        <w:rPr>
          <w:bCs/>
          <w:sz w:val="22"/>
          <w:szCs w:val="22"/>
        </w:rPr>
        <w:t xml:space="preserve"> There is enough indicia overall as there is a clear profit making intent, </w:t>
      </w:r>
      <w:r w:rsidR="007F38C2">
        <w:rPr>
          <w:rStyle w:val="FootnoteReference"/>
          <w:bCs/>
          <w:sz w:val="22"/>
          <w:szCs w:val="22"/>
        </w:rPr>
        <w:footnoteReference w:id="49"/>
      </w:r>
      <w:r w:rsidR="007F38C2">
        <w:rPr>
          <w:bCs/>
          <w:sz w:val="22"/>
          <w:szCs w:val="22"/>
        </w:rPr>
        <w:t xml:space="preserve"> she</w:t>
      </w:r>
      <w:r>
        <w:rPr>
          <w:bCs/>
          <w:sz w:val="22"/>
          <w:szCs w:val="22"/>
        </w:rPr>
        <w:t xml:space="preserve"> spends an hour a day </w:t>
      </w:r>
      <w:r w:rsidR="007F38C2">
        <w:rPr>
          <w:bCs/>
          <w:sz w:val="22"/>
          <w:szCs w:val="22"/>
        </w:rPr>
        <w:t xml:space="preserve">adjusting auto </w:t>
      </w:r>
      <w:r>
        <w:rPr>
          <w:bCs/>
          <w:sz w:val="22"/>
          <w:szCs w:val="22"/>
        </w:rPr>
        <w:t>price sell and buy setting</w:t>
      </w:r>
      <w:r w:rsidR="007F38C2">
        <w:rPr>
          <w:bCs/>
          <w:sz w:val="22"/>
          <w:szCs w:val="22"/>
        </w:rPr>
        <w:t>s</w:t>
      </w:r>
      <w:r>
        <w:rPr>
          <w:bCs/>
          <w:sz w:val="22"/>
          <w:szCs w:val="22"/>
        </w:rPr>
        <w:t xml:space="preserve">, subscribes to a market reporting service and keeps </w:t>
      </w:r>
      <w:r>
        <w:rPr>
          <w:bCs/>
          <w:sz w:val="22"/>
          <w:szCs w:val="22"/>
        </w:rPr>
        <w:lastRenderedPageBreak/>
        <w:t>comprehensive records.</w:t>
      </w:r>
      <w:r w:rsidR="007F38C2" w:rsidRPr="007F38C2">
        <w:rPr>
          <w:rStyle w:val="FootnoteReference"/>
          <w:bCs/>
          <w:sz w:val="22"/>
          <w:szCs w:val="22"/>
        </w:rPr>
        <w:t xml:space="preserve"> </w:t>
      </w:r>
      <w:r w:rsidR="007F38C2">
        <w:rPr>
          <w:rStyle w:val="FootnoteReference"/>
          <w:bCs/>
          <w:sz w:val="22"/>
          <w:szCs w:val="22"/>
        </w:rPr>
        <w:footnoteReference w:id="50"/>
      </w:r>
      <w:r w:rsidR="00B90C02">
        <w:rPr>
          <w:bCs/>
          <w:sz w:val="22"/>
          <w:szCs w:val="22"/>
        </w:rPr>
        <w:t xml:space="preserve"> T</w:t>
      </w:r>
      <w:r w:rsidR="007F38C2">
        <w:rPr>
          <w:bCs/>
          <w:sz w:val="22"/>
          <w:szCs w:val="22"/>
        </w:rPr>
        <w:t xml:space="preserve">he issue is whether this is a mere realisation of capital assets sold or </w:t>
      </w:r>
      <w:r w:rsidR="00BE253D">
        <w:rPr>
          <w:bCs/>
          <w:sz w:val="22"/>
          <w:szCs w:val="22"/>
        </w:rPr>
        <w:t xml:space="preserve">was Gillian </w:t>
      </w:r>
      <w:r w:rsidR="007F38C2">
        <w:rPr>
          <w:bCs/>
          <w:sz w:val="22"/>
          <w:szCs w:val="22"/>
        </w:rPr>
        <w:t>in the business of financial investing on shares in ordinary concepts</w:t>
      </w:r>
      <w:r w:rsidR="00B90C02">
        <w:rPr>
          <w:bCs/>
          <w:sz w:val="22"/>
          <w:szCs w:val="22"/>
        </w:rPr>
        <w:t>,</w:t>
      </w:r>
      <w:r w:rsidR="00B90C02">
        <w:rPr>
          <w:rStyle w:val="FootnoteReference"/>
          <w:bCs/>
          <w:sz w:val="22"/>
          <w:szCs w:val="22"/>
        </w:rPr>
        <w:footnoteReference w:id="51"/>
      </w:r>
      <w:r w:rsidR="00B90C02">
        <w:rPr>
          <w:bCs/>
          <w:sz w:val="22"/>
          <w:szCs w:val="22"/>
        </w:rPr>
        <w:t xml:space="preserve"> see </w:t>
      </w:r>
      <w:r w:rsidR="007F38C2">
        <w:rPr>
          <w:bCs/>
          <w:sz w:val="22"/>
          <w:szCs w:val="22"/>
        </w:rPr>
        <w:t>section 25</w:t>
      </w:r>
      <w:r w:rsidR="00B90C02">
        <w:rPr>
          <w:bCs/>
          <w:sz w:val="22"/>
          <w:szCs w:val="22"/>
        </w:rPr>
        <w:t>A</w:t>
      </w:r>
      <w:r w:rsidR="007F38C2">
        <w:rPr>
          <w:bCs/>
          <w:sz w:val="22"/>
          <w:szCs w:val="22"/>
        </w:rPr>
        <w:t xml:space="preserve"> (1) </w:t>
      </w:r>
      <w:r w:rsidR="00B90C02">
        <w:rPr>
          <w:bCs/>
          <w:sz w:val="22"/>
          <w:szCs w:val="22"/>
        </w:rPr>
        <w:t xml:space="preserve">of the </w:t>
      </w:r>
      <w:r w:rsidR="00B90C02">
        <w:rPr>
          <w:bCs/>
          <w:i/>
          <w:sz w:val="22"/>
          <w:szCs w:val="22"/>
        </w:rPr>
        <w:t>ITAA 36.</w:t>
      </w:r>
      <w:r w:rsidR="00B90C02">
        <w:rPr>
          <w:rStyle w:val="FootnoteReference"/>
          <w:bCs/>
          <w:i/>
          <w:sz w:val="22"/>
          <w:szCs w:val="22"/>
        </w:rPr>
        <w:footnoteReference w:id="52"/>
      </w:r>
      <w:r w:rsidR="00B90C02">
        <w:rPr>
          <w:bCs/>
          <w:sz w:val="22"/>
          <w:szCs w:val="22"/>
        </w:rPr>
        <w:t>As a result her gains from sales of $60,000</w:t>
      </w:r>
      <w:r w:rsidR="001A567D">
        <w:rPr>
          <w:bCs/>
          <w:sz w:val="22"/>
          <w:szCs w:val="22"/>
        </w:rPr>
        <w:t>, which is the difference between the closing stock (the shares) and the opening stock is included in assessable income,</w:t>
      </w:r>
      <w:r w:rsidR="001A567D">
        <w:rPr>
          <w:rStyle w:val="FootnoteReference"/>
          <w:bCs/>
          <w:sz w:val="22"/>
          <w:szCs w:val="22"/>
        </w:rPr>
        <w:footnoteReference w:id="53"/>
      </w:r>
      <w:r w:rsidR="00B90C02">
        <w:rPr>
          <w:bCs/>
          <w:sz w:val="22"/>
          <w:szCs w:val="22"/>
        </w:rPr>
        <w:t xml:space="preserve"> and her dividends of $30,000 will be assessable income as ordinary </w:t>
      </w:r>
      <w:r w:rsidR="00BE253D">
        <w:rPr>
          <w:bCs/>
          <w:sz w:val="22"/>
          <w:szCs w:val="22"/>
        </w:rPr>
        <w:t>income.</w:t>
      </w:r>
      <w:r w:rsidR="00B90C02">
        <w:rPr>
          <w:rStyle w:val="FootnoteReference"/>
          <w:bCs/>
          <w:sz w:val="22"/>
          <w:szCs w:val="22"/>
        </w:rPr>
        <w:footnoteReference w:id="54"/>
      </w:r>
      <w:r w:rsidR="001A567D">
        <w:rPr>
          <w:bCs/>
          <w:sz w:val="22"/>
          <w:szCs w:val="22"/>
        </w:rPr>
        <w:t xml:space="preserve"> Less franking credits of $10,000.</w:t>
      </w:r>
      <w:r w:rsidR="001A567D">
        <w:rPr>
          <w:rStyle w:val="FootnoteReference"/>
          <w:bCs/>
          <w:sz w:val="22"/>
          <w:szCs w:val="22"/>
        </w:rPr>
        <w:footnoteReference w:id="55"/>
      </w:r>
      <w:r w:rsidR="001A567D">
        <w:rPr>
          <w:bCs/>
          <w:sz w:val="22"/>
          <w:szCs w:val="22"/>
        </w:rPr>
        <w:t xml:space="preserve"> Similarly the annual subscription fee is deductible.</w:t>
      </w:r>
      <w:r w:rsidR="001A567D">
        <w:rPr>
          <w:rStyle w:val="FootnoteReference"/>
          <w:bCs/>
          <w:sz w:val="22"/>
          <w:szCs w:val="22"/>
        </w:rPr>
        <w:footnoteReference w:id="56"/>
      </w:r>
      <w:r w:rsidR="001A567D">
        <w:rPr>
          <w:bCs/>
          <w:sz w:val="22"/>
          <w:szCs w:val="22"/>
        </w:rPr>
        <w:t xml:space="preserve"> </w:t>
      </w:r>
    </w:p>
    <w:p w14:paraId="09CDD715" w14:textId="77777777" w:rsidR="005A78DD" w:rsidRDefault="005A78DD" w:rsidP="006208A4">
      <w:pPr>
        <w:pStyle w:val="Default"/>
        <w:rPr>
          <w:bCs/>
          <w:sz w:val="22"/>
          <w:szCs w:val="22"/>
        </w:rPr>
      </w:pPr>
    </w:p>
    <w:p w14:paraId="38C0ED23" w14:textId="77777777" w:rsidR="005A78DD" w:rsidRPr="00B90C02" w:rsidRDefault="005A78DD" w:rsidP="006208A4">
      <w:pPr>
        <w:pStyle w:val="Default"/>
        <w:rPr>
          <w:bCs/>
          <w:sz w:val="22"/>
          <w:szCs w:val="22"/>
        </w:rPr>
      </w:pPr>
    </w:p>
    <w:sectPr w:rsidR="005A78DD" w:rsidRPr="00B90C0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857A6" w14:textId="77777777" w:rsidR="007E5E0B" w:rsidRDefault="007E5E0B" w:rsidP="00347609">
      <w:pPr>
        <w:spacing w:line="240" w:lineRule="auto"/>
      </w:pPr>
      <w:r>
        <w:separator/>
      </w:r>
    </w:p>
  </w:endnote>
  <w:endnote w:type="continuationSeparator" w:id="0">
    <w:p w14:paraId="1A7970DE" w14:textId="77777777" w:rsidR="007E5E0B" w:rsidRDefault="007E5E0B" w:rsidP="003476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</w:rPr>
      <w:id w:val="-1751641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F09277" w14:textId="77777777" w:rsidR="000A1F82" w:rsidRPr="00347609" w:rsidRDefault="000A1F82">
        <w:pPr>
          <w:pStyle w:val="Footer"/>
          <w:jc w:val="right"/>
          <w:rPr>
            <w:sz w:val="22"/>
          </w:rPr>
        </w:pPr>
        <w:r w:rsidRPr="00347609">
          <w:rPr>
            <w:sz w:val="22"/>
          </w:rPr>
          <w:fldChar w:fldCharType="begin"/>
        </w:r>
        <w:r w:rsidRPr="00347609">
          <w:rPr>
            <w:sz w:val="22"/>
          </w:rPr>
          <w:instrText xml:space="preserve"> PAGE   \* MERGEFORMAT </w:instrText>
        </w:r>
        <w:r w:rsidRPr="00347609">
          <w:rPr>
            <w:sz w:val="22"/>
          </w:rPr>
          <w:fldChar w:fldCharType="separate"/>
        </w:r>
        <w:r w:rsidR="008B4BAF">
          <w:rPr>
            <w:noProof/>
            <w:sz w:val="22"/>
          </w:rPr>
          <w:t>7</w:t>
        </w:r>
        <w:r w:rsidRPr="00347609">
          <w:rPr>
            <w:noProof/>
            <w:sz w:val="22"/>
          </w:rPr>
          <w:fldChar w:fldCharType="end"/>
        </w:r>
      </w:p>
    </w:sdtContent>
  </w:sdt>
  <w:p w14:paraId="3B2FA297" w14:textId="77777777" w:rsidR="000A1F82" w:rsidRDefault="000A1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62D82" w14:textId="77777777" w:rsidR="007E5E0B" w:rsidRDefault="007E5E0B" w:rsidP="00347609">
      <w:pPr>
        <w:spacing w:line="240" w:lineRule="auto"/>
      </w:pPr>
      <w:r>
        <w:separator/>
      </w:r>
    </w:p>
  </w:footnote>
  <w:footnote w:type="continuationSeparator" w:id="0">
    <w:p w14:paraId="742EF544" w14:textId="77777777" w:rsidR="007E5E0B" w:rsidRDefault="007E5E0B" w:rsidP="00347609">
      <w:pPr>
        <w:spacing w:line="240" w:lineRule="auto"/>
      </w:pPr>
      <w:r>
        <w:continuationSeparator/>
      </w:r>
    </w:p>
  </w:footnote>
  <w:footnote w:id="1">
    <w:p w14:paraId="4B19EC1F" w14:textId="77777777" w:rsidR="000A1F82" w:rsidRPr="00B32252" w:rsidRDefault="000A1F82">
      <w:pPr>
        <w:pStyle w:val="FootnoteText"/>
      </w:pPr>
      <w:r w:rsidRPr="00341372">
        <w:rPr>
          <w:rStyle w:val="FootnoteReference"/>
        </w:rPr>
        <w:footnoteRef/>
      </w:r>
      <w:r>
        <w:t xml:space="preserve"> </w:t>
      </w:r>
      <w:r w:rsidRPr="00B32252">
        <w:rPr>
          <w:i/>
        </w:rPr>
        <w:t xml:space="preserve">Income Tax Assessment Act 1997 </w:t>
      </w:r>
      <w:r w:rsidRPr="00B32252">
        <w:t>(Cth) s 8-1 (1) (b).</w:t>
      </w:r>
    </w:p>
  </w:footnote>
  <w:footnote w:id="2">
    <w:p w14:paraId="3C8441B2" w14:textId="77777777" w:rsidR="000A1F82" w:rsidRPr="00B32252" w:rsidRDefault="000A1F82">
      <w:pPr>
        <w:pStyle w:val="FootnoteText"/>
      </w:pPr>
      <w:r w:rsidRPr="00B32252">
        <w:rPr>
          <w:rStyle w:val="FootnoteReference"/>
        </w:rPr>
        <w:footnoteRef/>
      </w:r>
      <w:r w:rsidRPr="00B32252">
        <w:t xml:space="preserve"> Ibid s 8-1 (1) (a).</w:t>
      </w:r>
    </w:p>
  </w:footnote>
  <w:footnote w:id="3">
    <w:p w14:paraId="38D91ABD" w14:textId="77777777" w:rsidR="000A1F82" w:rsidRPr="00B32252" w:rsidRDefault="000A1F82" w:rsidP="00B32252">
      <w:pPr>
        <w:pStyle w:val="FootnoteText"/>
      </w:pPr>
      <w:r w:rsidRPr="00B32252">
        <w:rPr>
          <w:rStyle w:val="FootnoteReference"/>
        </w:rPr>
        <w:footnoteRef/>
      </w:r>
      <w:r w:rsidRPr="00B32252">
        <w:t xml:space="preserve"> Ibid s 8-1 (2) (a).</w:t>
      </w:r>
    </w:p>
  </w:footnote>
  <w:footnote w:id="4">
    <w:p w14:paraId="7BE38CAA" w14:textId="77777777" w:rsidR="000A1F82" w:rsidRPr="00B32252" w:rsidRDefault="000A1F82" w:rsidP="00B32252">
      <w:pPr>
        <w:pStyle w:val="FootnoteText"/>
        <w:rPr>
          <w:rFonts w:cstheme="minorHAnsi"/>
        </w:rPr>
      </w:pPr>
      <w:r w:rsidRPr="00B32252">
        <w:rPr>
          <w:rStyle w:val="FootnoteReference"/>
        </w:rPr>
        <w:footnoteRef/>
      </w:r>
      <w:r w:rsidRPr="00B32252">
        <w:t xml:space="preserve"> </w:t>
      </w:r>
      <w:r w:rsidRPr="00B32252">
        <w:rPr>
          <w:rFonts w:cstheme="minorHAnsi"/>
          <w:i/>
          <w:iCs/>
          <w:lang w:val="en-GB"/>
        </w:rPr>
        <w:t>Sun Newspapers Ltd v FCT</w:t>
      </w:r>
      <w:r w:rsidRPr="00B32252">
        <w:rPr>
          <w:rFonts w:cstheme="minorHAnsi"/>
          <w:lang w:val="en-GB"/>
        </w:rPr>
        <w:t xml:space="preserve"> (1939) 61 CLR 337.</w:t>
      </w:r>
    </w:p>
  </w:footnote>
  <w:footnote w:id="5">
    <w:p w14:paraId="639844F3" w14:textId="77777777" w:rsidR="000A1F82" w:rsidRPr="00B32252" w:rsidRDefault="000A1F82" w:rsidP="00B32252">
      <w:pPr>
        <w:pStyle w:val="FootnoteText"/>
        <w:rPr>
          <w:rFonts w:cstheme="minorHAnsi"/>
        </w:rPr>
      </w:pPr>
      <w:r w:rsidRPr="00B32252">
        <w:rPr>
          <w:rStyle w:val="FootnoteReference"/>
          <w:rFonts w:cstheme="minorHAnsi"/>
        </w:rPr>
        <w:footnoteRef/>
      </w:r>
      <w:r w:rsidRPr="00B32252">
        <w:rPr>
          <w:rFonts w:cstheme="minorHAnsi"/>
        </w:rPr>
        <w:t xml:space="preserve"> Ibid.</w:t>
      </w:r>
    </w:p>
  </w:footnote>
  <w:footnote w:id="6">
    <w:p w14:paraId="639A0D65" w14:textId="77777777" w:rsidR="00655CCB" w:rsidRDefault="00655CCB" w:rsidP="00655CC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32252">
        <w:rPr>
          <w:i/>
        </w:rPr>
        <w:t xml:space="preserve">Income Tax Assessment Act 1997 </w:t>
      </w:r>
      <w:r w:rsidRPr="00B32252">
        <w:t xml:space="preserve">(Cth) </w:t>
      </w:r>
      <w:r>
        <w:t>s 40-880 (2) (c).</w:t>
      </w:r>
    </w:p>
  </w:footnote>
  <w:footnote w:id="7">
    <w:p w14:paraId="2800C3D8" w14:textId="77777777" w:rsidR="000A1F82" w:rsidRPr="00301F81" w:rsidRDefault="000A1F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i/>
        </w:rPr>
        <w:t xml:space="preserve">Magna Alloys &amp; Research Pty Ltd v FCT </w:t>
      </w:r>
      <w:r>
        <w:t xml:space="preserve">(1980) ALR 213. </w:t>
      </w:r>
    </w:p>
  </w:footnote>
  <w:footnote w:id="8">
    <w:p w14:paraId="4065FB61" w14:textId="77777777" w:rsidR="000A1F82" w:rsidRDefault="000A1F82" w:rsidP="003837F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32252">
        <w:rPr>
          <w:i/>
        </w:rPr>
        <w:t xml:space="preserve">Income Tax Assessment Act 1997 </w:t>
      </w:r>
      <w:r w:rsidRPr="00B32252">
        <w:t xml:space="preserve">(Cth) </w:t>
      </w:r>
      <w:r>
        <w:t>s 40-880 (2) (c).</w:t>
      </w:r>
    </w:p>
  </w:footnote>
  <w:footnote w:id="9">
    <w:p w14:paraId="23697DC6" w14:textId="77777777" w:rsidR="000A1F82" w:rsidRPr="009E15C3" w:rsidRDefault="000A1F82" w:rsidP="009E15C3">
      <w:pPr>
        <w:rPr>
          <w:rFonts w:cstheme="minorHAnsi"/>
          <w:szCs w:val="20"/>
        </w:rPr>
      </w:pPr>
      <w:r w:rsidRPr="009E15C3">
        <w:rPr>
          <w:rStyle w:val="FootnoteReference"/>
          <w:rFonts w:cstheme="minorHAnsi"/>
          <w:szCs w:val="20"/>
        </w:rPr>
        <w:footnoteRef/>
      </w:r>
      <w:r w:rsidRPr="009E15C3">
        <w:rPr>
          <w:rFonts w:cstheme="minorHAnsi"/>
          <w:szCs w:val="20"/>
        </w:rPr>
        <w:t xml:space="preserve"> </w:t>
      </w:r>
      <w:r>
        <w:t>Ibid</w:t>
      </w:r>
      <w:r w:rsidRPr="00B32252">
        <w:t xml:space="preserve"> </w:t>
      </w:r>
      <w:r>
        <w:t>s</w:t>
      </w:r>
      <w:r w:rsidRPr="009E15C3">
        <w:rPr>
          <w:rFonts w:cstheme="minorHAnsi"/>
          <w:szCs w:val="20"/>
        </w:rPr>
        <w:t xml:space="preserve"> 20</w:t>
      </w:r>
      <w:r>
        <w:rPr>
          <w:rFonts w:cstheme="minorHAnsi"/>
          <w:szCs w:val="20"/>
        </w:rPr>
        <w:t>-</w:t>
      </w:r>
      <w:r w:rsidRPr="009E15C3">
        <w:rPr>
          <w:rFonts w:cstheme="minorHAnsi"/>
          <w:szCs w:val="20"/>
        </w:rPr>
        <w:t>20 (2)</w:t>
      </w:r>
      <w:r>
        <w:rPr>
          <w:rFonts w:cstheme="minorHAnsi"/>
          <w:szCs w:val="20"/>
        </w:rPr>
        <w:t>.</w:t>
      </w:r>
    </w:p>
  </w:footnote>
  <w:footnote w:id="10">
    <w:p w14:paraId="210ADDFD" w14:textId="77777777" w:rsidR="000A1F82" w:rsidRDefault="000A1F82" w:rsidP="009E15C3">
      <w:pPr>
        <w:pStyle w:val="FootnoteText"/>
      </w:pPr>
      <w:r>
        <w:rPr>
          <w:rStyle w:val="FootnoteReference"/>
        </w:rPr>
        <w:footnoteRef/>
      </w:r>
      <w:r>
        <w:t xml:space="preserve"> Ibid s 104-35 (1).</w:t>
      </w:r>
    </w:p>
  </w:footnote>
  <w:footnote w:id="11">
    <w:p w14:paraId="38F2EA35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Ibid s 118-20 (1).</w:t>
      </w:r>
    </w:p>
  </w:footnote>
  <w:footnote w:id="12">
    <w:p w14:paraId="5A0FCF0A" w14:textId="77777777" w:rsidR="000A1F82" w:rsidRPr="001433FF" w:rsidRDefault="000A1F82" w:rsidP="001433FF">
      <w:pPr>
        <w:rPr>
          <w:rFonts w:cstheme="minorHAnsi"/>
          <w:szCs w:val="20"/>
        </w:rPr>
      </w:pPr>
      <w:r w:rsidRPr="001433FF">
        <w:rPr>
          <w:rStyle w:val="FootnoteReference"/>
          <w:rFonts w:cstheme="minorHAnsi"/>
          <w:szCs w:val="20"/>
        </w:rPr>
        <w:footnoteRef/>
      </w:r>
      <w:r>
        <w:rPr>
          <w:rFonts w:cstheme="minorHAnsi"/>
          <w:szCs w:val="20"/>
        </w:rPr>
        <w:t xml:space="preserve"> </w:t>
      </w:r>
      <w:r w:rsidRPr="001433FF">
        <w:rPr>
          <w:rFonts w:cstheme="minorHAnsi"/>
          <w:szCs w:val="20"/>
          <w:shd w:val="clear" w:color="auto" w:fill="FFFFFF"/>
        </w:rPr>
        <w:t>(1958) 99 CLR 431.</w:t>
      </w:r>
    </w:p>
  </w:footnote>
  <w:footnote w:id="13">
    <w:p w14:paraId="2B86A008" w14:textId="77777777" w:rsidR="000A1F82" w:rsidRPr="009E15C3" w:rsidRDefault="000A1F82" w:rsidP="001433FF">
      <w:pPr>
        <w:rPr>
          <w:rFonts w:cstheme="minorHAnsi"/>
          <w:szCs w:val="20"/>
        </w:rPr>
      </w:pPr>
      <w:r w:rsidRPr="001433FF">
        <w:rPr>
          <w:rStyle w:val="FootnoteReference"/>
          <w:rFonts w:cstheme="minorHAnsi"/>
          <w:szCs w:val="20"/>
        </w:rPr>
        <w:footnoteRef/>
      </w:r>
      <w:r w:rsidRPr="001433FF">
        <w:rPr>
          <w:rFonts w:cstheme="minorHAnsi"/>
          <w:szCs w:val="20"/>
        </w:rPr>
        <w:t xml:space="preserve"> </w:t>
      </w:r>
      <w:r w:rsidRPr="001433FF">
        <w:rPr>
          <w:rFonts w:cstheme="minorHAnsi"/>
          <w:szCs w:val="20"/>
          <w:shd w:val="clear" w:color="auto" w:fill="FFFFFF"/>
        </w:rPr>
        <w:t>(1952) 86 CLR 402.</w:t>
      </w:r>
    </w:p>
  </w:footnote>
  <w:footnote w:id="14">
    <w:p w14:paraId="66B60DDF" w14:textId="77777777" w:rsidR="000A1F82" w:rsidRPr="002E2CED" w:rsidRDefault="000A1F82" w:rsidP="001433FF">
      <w:pPr>
        <w:rPr>
          <w:rFonts w:eastAsia="Times New Roman" w:cstheme="minorHAnsi"/>
          <w:kern w:val="36"/>
          <w:szCs w:val="20"/>
          <w:lang w:eastAsia="en-AU"/>
        </w:rPr>
      </w:pPr>
      <w:r w:rsidRPr="002E2CED">
        <w:rPr>
          <w:rStyle w:val="FootnoteReference"/>
          <w:rFonts w:cstheme="minorHAnsi"/>
          <w:szCs w:val="20"/>
        </w:rPr>
        <w:footnoteRef/>
      </w:r>
      <w:r w:rsidRPr="002E2CED">
        <w:rPr>
          <w:rFonts w:cstheme="minorHAnsi"/>
          <w:szCs w:val="20"/>
        </w:rPr>
        <w:t xml:space="preserve"> ATO Fact Sheet QC 21716 ‘</w:t>
      </w:r>
      <w:r w:rsidRPr="002E2CED">
        <w:rPr>
          <w:rFonts w:eastAsia="Times New Roman" w:cstheme="minorHAnsi"/>
          <w:kern w:val="36"/>
          <w:szCs w:val="20"/>
          <w:lang w:eastAsia="en-AU"/>
        </w:rPr>
        <w:t>Reportable employer super contributions – for employers’ 27 July 2016.</w:t>
      </w:r>
    </w:p>
  </w:footnote>
  <w:footnote w:id="15">
    <w:p w14:paraId="713F2257" w14:textId="77777777" w:rsidR="000A1F82" w:rsidRPr="002E2CED" w:rsidRDefault="000A1F82">
      <w:pPr>
        <w:pStyle w:val="FootnoteText"/>
      </w:pPr>
      <w:r w:rsidRPr="002E2CED">
        <w:rPr>
          <w:rStyle w:val="FootnoteReference"/>
        </w:rPr>
        <w:footnoteRef/>
      </w:r>
      <w:r w:rsidRPr="002E2CED">
        <w:t xml:space="preserve"> </w:t>
      </w:r>
      <w:r w:rsidRPr="002E2CED">
        <w:rPr>
          <w:i/>
        </w:rPr>
        <w:t xml:space="preserve">Income Tax Assessment Act 1997 </w:t>
      </w:r>
      <w:r w:rsidRPr="002E2CED">
        <w:t>(</w:t>
      </w:r>
      <w:proofErr w:type="spellStart"/>
      <w:r w:rsidRPr="002E2CED">
        <w:t>Cth</w:t>
      </w:r>
      <w:proofErr w:type="spellEnd"/>
      <w:r w:rsidRPr="002E2CED">
        <w:t xml:space="preserve">) </w:t>
      </w:r>
      <w:proofErr w:type="spellStart"/>
      <w:r w:rsidRPr="002E2CED">
        <w:t>Div</w:t>
      </w:r>
      <w:proofErr w:type="spellEnd"/>
      <w:r w:rsidRPr="002E2CED">
        <w:t xml:space="preserve"> 30.</w:t>
      </w:r>
    </w:p>
  </w:footnote>
  <w:footnote w:id="16">
    <w:p w14:paraId="1E1546E3" w14:textId="77777777" w:rsidR="000A1F82" w:rsidRPr="002E2CED" w:rsidRDefault="000A1F82">
      <w:pPr>
        <w:pStyle w:val="FootnoteText"/>
      </w:pPr>
      <w:r w:rsidRPr="002E2CED">
        <w:rPr>
          <w:rStyle w:val="FootnoteReference"/>
        </w:rPr>
        <w:footnoteRef/>
      </w:r>
      <w:r w:rsidRPr="002E2CED">
        <w:t xml:space="preserve"> </w:t>
      </w:r>
      <w:r w:rsidRPr="002E2CED">
        <w:rPr>
          <w:rFonts w:cstheme="minorHAnsi"/>
          <w:i/>
        </w:rPr>
        <w:t>FCT v McPhail</w:t>
      </w:r>
      <w:r w:rsidRPr="002E2CED">
        <w:rPr>
          <w:rFonts w:cstheme="minorHAnsi"/>
        </w:rPr>
        <w:t xml:space="preserve"> (1968) </w:t>
      </w:r>
      <w:r w:rsidRPr="002E2CED">
        <w:rPr>
          <w:rFonts w:cstheme="minorHAnsi"/>
          <w:shd w:val="clear" w:color="auto" w:fill="FFFFFF"/>
        </w:rPr>
        <w:t>117 CLR 111 [5].</w:t>
      </w:r>
    </w:p>
  </w:footnote>
  <w:footnote w:id="17">
    <w:p w14:paraId="314D3FDE" w14:textId="77777777" w:rsidR="000A1F82" w:rsidRDefault="000A1F82">
      <w:pPr>
        <w:pStyle w:val="FootnoteText"/>
      </w:pPr>
      <w:r w:rsidRPr="002E2CED">
        <w:rPr>
          <w:rStyle w:val="FootnoteReference"/>
        </w:rPr>
        <w:footnoteRef/>
      </w:r>
      <w:r w:rsidRPr="002E2CED">
        <w:t xml:space="preserve"> </w:t>
      </w:r>
      <w:proofErr w:type="spellStart"/>
      <w:r w:rsidRPr="002E2CED">
        <w:rPr>
          <w:i/>
          <w:shd w:val="clear" w:color="auto" w:fill="FFFFFF"/>
        </w:rPr>
        <w:t>Rennell</w:t>
      </w:r>
      <w:proofErr w:type="spellEnd"/>
      <w:r w:rsidRPr="002E2CED">
        <w:rPr>
          <w:i/>
          <w:shd w:val="clear" w:color="auto" w:fill="FFFFFF"/>
        </w:rPr>
        <w:t xml:space="preserve"> v. Inland Revenue Commissioners</w:t>
      </w:r>
      <w:r w:rsidRPr="002E2CED">
        <w:rPr>
          <w:shd w:val="clear" w:color="auto" w:fill="FFFFFF"/>
        </w:rPr>
        <w:t xml:space="preserve"> (1964) AC 173</w:t>
      </w:r>
      <w:r>
        <w:rPr>
          <w:shd w:val="clear" w:color="auto" w:fill="FFFFFF"/>
        </w:rPr>
        <w:t>, 193.</w:t>
      </w:r>
    </w:p>
  </w:footnote>
  <w:footnote w:id="18">
    <w:p w14:paraId="7B97F379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32252">
        <w:rPr>
          <w:i/>
        </w:rPr>
        <w:t xml:space="preserve">Income Tax Assessment Act 1997 </w:t>
      </w:r>
      <w:r w:rsidRPr="00B32252">
        <w:t>(</w:t>
      </w:r>
      <w:proofErr w:type="gramStart"/>
      <w:r w:rsidRPr="00B32252">
        <w:t xml:space="preserve">Cth) </w:t>
      </w:r>
      <w:r>
        <w:t xml:space="preserve"> 8</w:t>
      </w:r>
      <w:proofErr w:type="gramEnd"/>
      <w:r>
        <w:t xml:space="preserve">-1 (1) (a). </w:t>
      </w:r>
    </w:p>
  </w:footnote>
  <w:footnote w:id="19">
    <w:p w14:paraId="0F646245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Ibid s 8-1 (2) (a).</w:t>
      </w:r>
    </w:p>
  </w:footnote>
  <w:footnote w:id="20">
    <w:p w14:paraId="191AA78B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Ibid s 70-10 (a).</w:t>
      </w:r>
    </w:p>
  </w:footnote>
  <w:footnote w:id="21">
    <w:p w14:paraId="2E9A34FF" w14:textId="77777777" w:rsidR="000A1F82" w:rsidRPr="00152330" w:rsidRDefault="000A1F82">
      <w:pPr>
        <w:pStyle w:val="FootnoteText"/>
        <w:rPr>
          <w:rFonts w:cstheme="minorHAnsi"/>
        </w:rPr>
      </w:pPr>
      <w:r>
        <w:rPr>
          <w:rStyle w:val="FootnoteReference"/>
        </w:rPr>
        <w:footnoteRef/>
      </w:r>
      <w:r>
        <w:t xml:space="preserve"> Ibid s 70-</w:t>
      </w:r>
      <w:r w:rsidRPr="00152330">
        <w:rPr>
          <w:rFonts w:cstheme="minorHAnsi"/>
        </w:rPr>
        <w:t xml:space="preserve">90 (1). </w:t>
      </w:r>
    </w:p>
  </w:footnote>
  <w:footnote w:id="22">
    <w:p w14:paraId="6CEFE8A2" w14:textId="77777777" w:rsidR="000A1F82" w:rsidRPr="00152330" w:rsidRDefault="000A1F82">
      <w:pPr>
        <w:pStyle w:val="FootnoteText"/>
        <w:rPr>
          <w:rFonts w:cstheme="minorHAnsi"/>
        </w:rPr>
      </w:pPr>
      <w:r w:rsidRPr="00152330">
        <w:rPr>
          <w:rStyle w:val="FootnoteReference"/>
          <w:rFonts w:cstheme="minorHAnsi"/>
        </w:rPr>
        <w:footnoteRef/>
      </w:r>
      <w:r w:rsidRPr="00152330">
        <w:rPr>
          <w:rFonts w:cstheme="minorHAnsi"/>
        </w:rPr>
        <w:t xml:space="preserve"> </w:t>
      </w:r>
      <w:r w:rsidRPr="00152330">
        <w:rPr>
          <w:rFonts w:cstheme="minorHAnsi"/>
          <w:i/>
        </w:rPr>
        <w:t xml:space="preserve">FCT v Cooke and </w:t>
      </w:r>
      <w:proofErr w:type="spellStart"/>
      <w:r w:rsidRPr="00152330">
        <w:rPr>
          <w:rFonts w:cstheme="minorHAnsi"/>
          <w:i/>
        </w:rPr>
        <w:t>Sherden</w:t>
      </w:r>
      <w:proofErr w:type="spellEnd"/>
      <w:r w:rsidRPr="00152330">
        <w:rPr>
          <w:rFonts w:cstheme="minorHAnsi"/>
          <w:i/>
        </w:rPr>
        <w:t xml:space="preserve"> </w:t>
      </w:r>
      <w:r w:rsidRPr="00152330">
        <w:rPr>
          <w:rFonts w:cstheme="minorHAnsi"/>
          <w:shd w:val="clear" w:color="auto" w:fill="FFFFFF"/>
        </w:rPr>
        <w:t>(1980) 29 ALR 202</w:t>
      </w:r>
      <w:r w:rsidR="00284739">
        <w:rPr>
          <w:rFonts w:cstheme="minorHAnsi"/>
          <w:shd w:val="clear" w:color="auto" w:fill="FFFFFF"/>
        </w:rPr>
        <w:t>.</w:t>
      </w:r>
    </w:p>
  </w:footnote>
  <w:footnote w:id="23">
    <w:p w14:paraId="4ABC926D" w14:textId="77777777" w:rsidR="000A1F82" w:rsidRPr="00152330" w:rsidRDefault="000A1F82">
      <w:pPr>
        <w:pStyle w:val="FootnoteText"/>
        <w:rPr>
          <w:rFonts w:cstheme="minorHAnsi"/>
        </w:rPr>
      </w:pPr>
      <w:r w:rsidRPr="00152330">
        <w:rPr>
          <w:rStyle w:val="FootnoteReference"/>
          <w:rFonts w:cstheme="minorHAnsi"/>
        </w:rPr>
        <w:footnoteRef/>
      </w:r>
      <w:r w:rsidRPr="00152330">
        <w:rPr>
          <w:rFonts w:cstheme="minorHAnsi"/>
        </w:rPr>
        <w:t xml:space="preserve"> </w:t>
      </w:r>
      <w:r w:rsidRPr="00152330">
        <w:rPr>
          <w:rFonts w:cstheme="minorHAnsi"/>
          <w:i/>
        </w:rPr>
        <w:t xml:space="preserve">Hochstrasser v Mayes </w:t>
      </w:r>
      <w:r w:rsidRPr="00152330">
        <w:rPr>
          <w:rFonts w:cstheme="minorHAnsi"/>
        </w:rPr>
        <w:t xml:space="preserve">[1960] </w:t>
      </w:r>
      <w:r w:rsidRPr="00152330">
        <w:rPr>
          <w:rFonts w:cstheme="minorHAnsi"/>
          <w:shd w:val="clear" w:color="auto" w:fill="FFFFFF"/>
        </w:rPr>
        <w:t>AC 37.</w:t>
      </w:r>
    </w:p>
  </w:footnote>
  <w:footnote w:id="24">
    <w:p w14:paraId="3F4A37F0" w14:textId="77777777" w:rsidR="000A1F82" w:rsidRPr="00F21390" w:rsidRDefault="000A1F82">
      <w:pPr>
        <w:pStyle w:val="FootnoteText"/>
        <w:rPr>
          <w:rFonts w:cstheme="minorHAnsi"/>
        </w:rPr>
      </w:pPr>
      <w:r w:rsidRPr="00F21390">
        <w:rPr>
          <w:rStyle w:val="FootnoteReference"/>
          <w:rFonts w:cstheme="minorHAnsi"/>
        </w:rPr>
        <w:footnoteRef/>
      </w:r>
      <w:r w:rsidRPr="00F21390">
        <w:rPr>
          <w:rFonts w:cstheme="minorHAnsi"/>
        </w:rPr>
        <w:t xml:space="preserve"> </w:t>
      </w:r>
      <w:r w:rsidRPr="00F21390">
        <w:rPr>
          <w:rFonts w:cstheme="minorHAnsi"/>
          <w:i/>
        </w:rPr>
        <w:t>FCT v Harris</w:t>
      </w:r>
      <w:r w:rsidRPr="00F21390">
        <w:rPr>
          <w:rFonts w:cstheme="minorHAnsi"/>
        </w:rPr>
        <w:t xml:space="preserve"> </w:t>
      </w:r>
      <w:r w:rsidRPr="00F21390">
        <w:rPr>
          <w:rFonts w:cstheme="minorHAnsi"/>
          <w:shd w:val="clear" w:color="auto" w:fill="FFFFFF"/>
        </w:rPr>
        <w:t xml:space="preserve">(1980) 10 ATR 869. </w:t>
      </w:r>
    </w:p>
  </w:footnote>
  <w:footnote w:id="25">
    <w:p w14:paraId="1D50D1F3" w14:textId="77777777" w:rsidR="00F21390" w:rsidRPr="00F21390" w:rsidRDefault="00F21390">
      <w:pPr>
        <w:pStyle w:val="FootnoteText"/>
        <w:rPr>
          <w:rFonts w:cstheme="minorHAnsi"/>
        </w:rPr>
      </w:pPr>
      <w:r w:rsidRPr="00F21390">
        <w:rPr>
          <w:rStyle w:val="FootnoteReference"/>
          <w:rFonts w:cstheme="minorHAnsi"/>
        </w:rPr>
        <w:footnoteRef/>
      </w:r>
      <w:r w:rsidRPr="00F21390">
        <w:rPr>
          <w:rFonts w:cstheme="minorHAnsi"/>
        </w:rPr>
        <w:t xml:space="preserve"> </w:t>
      </w:r>
      <w:r w:rsidRPr="00F21390">
        <w:rPr>
          <w:rFonts w:cstheme="minorHAnsi"/>
          <w:i/>
        </w:rPr>
        <w:t xml:space="preserve">FCT v Cooke and </w:t>
      </w:r>
      <w:proofErr w:type="spellStart"/>
      <w:r w:rsidRPr="00F21390">
        <w:rPr>
          <w:rFonts w:cstheme="minorHAnsi"/>
          <w:i/>
        </w:rPr>
        <w:t>Sherden</w:t>
      </w:r>
      <w:proofErr w:type="spellEnd"/>
      <w:r w:rsidRPr="00F21390">
        <w:rPr>
          <w:rFonts w:cstheme="minorHAnsi"/>
          <w:i/>
        </w:rPr>
        <w:t xml:space="preserve"> </w:t>
      </w:r>
      <w:r w:rsidRPr="00F21390">
        <w:rPr>
          <w:rFonts w:cstheme="minorHAnsi"/>
          <w:shd w:val="clear" w:color="auto" w:fill="FFFFFF"/>
        </w:rPr>
        <w:t>(1980) 29 ALR 202</w:t>
      </w:r>
    </w:p>
  </w:footnote>
  <w:footnote w:id="26">
    <w:p w14:paraId="40931000" w14:textId="77777777" w:rsidR="00F21390" w:rsidRPr="00F21390" w:rsidRDefault="00F21390">
      <w:pPr>
        <w:pStyle w:val="FootnoteText"/>
        <w:rPr>
          <w:rFonts w:cstheme="minorHAnsi"/>
        </w:rPr>
      </w:pPr>
      <w:r w:rsidRPr="00F21390">
        <w:rPr>
          <w:rStyle w:val="FootnoteReference"/>
          <w:rFonts w:cstheme="minorHAnsi"/>
        </w:rPr>
        <w:footnoteRef/>
      </w:r>
      <w:r w:rsidRPr="00F21390">
        <w:rPr>
          <w:rFonts w:cstheme="minorHAnsi"/>
        </w:rPr>
        <w:t xml:space="preserve"> </w:t>
      </w:r>
      <w:r w:rsidRPr="00F21390">
        <w:rPr>
          <w:rFonts w:cstheme="minorHAnsi"/>
          <w:i/>
        </w:rPr>
        <w:t xml:space="preserve">Hochstrasser v Mayes </w:t>
      </w:r>
      <w:r w:rsidRPr="00F21390">
        <w:rPr>
          <w:rFonts w:cstheme="minorHAnsi"/>
        </w:rPr>
        <w:t xml:space="preserve">[1960] </w:t>
      </w:r>
      <w:r w:rsidRPr="00F21390">
        <w:rPr>
          <w:rFonts w:cstheme="minorHAnsi"/>
          <w:shd w:val="clear" w:color="auto" w:fill="FFFFFF"/>
        </w:rPr>
        <w:t>AC 37.</w:t>
      </w:r>
    </w:p>
  </w:footnote>
  <w:footnote w:id="27">
    <w:p w14:paraId="64D996BB" w14:textId="77777777" w:rsidR="000A1F82" w:rsidRPr="00F21390" w:rsidRDefault="000A1F82">
      <w:pPr>
        <w:pStyle w:val="FootnoteText"/>
        <w:rPr>
          <w:rFonts w:cstheme="minorHAnsi"/>
        </w:rPr>
      </w:pPr>
      <w:r w:rsidRPr="00F21390">
        <w:rPr>
          <w:rStyle w:val="FootnoteReference"/>
          <w:rFonts w:cstheme="minorHAnsi"/>
        </w:rPr>
        <w:footnoteRef/>
      </w:r>
      <w:r w:rsidRPr="00F21390">
        <w:rPr>
          <w:rFonts w:cstheme="minorHAnsi"/>
        </w:rPr>
        <w:t xml:space="preserve"> </w:t>
      </w:r>
      <w:r w:rsidRPr="00F21390">
        <w:rPr>
          <w:rFonts w:cstheme="minorHAnsi"/>
          <w:i/>
          <w:iCs/>
          <w:lang w:val="en-GB"/>
        </w:rPr>
        <w:t>Eisner v Macomber</w:t>
      </w:r>
      <w:r w:rsidRPr="00F21390">
        <w:rPr>
          <w:rFonts w:cstheme="minorHAnsi"/>
          <w:lang w:val="en-GB"/>
        </w:rPr>
        <w:t xml:space="preserve"> (1920) 252 US 189.</w:t>
      </w:r>
    </w:p>
  </w:footnote>
  <w:footnote w:id="28">
    <w:p w14:paraId="0A786FC2" w14:textId="77777777" w:rsidR="002352D7" w:rsidRDefault="002352D7">
      <w:pPr>
        <w:pStyle w:val="FootnoteText"/>
      </w:pPr>
      <w:r w:rsidRPr="002352D7">
        <w:rPr>
          <w:rStyle w:val="FootnoteReference"/>
        </w:rPr>
        <w:footnoteRef/>
      </w:r>
      <w:r w:rsidRPr="002352D7">
        <w:t xml:space="preserve"> </w:t>
      </w:r>
      <w:proofErr w:type="spellStart"/>
      <w:r w:rsidRPr="002352D7">
        <w:rPr>
          <w:rFonts w:cstheme="minorHAnsi"/>
          <w:i/>
          <w:iCs/>
        </w:rPr>
        <w:t>Hepples</w:t>
      </w:r>
      <w:proofErr w:type="spellEnd"/>
      <w:r w:rsidRPr="002352D7">
        <w:rPr>
          <w:rFonts w:cstheme="minorHAnsi"/>
          <w:i/>
          <w:iCs/>
        </w:rPr>
        <w:t xml:space="preserve"> v FCT </w:t>
      </w:r>
      <w:r w:rsidRPr="002352D7">
        <w:rPr>
          <w:rFonts w:cstheme="minorHAnsi"/>
        </w:rPr>
        <w:t>(1991) 22 ATR 465</w:t>
      </w:r>
      <w:r>
        <w:rPr>
          <w:rFonts w:cstheme="minorHAnsi"/>
        </w:rPr>
        <w:t>.</w:t>
      </w:r>
    </w:p>
  </w:footnote>
  <w:footnote w:id="29">
    <w:p w14:paraId="49642790" w14:textId="77777777" w:rsidR="00EA6819" w:rsidRPr="00F21390" w:rsidRDefault="00EA6819" w:rsidP="00EA6819">
      <w:pPr>
        <w:rPr>
          <w:rFonts w:cstheme="minorHAnsi"/>
          <w:szCs w:val="20"/>
          <w:lang w:eastAsia="en-AU"/>
        </w:rPr>
      </w:pPr>
      <w:r w:rsidRPr="00F21390">
        <w:rPr>
          <w:rStyle w:val="FootnoteReference"/>
          <w:rFonts w:cstheme="minorHAnsi"/>
          <w:szCs w:val="20"/>
        </w:rPr>
        <w:footnoteRef/>
      </w:r>
      <w:r w:rsidRPr="00F21390">
        <w:rPr>
          <w:rFonts w:cstheme="minorHAnsi"/>
          <w:szCs w:val="20"/>
        </w:rPr>
        <w:t xml:space="preserve"> </w:t>
      </w:r>
      <w:r w:rsidRPr="00F21390">
        <w:rPr>
          <w:rFonts w:cstheme="minorHAnsi"/>
          <w:i/>
          <w:szCs w:val="20"/>
        </w:rPr>
        <w:t xml:space="preserve">Pickford v FCT </w:t>
      </w:r>
      <w:r w:rsidRPr="00F21390">
        <w:rPr>
          <w:rFonts w:cstheme="minorHAnsi"/>
          <w:szCs w:val="20"/>
          <w:lang w:eastAsia="en-AU"/>
        </w:rPr>
        <w:t>(1998) 40 ATR 1078</w:t>
      </w:r>
      <w:r>
        <w:rPr>
          <w:rFonts w:cstheme="minorHAnsi"/>
          <w:szCs w:val="20"/>
          <w:lang w:eastAsia="en-AU"/>
        </w:rPr>
        <w:t>.</w:t>
      </w:r>
    </w:p>
  </w:footnote>
  <w:footnote w:id="30">
    <w:p w14:paraId="224EA119" w14:textId="77777777" w:rsidR="00EA6819" w:rsidRDefault="00EA681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21390">
        <w:rPr>
          <w:rFonts w:cstheme="minorHAnsi"/>
          <w:i/>
        </w:rPr>
        <w:t xml:space="preserve">Income Tax Assessment Act 1997 </w:t>
      </w:r>
      <w:r w:rsidRPr="00F21390">
        <w:rPr>
          <w:rFonts w:cstheme="minorHAnsi"/>
        </w:rPr>
        <w:t xml:space="preserve">(Cth) </w:t>
      </w:r>
      <w:r>
        <w:rPr>
          <w:rFonts w:cstheme="minorHAnsi"/>
        </w:rPr>
        <w:t>s 8-1 (1</w:t>
      </w:r>
      <w:r w:rsidRPr="00F21390">
        <w:rPr>
          <w:rFonts w:cstheme="minorHAnsi"/>
        </w:rPr>
        <w:t>) (a).</w:t>
      </w:r>
    </w:p>
  </w:footnote>
  <w:footnote w:id="31">
    <w:p w14:paraId="3D86F122" w14:textId="77777777" w:rsidR="00EA6819" w:rsidRPr="002352D7" w:rsidRDefault="00EA681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352D7">
        <w:rPr>
          <w:i/>
        </w:rPr>
        <w:t xml:space="preserve">Amalgamated Zinc (de </w:t>
      </w:r>
      <w:proofErr w:type="spellStart"/>
      <w:r w:rsidR="002352D7">
        <w:rPr>
          <w:i/>
        </w:rPr>
        <w:t>Bavay’s</w:t>
      </w:r>
      <w:proofErr w:type="spellEnd"/>
      <w:r w:rsidR="002352D7">
        <w:rPr>
          <w:i/>
        </w:rPr>
        <w:t xml:space="preserve">) Ltd v FCT </w:t>
      </w:r>
      <w:r w:rsidR="002352D7">
        <w:t xml:space="preserve">(1935) 54 CLR 295.  </w:t>
      </w:r>
    </w:p>
  </w:footnote>
  <w:footnote w:id="32">
    <w:p w14:paraId="7CDD6FE7" w14:textId="77777777" w:rsidR="000A1F82" w:rsidRDefault="000A1F82">
      <w:pPr>
        <w:pStyle w:val="FootnoteText"/>
      </w:pPr>
      <w:r w:rsidRPr="00F21390">
        <w:rPr>
          <w:rStyle w:val="FootnoteReference"/>
          <w:rFonts w:cstheme="minorHAnsi"/>
        </w:rPr>
        <w:footnoteRef/>
      </w:r>
      <w:r w:rsidRPr="00F21390">
        <w:rPr>
          <w:rFonts w:cstheme="minorHAnsi"/>
        </w:rPr>
        <w:t xml:space="preserve"> </w:t>
      </w:r>
      <w:r w:rsidRPr="00F21390">
        <w:rPr>
          <w:rFonts w:cstheme="minorHAnsi"/>
          <w:shd w:val="clear" w:color="auto" w:fill="FFFFFF"/>
        </w:rPr>
        <w:t>(1952) 86 CLR 402.</w:t>
      </w:r>
    </w:p>
  </w:footnote>
  <w:footnote w:id="33">
    <w:p w14:paraId="561AE6DB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cstheme="minorHAnsi"/>
          <w:i/>
          <w:iCs/>
          <w:lang w:val="en-GB"/>
        </w:rPr>
        <w:t>Federal Coke Pty Ltd v FCT</w:t>
      </w:r>
      <w:r>
        <w:rPr>
          <w:rFonts w:cstheme="minorHAnsi"/>
          <w:lang w:val="en-GB"/>
        </w:rPr>
        <w:t xml:space="preserve"> (1977) 7 ATR 515.</w:t>
      </w:r>
    </w:p>
  </w:footnote>
  <w:footnote w:id="34">
    <w:p w14:paraId="611735CD" w14:textId="77777777" w:rsidR="000A1F82" w:rsidRPr="001A567D" w:rsidRDefault="000A1F82">
      <w:pPr>
        <w:pStyle w:val="FootnoteText"/>
        <w:rPr>
          <w:rFonts w:cstheme="minorHAnsi"/>
        </w:rPr>
      </w:pPr>
      <w:r>
        <w:rPr>
          <w:rStyle w:val="FootnoteReference"/>
        </w:rPr>
        <w:footnoteRef/>
      </w:r>
      <w:r>
        <w:t xml:space="preserve"> </w:t>
      </w:r>
      <w:r w:rsidRPr="00B32252">
        <w:rPr>
          <w:i/>
        </w:rPr>
        <w:t xml:space="preserve">Income </w:t>
      </w:r>
      <w:r w:rsidRPr="001A567D">
        <w:rPr>
          <w:rFonts w:cstheme="minorHAnsi"/>
          <w:i/>
        </w:rPr>
        <w:t xml:space="preserve">Tax Assessment Act 1997 </w:t>
      </w:r>
      <w:r w:rsidRPr="001A567D">
        <w:rPr>
          <w:rFonts w:cstheme="minorHAnsi"/>
        </w:rPr>
        <w:t>(Cth) s 6-5 (4).</w:t>
      </w:r>
    </w:p>
  </w:footnote>
  <w:footnote w:id="35">
    <w:p w14:paraId="5277D5EF" w14:textId="77777777" w:rsidR="000A1F82" w:rsidRPr="000C78D9" w:rsidRDefault="000A1F82">
      <w:pPr>
        <w:pStyle w:val="FootnoteText"/>
        <w:rPr>
          <w:rFonts w:cstheme="minorHAnsi"/>
        </w:rPr>
      </w:pPr>
      <w:r w:rsidRPr="000C78D9">
        <w:rPr>
          <w:rStyle w:val="FootnoteReference"/>
          <w:rFonts w:cstheme="minorHAnsi"/>
        </w:rPr>
        <w:footnoteRef/>
      </w:r>
      <w:r w:rsidRPr="000C78D9">
        <w:rPr>
          <w:rFonts w:cstheme="minorHAnsi"/>
        </w:rPr>
        <w:t xml:space="preserve"> </w:t>
      </w:r>
      <w:r w:rsidRPr="000C78D9">
        <w:rPr>
          <w:rFonts w:cstheme="minorHAnsi"/>
          <w:i/>
        </w:rPr>
        <w:t>FCT v Scott</w:t>
      </w:r>
      <w:r w:rsidRPr="000C78D9">
        <w:rPr>
          <w:rFonts w:cstheme="minorHAnsi"/>
        </w:rPr>
        <w:t xml:space="preserve"> </w:t>
      </w:r>
      <w:r w:rsidRPr="000C78D9">
        <w:rPr>
          <w:rFonts w:cstheme="minorHAnsi"/>
          <w:shd w:val="clear" w:color="auto" w:fill="FFFFFF"/>
        </w:rPr>
        <w:t>(1966) 117 CLR 514</w:t>
      </w:r>
      <w:r w:rsidR="00284739">
        <w:rPr>
          <w:rFonts w:cstheme="minorHAnsi"/>
          <w:shd w:val="clear" w:color="auto" w:fill="FFFFFF"/>
        </w:rPr>
        <w:t>.</w:t>
      </w:r>
    </w:p>
  </w:footnote>
  <w:footnote w:id="36">
    <w:p w14:paraId="5A571135" w14:textId="77777777" w:rsidR="000A1F82" w:rsidRPr="000C78D9" w:rsidRDefault="000A1F82">
      <w:pPr>
        <w:pStyle w:val="FootnoteText"/>
        <w:rPr>
          <w:rFonts w:cstheme="minorHAnsi"/>
        </w:rPr>
      </w:pPr>
      <w:r w:rsidRPr="000C78D9">
        <w:rPr>
          <w:rStyle w:val="FootnoteReference"/>
          <w:rFonts w:cstheme="minorHAnsi"/>
        </w:rPr>
        <w:footnoteRef/>
      </w:r>
      <w:r w:rsidRPr="000C78D9">
        <w:rPr>
          <w:rFonts w:cstheme="minorHAnsi"/>
        </w:rPr>
        <w:t xml:space="preserve"> </w:t>
      </w:r>
      <w:r w:rsidRPr="000C78D9">
        <w:rPr>
          <w:rFonts w:cstheme="minorHAnsi"/>
          <w:i/>
        </w:rPr>
        <w:t xml:space="preserve">Income Tax Assessment Act 1997 </w:t>
      </w:r>
      <w:r w:rsidRPr="000C78D9">
        <w:rPr>
          <w:rFonts w:cstheme="minorHAnsi"/>
        </w:rPr>
        <w:t>(Cth) s 15-2.</w:t>
      </w:r>
    </w:p>
  </w:footnote>
  <w:footnote w:id="37">
    <w:p w14:paraId="593C00DC" w14:textId="77777777" w:rsidR="000A1F82" w:rsidRPr="000C78D9" w:rsidRDefault="000A1F82" w:rsidP="000C78D9">
      <w:pPr>
        <w:rPr>
          <w:rFonts w:ascii="Times New Roman" w:eastAsia="Times New Roman" w:hAnsi="Times New Roman" w:cs="Times New Roman"/>
          <w:sz w:val="17"/>
          <w:szCs w:val="17"/>
          <w:lang w:eastAsia="en-AU"/>
        </w:rPr>
      </w:pPr>
      <w:r w:rsidRPr="000C78D9">
        <w:rPr>
          <w:rStyle w:val="FootnoteReference"/>
          <w:rFonts w:cstheme="minorHAnsi"/>
          <w:szCs w:val="20"/>
        </w:rPr>
        <w:footnoteRef/>
      </w:r>
      <w:r w:rsidRPr="000C78D9">
        <w:rPr>
          <w:rFonts w:cstheme="minorHAnsi"/>
          <w:szCs w:val="20"/>
        </w:rPr>
        <w:t xml:space="preserve"> </w:t>
      </w:r>
      <w:r w:rsidRPr="000C78D9">
        <w:rPr>
          <w:rFonts w:cstheme="minorHAnsi"/>
          <w:i/>
          <w:szCs w:val="20"/>
        </w:rPr>
        <w:t>Smith v FCT</w:t>
      </w:r>
      <w:r w:rsidRPr="000C78D9">
        <w:rPr>
          <w:rFonts w:cstheme="minorHAnsi"/>
          <w:szCs w:val="20"/>
        </w:rPr>
        <w:t xml:space="preserve"> </w:t>
      </w:r>
      <w:r w:rsidRPr="000C78D9">
        <w:rPr>
          <w:rFonts w:eastAsia="Times New Roman" w:cstheme="minorHAnsi"/>
          <w:szCs w:val="20"/>
          <w:lang w:eastAsia="en-AU"/>
        </w:rPr>
        <w:t>164 CLR 513</w:t>
      </w:r>
      <w:r w:rsidR="00284739">
        <w:rPr>
          <w:rFonts w:eastAsia="Times New Roman" w:cstheme="minorHAnsi"/>
          <w:szCs w:val="20"/>
          <w:lang w:eastAsia="en-AU"/>
        </w:rPr>
        <w:t>.</w:t>
      </w:r>
    </w:p>
  </w:footnote>
  <w:footnote w:id="38">
    <w:p w14:paraId="6DF9D342" w14:textId="77777777" w:rsidR="000A1F82" w:rsidRDefault="000A1F82" w:rsidP="000C78D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B32252">
        <w:rPr>
          <w:i/>
        </w:rPr>
        <w:t xml:space="preserve">Income Tax Assessment Act 1997 </w:t>
      </w:r>
      <w:r w:rsidRPr="00B32252">
        <w:t xml:space="preserve">(Cth) </w:t>
      </w:r>
      <w:r>
        <w:t>s 104-10 (1).</w:t>
      </w:r>
    </w:p>
  </w:footnote>
  <w:footnote w:id="39">
    <w:p w14:paraId="242A74ED" w14:textId="77777777" w:rsidR="000A1F82" w:rsidRDefault="000A1F82" w:rsidP="000C78D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A567D">
        <w:t>Ibid s</w:t>
      </w:r>
      <w:r>
        <w:t xml:space="preserve"> 108-5 (1)</w:t>
      </w:r>
    </w:p>
  </w:footnote>
  <w:footnote w:id="40">
    <w:p w14:paraId="0BD47BF2" w14:textId="77777777" w:rsidR="000A1F82" w:rsidRDefault="000A1F82" w:rsidP="000C78D9">
      <w:pPr>
        <w:pStyle w:val="FootnoteText"/>
      </w:pPr>
      <w:r>
        <w:rPr>
          <w:rStyle w:val="FootnoteReference"/>
        </w:rPr>
        <w:footnoteRef/>
      </w:r>
      <w:r>
        <w:t xml:space="preserve"> Ibid s 8-1 (1) (a). </w:t>
      </w:r>
    </w:p>
  </w:footnote>
  <w:footnote w:id="41">
    <w:p w14:paraId="71A3B034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Ibid s 8-1 (2) (a). </w:t>
      </w:r>
    </w:p>
  </w:footnote>
  <w:footnote w:id="42">
    <w:p w14:paraId="2FABAB0F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Ibid div 43.</w:t>
      </w:r>
    </w:p>
  </w:footnote>
  <w:footnote w:id="43">
    <w:p w14:paraId="67CE3524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Ibid s 104-10 (3) (a).</w:t>
      </w:r>
    </w:p>
  </w:footnote>
  <w:footnote w:id="44">
    <w:p w14:paraId="6CD985FC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Ibid s 102-5 (1)</w:t>
      </w:r>
    </w:p>
  </w:footnote>
  <w:footnote w:id="45">
    <w:p w14:paraId="6FF60191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Ibid div 115. </w:t>
      </w:r>
    </w:p>
  </w:footnote>
  <w:footnote w:id="46">
    <w:p w14:paraId="4BA6FC9B" w14:textId="77777777" w:rsidR="000A1F82" w:rsidRPr="005A78DD" w:rsidRDefault="000A1F82" w:rsidP="005A78DD">
      <w:pPr>
        <w:rPr>
          <w:rFonts w:cstheme="minorHAnsi"/>
          <w:i/>
          <w:szCs w:val="20"/>
        </w:rPr>
      </w:pPr>
      <w:r>
        <w:rPr>
          <w:rStyle w:val="FootnoteReference"/>
        </w:rPr>
        <w:footnoteRef/>
      </w:r>
      <w:r>
        <w:t xml:space="preserve"> Australian </w:t>
      </w:r>
      <w:r w:rsidRPr="005A78DD">
        <w:t xml:space="preserve">Taxation Office, </w:t>
      </w:r>
      <w:r w:rsidR="00284739" w:rsidRPr="00284739">
        <w:rPr>
          <w:rFonts w:cstheme="minorHAnsi"/>
          <w:i/>
          <w:szCs w:val="20"/>
        </w:rPr>
        <w:t>Income tax: is </w:t>
      </w:r>
      <w:bookmarkStart w:id="0" w:name="LAWHIT1"/>
      <w:bookmarkEnd w:id="0"/>
      <w:r w:rsidR="00284739" w:rsidRPr="00284739">
        <w:rPr>
          <w:rFonts w:cstheme="minorHAnsi"/>
          <w:i/>
          <w:szCs w:val="20"/>
        </w:rPr>
        <w:t>bitcoin a 'CGT asset' for the purposes of subsection 108-5(1) of the </w:t>
      </w:r>
      <w:r w:rsidR="00284739" w:rsidRPr="00284739">
        <w:rPr>
          <w:rStyle w:val="Emphasis"/>
          <w:rFonts w:cstheme="minorHAnsi"/>
          <w:bCs/>
          <w:i w:val="0"/>
          <w:szCs w:val="20"/>
        </w:rPr>
        <w:t>Income Tax Assessment Act 1997</w:t>
      </w:r>
      <w:r w:rsidR="00284739" w:rsidRPr="00284739">
        <w:rPr>
          <w:rFonts w:cstheme="minorHAnsi"/>
          <w:i/>
          <w:szCs w:val="20"/>
        </w:rPr>
        <w:t>?</w:t>
      </w:r>
      <w:r>
        <w:rPr>
          <w:rFonts w:cstheme="minorHAnsi"/>
          <w:i/>
          <w:szCs w:val="20"/>
        </w:rPr>
        <w:t xml:space="preserve"> </w:t>
      </w:r>
      <w:r>
        <w:t>TR</w:t>
      </w:r>
      <w:r w:rsidR="00284739">
        <w:t xml:space="preserve"> 2014/26, 17 December 2014.</w:t>
      </w:r>
    </w:p>
  </w:footnote>
  <w:footnote w:id="47">
    <w:p w14:paraId="6035938F" w14:textId="77777777" w:rsidR="000A1F82" w:rsidRPr="00EA15A2" w:rsidRDefault="000A1F82">
      <w:pPr>
        <w:pStyle w:val="FootnoteText"/>
        <w:rPr>
          <w:rFonts w:cstheme="minorHAnsi"/>
        </w:rPr>
      </w:pPr>
      <w:r w:rsidRPr="005A78DD">
        <w:rPr>
          <w:rStyle w:val="FootnoteReference"/>
        </w:rPr>
        <w:footnoteRef/>
      </w:r>
      <w:r w:rsidRPr="005A78DD">
        <w:t xml:space="preserve"> </w:t>
      </w:r>
      <w:r w:rsidRPr="005A78DD">
        <w:rPr>
          <w:i/>
        </w:rPr>
        <w:t xml:space="preserve">Income Tax Assessment Act 1997 </w:t>
      </w:r>
      <w:r w:rsidRPr="005A78DD">
        <w:t xml:space="preserve">(Cth) s </w:t>
      </w:r>
      <w:r>
        <w:t>104-10 (1)</w:t>
      </w:r>
      <w:r w:rsidR="00702B84">
        <w:t>.</w:t>
      </w:r>
    </w:p>
  </w:footnote>
  <w:footnote w:id="48">
    <w:p w14:paraId="026AB935" w14:textId="77777777" w:rsidR="000A1F82" w:rsidRPr="00EA15A2" w:rsidRDefault="000A1F82">
      <w:pPr>
        <w:pStyle w:val="FootnoteText"/>
        <w:rPr>
          <w:rFonts w:cstheme="minorHAnsi"/>
        </w:rPr>
      </w:pPr>
      <w:r w:rsidRPr="00EA15A2">
        <w:rPr>
          <w:rStyle w:val="FootnoteReference"/>
          <w:rFonts w:cstheme="minorHAnsi"/>
        </w:rPr>
        <w:footnoteRef/>
      </w:r>
      <w:r w:rsidRPr="00EA15A2">
        <w:rPr>
          <w:rFonts w:cstheme="minorHAnsi"/>
        </w:rPr>
        <w:t xml:space="preserve"> </w:t>
      </w:r>
      <w:r w:rsidRPr="00EA15A2">
        <w:rPr>
          <w:rFonts w:cstheme="minorHAnsi"/>
          <w:i/>
        </w:rPr>
        <w:t>London Australia Investmen</w:t>
      </w:r>
      <w:r w:rsidR="00EA15A2" w:rsidRPr="00EA15A2">
        <w:rPr>
          <w:rFonts w:cstheme="minorHAnsi"/>
          <w:i/>
        </w:rPr>
        <w:t>t</w:t>
      </w:r>
      <w:r w:rsidRPr="00EA15A2">
        <w:rPr>
          <w:rFonts w:cstheme="minorHAnsi"/>
          <w:i/>
        </w:rPr>
        <w:t xml:space="preserve"> Co Ltd v FCT</w:t>
      </w:r>
      <w:r w:rsidRPr="00EA15A2">
        <w:rPr>
          <w:rFonts w:cstheme="minorHAnsi"/>
        </w:rPr>
        <w:t xml:space="preserve"> </w:t>
      </w:r>
      <w:r w:rsidR="00EA15A2" w:rsidRPr="00EA15A2">
        <w:rPr>
          <w:rFonts w:cstheme="minorHAnsi"/>
        </w:rPr>
        <w:t xml:space="preserve">(1977) </w:t>
      </w:r>
      <w:r w:rsidR="00EA15A2" w:rsidRPr="00EA15A2">
        <w:rPr>
          <w:rFonts w:cstheme="minorHAnsi"/>
          <w:shd w:val="clear" w:color="auto" w:fill="FFFFFF"/>
        </w:rPr>
        <w:t>138 CLR 106.</w:t>
      </w:r>
    </w:p>
  </w:footnote>
  <w:footnote w:id="49">
    <w:p w14:paraId="534FDB14" w14:textId="77777777" w:rsidR="000A1F82" w:rsidRPr="00EA15A2" w:rsidRDefault="000A1F82" w:rsidP="00EA15A2">
      <w:pPr>
        <w:rPr>
          <w:rFonts w:eastAsia="Times New Roman" w:cstheme="minorHAnsi"/>
          <w:szCs w:val="20"/>
          <w:lang w:eastAsia="en-AU"/>
        </w:rPr>
      </w:pPr>
      <w:r w:rsidRPr="00EA15A2">
        <w:rPr>
          <w:rStyle w:val="FootnoteReference"/>
          <w:rFonts w:cstheme="minorHAnsi"/>
          <w:szCs w:val="20"/>
        </w:rPr>
        <w:footnoteRef/>
      </w:r>
      <w:r w:rsidRPr="00EA15A2">
        <w:rPr>
          <w:rFonts w:cstheme="minorHAnsi"/>
          <w:szCs w:val="20"/>
        </w:rPr>
        <w:t xml:space="preserve"> </w:t>
      </w:r>
      <w:r w:rsidRPr="00EA15A2">
        <w:rPr>
          <w:rFonts w:cstheme="minorHAnsi"/>
          <w:i/>
          <w:szCs w:val="20"/>
        </w:rPr>
        <w:t>Stone v FCT</w:t>
      </w:r>
      <w:r w:rsidRPr="00EA15A2">
        <w:rPr>
          <w:rFonts w:cstheme="minorHAnsi"/>
          <w:szCs w:val="20"/>
        </w:rPr>
        <w:t xml:space="preserve"> </w:t>
      </w:r>
      <w:bookmarkStart w:id="1" w:name="cases"/>
      <w:r w:rsidR="00EA15A2" w:rsidRPr="00EA15A2">
        <w:rPr>
          <w:rFonts w:eastAsia="Times New Roman" w:cstheme="minorHAnsi"/>
          <w:szCs w:val="20"/>
          <w:lang w:eastAsia="en-AU"/>
        </w:rPr>
        <w:t>(2002) 196 ALR 221</w:t>
      </w:r>
      <w:bookmarkEnd w:id="1"/>
      <w:r w:rsidR="00EA15A2" w:rsidRPr="00EA15A2">
        <w:rPr>
          <w:rFonts w:eastAsia="Times New Roman" w:cstheme="minorHAnsi"/>
          <w:szCs w:val="20"/>
          <w:lang w:eastAsia="en-AU"/>
        </w:rPr>
        <w:t>.</w:t>
      </w:r>
    </w:p>
  </w:footnote>
  <w:footnote w:id="50">
    <w:p w14:paraId="39946A48" w14:textId="77777777" w:rsidR="000A1F82" w:rsidRPr="00EA15A2" w:rsidRDefault="000A1F82" w:rsidP="00EA15A2">
      <w:pPr>
        <w:rPr>
          <w:rFonts w:cstheme="minorHAnsi"/>
          <w:szCs w:val="20"/>
        </w:rPr>
      </w:pPr>
      <w:r w:rsidRPr="00EA15A2">
        <w:rPr>
          <w:rStyle w:val="FootnoteReference"/>
          <w:rFonts w:cstheme="minorHAnsi"/>
          <w:szCs w:val="20"/>
        </w:rPr>
        <w:footnoteRef/>
      </w:r>
      <w:r w:rsidRPr="00EA15A2">
        <w:rPr>
          <w:rFonts w:cstheme="minorHAnsi"/>
          <w:szCs w:val="20"/>
        </w:rPr>
        <w:t xml:space="preserve"> </w:t>
      </w:r>
      <w:r w:rsidRPr="00EA15A2">
        <w:rPr>
          <w:rFonts w:cstheme="minorHAnsi"/>
          <w:i/>
          <w:szCs w:val="20"/>
        </w:rPr>
        <w:t>Ferguson v FCT</w:t>
      </w:r>
      <w:r w:rsidRPr="00EA15A2">
        <w:rPr>
          <w:rFonts w:cstheme="minorHAnsi"/>
          <w:szCs w:val="20"/>
        </w:rPr>
        <w:t xml:space="preserve"> </w:t>
      </w:r>
      <w:r w:rsidR="00EA15A2" w:rsidRPr="00EA15A2">
        <w:rPr>
          <w:rFonts w:cstheme="minorHAnsi"/>
          <w:szCs w:val="20"/>
          <w:shd w:val="clear" w:color="auto" w:fill="FFFFFF"/>
        </w:rPr>
        <w:t xml:space="preserve">(1979) 37 FLR 310. </w:t>
      </w:r>
    </w:p>
  </w:footnote>
  <w:footnote w:id="51">
    <w:p w14:paraId="0DBE18BD" w14:textId="77777777" w:rsidR="000A1F82" w:rsidRPr="00EA15A2" w:rsidRDefault="000A1F82">
      <w:pPr>
        <w:pStyle w:val="FootnoteText"/>
        <w:rPr>
          <w:rFonts w:cstheme="minorHAnsi"/>
        </w:rPr>
      </w:pPr>
      <w:r w:rsidRPr="00EA15A2">
        <w:rPr>
          <w:rStyle w:val="FootnoteReference"/>
          <w:rFonts w:cstheme="minorHAnsi"/>
        </w:rPr>
        <w:footnoteRef/>
      </w:r>
      <w:r w:rsidRPr="00EA15A2">
        <w:rPr>
          <w:rFonts w:cstheme="minorHAnsi"/>
        </w:rPr>
        <w:t xml:space="preserve"> </w:t>
      </w:r>
      <w:r w:rsidRPr="00EA15A2">
        <w:rPr>
          <w:rFonts w:cstheme="minorHAnsi"/>
          <w:i/>
        </w:rPr>
        <w:t xml:space="preserve">FCT v </w:t>
      </w:r>
      <w:proofErr w:type="spellStart"/>
      <w:r w:rsidRPr="00EA15A2">
        <w:rPr>
          <w:rFonts w:cstheme="minorHAnsi"/>
          <w:i/>
        </w:rPr>
        <w:t>Whitfords</w:t>
      </w:r>
      <w:proofErr w:type="spellEnd"/>
      <w:r w:rsidRPr="00EA15A2">
        <w:rPr>
          <w:rFonts w:cstheme="minorHAnsi"/>
          <w:i/>
        </w:rPr>
        <w:t xml:space="preserve"> Beach Pty Ltd</w:t>
      </w:r>
      <w:r w:rsidRPr="00EA15A2">
        <w:rPr>
          <w:rFonts w:cstheme="minorHAnsi"/>
        </w:rPr>
        <w:t xml:space="preserve"> </w:t>
      </w:r>
      <w:r w:rsidR="00EA15A2" w:rsidRPr="00EA15A2">
        <w:rPr>
          <w:rFonts w:cstheme="minorHAnsi"/>
          <w:shd w:val="clear" w:color="auto" w:fill="FFFFFF"/>
        </w:rPr>
        <w:t>(1982) 150 CLR 355.</w:t>
      </w:r>
    </w:p>
  </w:footnote>
  <w:footnote w:id="52">
    <w:p w14:paraId="50C7B033" w14:textId="77777777" w:rsidR="000A1F82" w:rsidRPr="00EA15A2" w:rsidRDefault="000A1F82">
      <w:pPr>
        <w:pStyle w:val="FootnoteText"/>
        <w:rPr>
          <w:rFonts w:cstheme="minorHAnsi"/>
        </w:rPr>
      </w:pPr>
      <w:r w:rsidRPr="00EA15A2">
        <w:rPr>
          <w:rStyle w:val="FootnoteReference"/>
          <w:rFonts w:cstheme="minorHAnsi"/>
        </w:rPr>
        <w:footnoteRef/>
      </w:r>
      <w:r w:rsidRPr="00EA15A2">
        <w:rPr>
          <w:rFonts w:cstheme="minorHAnsi"/>
        </w:rPr>
        <w:t xml:space="preserve"> </w:t>
      </w:r>
      <w:r w:rsidR="00EA15A2" w:rsidRPr="00EA15A2">
        <w:rPr>
          <w:rFonts w:cstheme="minorHAnsi"/>
          <w:i/>
        </w:rPr>
        <w:t xml:space="preserve">Income Tax Assessment Act 1936 </w:t>
      </w:r>
      <w:r w:rsidR="00EA15A2" w:rsidRPr="00EA15A2">
        <w:rPr>
          <w:rFonts w:cstheme="minorHAnsi"/>
        </w:rPr>
        <w:t>(Cth) s 25A (1).</w:t>
      </w:r>
    </w:p>
  </w:footnote>
  <w:footnote w:id="53">
    <w:p w14:paraId="17BF6E72" w14:textId="77777777" w:rsidR="000A1F82" w:rsidRPr="001A567D" w:rsidRDefault="000A1F82" w:rsidP="001A567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EA15A2" w:rsidRPr="005A78DD">
        <w:rPr>
          <w:i/>
        </w:rPr>
        <w:t xml:space="preserve">Income Tax Assessment Act 1997 </w:t>
      </w:r>
      <w:r w:rsidR="00EA15A2" w:rsidRPr="005A78DD">
        <w:t>(Cth)</w:t>
      </w:r>
      <w:r>
        <w:t xml:space="preserve"> s 70-35 (2). </w:t>
      </w:r>
    </w:p>
  </w:footnote>
  <w:footnote w:id="54">
    <w:p w14:paraId="25FCBDB1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C0D8C" w:rsidRPr="00EA15A2">
        <w:rPr>
          <w:rFonts w:cstheme="minorHAnsi"/>
          <w:i/>
        </w:rPr>
        <w:t xml:space="preserve">Income Tax Assessment Act 1936 </w:t>
      </w:r>
      <w:r w:rsidR="009C0D8C" w:rsidRPr="00EA15A2">
        <w:rPr>
          <w:rFonts w:cstheme="minorHAnsi"/>
        </w:rPr>
        <w:t xml:space="preserve">(Cth) </w:t>
      </w:r>
      <w:r w:rsidR="009C0D8C">
        <w:t>s 44.</w:t>
      </w:r>
    </w:p>
  </w:footnote>
  <w:footnote w:id="55">
    <w:p w14:paraId="6C060491" w14:textId="77777777" w:rsidR="000A1F82" w:rsidRDefault="000A1F82" w:rsidP="001A567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C0D8C" w:rsidRPr="005A78DD">
        <w:rPr>
          <w:i/>
        </w:rPr>
        <w:t xml:space="preserve">Income Tax Assessment Act 1997 </w:t>
      </w:r>
      <w:r w:rsidR="009C0D8C" w:rsidRPr="005A78DD">
        <w:t>(Cth)</w:t>
      </w:r>
      <w:r w:rsidR="009C0D8C">
        <w:t xml:space="preserve"> s 4-10 (3).</w:t>
      </w:r>
    </w:p>
  </w:footnote>
  <w:footnote w:id="56">
    <w:p w14:paraId="3DEA23A4" w14:textId="77777777" w:rsidR="000A1F82" w:rsidRDefault="000A1F8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EA15A2" w:rsidRPr="005A78DD">
        <w:rPr>
          <w:i/>
        </w:rPr>
        <w:t xml:space="preserve">Income Tax Assessment Act 1997 </w:t>
      </w:r>
      <w:r w:rsidR="00EA15A2" w:rsidRPr="005A78DD">
        <w:t>(Cth)</w:t>
      </w:r>
      <w:r>
        <w:t xml:space="preserve"> s 8-1 (1) (a).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5FEC" w14:textId="77777777" w:rsidR="000A1F82" w:rsidRPr="00347609" w:rsidRDefault="000A1F82" w:rsidP="00347609">
    <w:pPr>
      <w:pStyle w:val="Header"/>
      <w:jc w:val="right"/>
      <w:rPr>
        <w:sz w:val="22"/>
      </w:rPr>
    </w:pPr>
    <w:r w:rsidRPr="00347609">
      <w:rPr>
        <w:sz w:val="22"/>
      </w:rPr>
      <w:t>Jordan Edwards_214136151</w:t>
    </w:r>
  </w:p>
  <w:p w14:paraId="0E58B867" w14:textId="77777777" w:rsidR="000A1F82" w:rsidRDefault="000A1F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91CC4"/>
    <w:multiLevelType w:val="hybridMultilevel"/>
    <w:tmpl w:val="FF2CE298"/>
    <w:lvl w:ilvl="0" w:tplc="8F0A1F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7476A"/>
    <w:multiLevelType w:val="hybridMultilevel"/>
    <w:tmpl w:val="E13EAD94"/>
    <w:lvl w:ilvl="0" w:tplc="4FA62C7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424091"/>
    <w:multiLevelType w:val="multilevel"/>
    <w:tmpl w:val="82F8D9CC"/>
    <w:lvl w:ilvl="0">
      <w:start w:val="1"/>
      <w:numFmt w:val="decimal"/>
      <w:pStyle w:val="Number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91746E3"/>
    <w:multiLevelType w:val="hybridMultilevel"/>
    <w:tmpl w:val="F3B2A81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A2A1AD8"/>
    <w:multiLevelType w:val="hybridMultilevel"/>
    <w:tmpl w:val="7E0046F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A654D34"/>
    <w:multiLevelType w:val="hybridMultilevel"/>
    <w:tmpl w:val="60FE6196"/>
    <w:lvl w:ilvl="0" w:tplc="383A77F8">
      <w:start w:val="1"/>
      <w:numFmt w:val="decimal"/>
      <w:lvlText w:val="%1.1"/>
      <w:lvlJc w:val="left"/>
      <w:pPr>
        <w:ind w:left="720" w:hanging="360"/>
      </w:pPr>
      <w:rPr>
        <w:rFonts w:ascii="Arial" w:hAnsi="Arial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609"/>
    <w:rsid w:val="00061989"/>
    <w:rsid w:val="00062658"/>
    <w:rsid w:val="000A1F82"/>
    <w:rsid w:val="000A3A19"/>
    <w:rsid w:val="000B333E"/>
    <w:rsid w:val="000C78D9"/>
    <w:rsid w:val="000E2FFB"/>
    <w:rsid w:val="001161E7"/>
    <w:rsid w:val="001433FF"/>
    <w:rsid w:val="00150997"/>
    <w:rsid w:val="00152330"/>
    <w:rsid w:val="00164745"/>
    <w:rsid w:val="001876EC"/>
    <w:rsid w:val="001A567D"/>
    <w:rsid w:val="001B3E6C"/>
    <w:rsid w:val="001C191D"/>
    <w:rsid w:val="001E268D"/>
    <w:rsid w:val="001F06E6"/>
    <w:rsid w:val="0022633D"/>
    <w:rsid w:val="00226DA1"/>
    <w:rsid w:val="0023266E"/>
    <w:rsid w:val="002352D7"/>
    <w:rsid w:val="0024631E"/>
    <w:rsid w:val="00252CB6"/>
    <w:rsid w:val="0025377B"/>
    <w:rsid w:val="00257039"/>
    <w:rsid w:val="002659C4"/>
    <w:rsid w:val="00284739"/>
    <w:rsid w:val="002A5383"/>
    <w:rsid w:val="002C7B69"/>
    <w:rsid w:val="002E2CED"/>
    <w:rsid w:val="002F65A3"/>
    <w:rsid w:val="00301F81"/>
    <w:rsid w:val="003244E0"/>
    <w:rsid w:val="00326E9A"/>
    <w:rsid w:val="00341372"/>
    <w:rsid w:val="00347609"/>
    <w:rsid w:val="00370DC0"/>
    <w:rsid w:val="003837FF"/>
    <w:rsid w:val="003A2BF4"/>
    <w:rsid w:val="003B22F0"/>
    <w:rsid w:val="003C0904"/>
    <w:rsid w:val="003E2E49"/>
    <w:rsid w:val="004101C1"/>
    <w:rsid w:val="00424535"/>
    <w:rsid w:val="0045080D"/>
    <w:rsid w:val="00464B4F"/>
    <w:rsid w:val="0047055B"/>
    <w:rsid w:val="00486A46"/>
    <w:rsid w:val="00487777"/>
    <w:rsid w:val="00490E03"/>
    <w:rsid w:val="004925C4"/>
    <w:rsid w:val="00494355"/>
    <w:rsid w:val="004947E1"/>
    <w:rsid w:val="004B5401"/>
    <w:rsid w:val="004B5922"/>
    <w:rsid w:val="004C7529"/>
    <w:rsid w:val="004E341B"/>
    <w:rsid w:val="004E61D9"/>
    <w:rsid w:val="005003FF"/>
    <w:rsid w:val="0050652D"/>
    <w:rsid w:val="00555EDD"/>
    <w:rsid w:val="00577206"/>
    <w:rsid w:val="005A5A93"/>
    <w:rsid w:val="005A78DD"/>
    <w:rsid w:val="005B0F0F"/>
    <w:rsid w:val="005C42D0"/>
    <w:rsid w:val="005C58A8"/>
    <w:rsid w:val="005F0922"/>
    <w:rsid w:val="00612B3E"/>
    <w:rsid w:val="00613B36"/>
    <w:rsid w:val="00617832"/>
    <w:rsid w:val="006208A4"/>
    <w:rsid w:val="00625C69"/>
    <w:rsid w:val="00632792"/>
    <w:rsid w:val="00646C04"/>
    <w:rsid w:val="006473DB"/>
    <w:rsid w:val="00655CCB"/>
    <w:rsid w:val="00666180"/>
    <w:rsid w:val="00671351"/>
    <w:rsid w:val="00674BCE"/>
    <w:rsid w:val="006A168B"/>
    <w:rsid w:val="006C19B8"/>
    <w:rsid w:val="006C5FBB"/>
    <w:rsid w:val="00700803"/>
    <w:rsid w:val="00702B84"/>
    <w:rsid w:val="0071788E"/>
    <w:rsid w:val="00721146"/>
    <w:rsid w:val="0072780E"/>
    <w:rsid w:val="00750C2F"/>
    <w:rsid w:val="007A0372"/>
    <w:rsid w:val="007A5005"/>
    <w:rsid w:val="007D0877"/>
    <w:rsid w:val="007E5E0B"/>
    <w:rsid w:val="007F38C2"/>
    <w:rsid w:val="007F4F90"/>
    <w:rsid w:val="00851632"/>
    <w:rsid w:val="00897B4B"/>
    <w:rsid w:val="008B4BAF"/>
    <w:rsid w:val="008C7E6A"/>
    <w:rsid w:val="009121FF"/>
    <w:rsid w:val="00925C81"/>
    <w:rsid w:val="009273B3"/>
    <w:rsid w:val="00944312"/>
    <w:rsid w:val="0094625B"/>
    <w:rsid w:val="00946608"/>
    <w:rsid w:val="009503CC"/>
    <w:rsid w:val="0099287A"/>
    <w:rsid w:val="009975F1"/>
    <w:rsid w:val="009C0D8C"/>
    <w:rsid w:val="009C15CB"/>
    <w:rsid w:val="009E15C3"/>
    <w:rsid w:val="00A16CF3"/>
    <w:rsid w:val="00A309B9"/>
    <w:rsid w:val="00A35038"/>
    <w:rsid w:val="00A52EEE"/>
    <w:rsid w:val="00A62915"/>
    <w:rsid w:val="00A90E1D"/>
    <w:rsid w:val="00AA161B"/>
    <w:rsid w:val="00AA5957"/>
    <w:rsid w:val="00AC0EC4"/>
    <w:rsid w:val="00AC45E1"/>
    <w:rsid w:val="00B03A69"/>
    <w:rsid w:val="00B32252"/>
    <w:rsid w:val="00B62030"/>
    <w:rsid w:val="00B90C02"/>
    <w:rsid w:val="00B923DF"/>
    <w:rsid w:val="00BC293D"/>
    <w:rsid w:val="00BE253D"/>
    <w:rsid w:val="00BE2B54"/>
    <w:rsid w:val="00C24896"/>
    <w:rsid w:val="00C413F3"/>
    <w:rsid w:val="00C42104"/>
    <w:rsid w:val="00C45F0F"/>
    <w:rsid w:val="00C574FB"/>
    <w:rsid w:val="00C83400"/>
    <w:rsid w:val="00CA01F5"/>
    <w:rsid w:val="00D108A3"/>
    <w:rsid w:val="00D12123"/>
    <w:rsid w:val="00D2013E"/>
    <w:rsid w:val="00D34918"/>
    <w:rsid w:val="00D35B84"/>
    <w:rsid w:val="00D65002"/>
    <w:rsid w:val="00D72683"/>
    <w:rsid w:val="00DA1F91"/>
    <w:rsid w:val="00DC047E"/>
    <w:rsid w:val="00DC461F"/>
    <w:rsid w:val="00DE0AFE"/>
    <w:rsid w:val="00DE34BE"/>
    <w:rsid w:val="00DF2154"/>
    <w:rsid w:val="00DF6D65"/>
    <w:rsid w:val="00DF7DE5"/>
    <w:rsid w:val="00E12526"/>
    <w:rsid w:val="00E33F8A"/>
    <w:rsid w:val="00E62D44"/>
    <w:rsid w:val="00E83910"/>
    <w:rsid w:val="00E94785"/>
    <w:rsid w:val="00EA15A2"/>
    <w:rsid w:val="00EA3336"/>
    <w:rsid w:val="00EA6819"/>
    <w:rsid w:val="00EB1FA8"/>
    <w:rsid w:val="00EB6A38"/>
    <w:rsid w:val="00EC5F45"/>
    <w:rsid w:val="00ED1B0E"/>
    <w:rsid w:val="00EE5033"/>
    <w:rsid w:val="00EF1746"/>
    <w:rsid w:val="00F0475E"/>
    <w:rsid w:val="00F14B9C"/>
    <w:rsid w:val="00F152D4"/>
    <w:rsid w:val="00F21390"/>
    <w:rsid w:val="00F31D05"/>
    <w:rsid w:val="00F342AA"/>
    <w:rsid w:val="00F717E4"/>
    <w:rsid w:val="00F77DE8"/>
    <w:rsid w:val="00F92D9A"/>
    <w:rsid w:val="00FD3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5979"/>
  <w15:chartTrackingRefBased/>
  <w15:docId w15:val="{2B81F0A8-3173-43F5-961A-18A4BEE9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A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0922"/>
    <w:pPr>
      <w:keepNext/>
      <w:keepLines/>
      <w:pBdr>
        <w:bottom w:val="double" w:sz="4" w:space="1" w:color="2E74B5" w:themeColor="accent1" w:themeShade="BF"/>
      </w:pBdr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F0922"/>
    <w:pPr>
      <w:keepNext/>
      <w:keepLines/>
      <w:pBdr>
        <w:bottom w:val="single" w:sz="4" w:space="1" w:color="2E74B5" w:themeColor="accent1" w:themeShade="BF"/>
      </w:pBdr>
      <w:spacing w:before="40"/>
      <w:jc w:val="center"/>
      <w:outlineLvl w:val="1"/>
    </w:pPr>
    <w:rPr>
      <w:rFonts w:eastAsiaTheme="majorEastAsia" w:cstheme="majorBidi"/>
      <w:b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8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0922"/>
    <w:rPr>
      <w:rFonts w:eastAsiaTheme="majorEastAsia" w:cstheme="majorBidi"/>
      <w:b/>
      <w:color w:val="2E74B5" w:themeColor="accent1" w:themeShade="BF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F09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Numbering1">
    <w:name w:val="Numbering 1."/>
    <w:basedOn w:val="Normal"/>
    <w:next w:val="Normal"/>
    <w:link w:val="Numbering1Char"/>
    <w:autoRedefine/>
    <w:qFormat/>
    <w:rsid w:val="009975F1"/>
    <w:pPr>
      <w:numPr>
        <w:numId w:val="4"/>
      </w:numPr>
      <w:ind w:left="360" w:hanging="360"/>
    </w:pPr>
    <w:rPr>
      <w:rFonts w:ascii="Arial" w:hAnsi="Arial" w:cs="Arial"/>
      <w:sz w:val="24"/>
    </w:rPr>
  </w:style>
  <w:style w:type="character" w:customStyle="1" w:styleId="Numbering1Char">
    <w:name w:val="Numbering 1. Char"/>
    <w:basedOn w:val="DefaultParagraphFont"/>
    <w:link w:val="Numbering1"/>
    <w:rsid w:val="009975F1"/>
    <w:rPr>
      <w:rFonts w:ascii="Arial" w:hAnsi="Arial" w:cs="Arial"/>
      <w:sz w:val="24"/>
    </w:rPr>
  </w:style>
  <w:style w:type="paragraph" w:customStyle="1" w:styleId="Numbering2">
    <w:name w:val="Numbering 2"/>
    <w:basedOn w:val="Normal"/>
    <w:next w:val="Normal"/>
    <w:link w:val="Numbering2Char"/>
    <w:autoRedefine/>
    <w:qFormat/>
    <w:rsid w:val="009975F1"/>
    <w:pPr>
      <w:tabs>
        <w:tab w:val="num" w:pos="720"/>
      </w:tabs>
      <w:ind w:left="1080" w:hanging="360"/>
    </w:pPr>
    <w:rPr>
      <w:rFonts w:ascii="Arial" w:hAnsi="Arial"/>
      <w:sz w:val="24"/>
    </w:rPr>
  </w:style>
  <w:style w:type="character" w:customStyle="1" w:styleId="Numbering2Char">
    <w:name w:val="Numbering 2 Char"/>
    <w:basedOn w:val="DefaultParagraphFont"/>
    <w:link w:val="Numbering2"/>
    <w:rsid w:val="009975F1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34760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609"/>
  </w:style>
  <w:style w:type="paragraph" w:styleId="Footer">
    <w:name w:val="footer"/>
    <w:basedOn w:val="Normal"/>
    <w:link w:val="FooterChar"/>
    <w:uiPriority w:val="99"/>
    <w:unhideWhenUsed/>
    <w:rsid w:val="0034760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609"/>
  </w:style>
  <w:style w:type="paragraph" w:customStyle="1" w:styleId="Default">
    <w:name w:val="Default"/>
    <w:rsid w:val="00347609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2683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2683"/>
    <w:rPr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268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0475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125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252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252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25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2526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526"/>
    <w:pPr>
      <w:spacing w:line="240" w:lineRule="auto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526"/>
    <w:rPr>
      <w:rFonts w:ascii="Segoe UI" w:hAnsi="Segoe UI"/>
      <w:sz w:val="18"/>
      <w:szCs w:val="18"/>
    </w:rPr>
  </w:style>
  <w:style w:type="character" w:customStyle="1" w:styleId="citation">
    <w:name w:val="citation"/>
    <w:basedOn w:val="DefaultParagraphFont"/>
    <w:rsid w:val="00B32252"/>
  </w:style>
  <w:style w:type="character" w:customStyle="1" w:styleId="Heading3Char">
    <w:name w:val="Heading 3 Char"/>
    <w:basedOn w:val="DefaultParagraphFont"/>
    <w:link w:val="Heading3"/>
    <w:uiPriority w:val="9"/>
    <w:semiHidden/>
    <w:rsid w:val="005A78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A78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D6C36-2F5D-4997-AD53-231B01245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2009</Words>
  <Characters>11453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edwards</dc:creator>
  <cp:keywords/>
  <dc:description/>
  <cp:lastModifiedBy>-</cp:lastModifiedBy>
  <cp:revision>2</cp:revision>
  <dcterms:created xsi:type="dcterms:W3CDTF">2023-03-14T05:39:00Z</dcterms:created>
  <dcterms:modified xsi:type="dcterms:W3CDTF">2023-03-14T05:39:00Z</dcterms:modified>
</cp:coreProperties>
</file>