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0A89" w14:textId="77777777" w:rsidR="00DA0304" w:rsidRPr="00DA0304" w:rsidRDefault="00DA0304" w:rsidP="00DA0304">
      <w:pPr>
        <w:keepNext/>
        <w:keepLines/>
        <w:spacing w:after="240" w:line="250" w:lineRule="atLeast"/>
        <w:ind w:left="567"/>
        <w:outlineLvl w:val="1"/>
        <w:rPr>
          <w:rFonts w:eastAsia="MS PGothic"/>
          <w:b/>
          <w:bCs/>
          <w:kern w:val="0"/>
          <w:sz w:val="24"/>
          <w:szCs w:val="26"/>
          <w:lang w:eastAsia="zh-TW"/>
          <w14:ligatures w14:val="none"/>
        </w:rPr>
      </w:pPr>
      <w:r w:rsidRPr="00DA0304">
        <w:rPr>
          <w:rFonts w:eastAsia="MS PGothic"/>
          <w:b/>
          <w:bCs/>
          <w:kern w:val="0"/>
          <w:sz w:val="24"/>
          <w:szCs w:val="26"/>
          <w:lang w:eastAsia="zh-TW"/>
          <w14:ligatures w14:val="none"/>
        </w:rPr>
        <w:t>Small business 15-year exemption (Subdivision 152-B)</w:t>
      </w:r>
    </w:p>
    <w:p w14:paraId="14461658"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Section 152-105 contains the 15-year exemption rule for individuals conducting a small business. For CGT events that happen it applies where all of the below conditions are satisfied. As a result, the individual can disregard any capital gain arising from the CGT event.</w:t>
      </w:r>
    </w:p>
    <w:tbl>
      <w:tblPr>
        <w:tblStyle w:val="Default-Findex"/>
        <w:tblW w:w="8460" w:type="dxa"/>
        <w:tblInd w:w="612" w:type="dxa"/>
        <w:tblLook w:val="04A0" w:firstRow="1" w:lastRow="0" w:firstColumn="1" w:lastColumn="0" w:noHBand="0" w:noVBand="1"/>
      </w:tblPr>
      <w:tblGrid>
        <w:gridCol w:w="4208"/>
        <w:gridCol w:w="4252"/>
      </w:tblGrid>
      <w:tr w:rsidR="00DA0304" w:rsidRPr="00DA0304" w14:paraId="575A0A68" w14:textId="77777777" w:rsidTr="00002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tcPr>
          <w:p w14:paraId="5FD3E916" w14:textId="0C7E0C42" w:rsidR="00DA0304" w:rsidRPr="00DA0304" w:rsidRDefault="00B92C17" w:rsidP="00DA0304">
            <w:pPr>
              <w:spacing w:line="276" w:lineRule="auto"/>
              <w:rPr>
                <w:rFonts w:eastAsia="MS PGothic"/>
                <w:szCs w:val="18"/>
                <w:lang w:eastAsia="zh-TW"/>
              </w:rPr>
            </w:pPr>
            <w:r>
              <w:rPr>
                <w:rFonts w:eastAsia="MS PGothic"/>
                <w:szCs w:val="18"/>
                <w:lang w:eastAsia="zh-TW"/>
              </w:rPr>
              <w:t xml:space="preserve"> </w:t>
            </w:r>
          </w:p>
          <w:p w14:paraId="5FA1D6E5" w14:textId="77777777" w:rsidR="00DA0304" w:rsidRPr="00DA0304" w:rsidRDefault="00DA0304" w:rsidP="00DA0304">
            <w:pPr>
              <w:spacing w:line="276" w:lineRule="auto"/>
              <w:rPr>
                <w:rFonts w:eastAsia="MS PGothic"/>
                <w:szCs w:val="18"/>
                <w:lang w:eastAsia="zh-TW"/>
              </w:rPr>
            </w:pPr>
          </w:p>
        </w:tc>
        <w:tc>
          <w:tcPr>
            <w:tcW w:w="4252" w:type="dxa"/>
          </w:tcPr>
          <w:p w14:paraId="5EBDEA3A" w14:textId="77777777" w:rsidR="00DA0304" w:rsidRPr="00DA0304" w:rsidRDefault="00DA0304" w:rsidP="00DA0304">
            <w:pPr>
              <w:spacing w:line="276" w:lineRule="auto"/>
              <w:cnfStyle w:val="100000000000" w:firstRow="1" w:lastRow="0" w:firstColumn="0" w:lastColumn="0" w:oddVBand="0" w:evenVBand="0" w:oddHBand="0" w:evenHBand="0" w:firstRowFirstColumn="0" w:firstRowLastColumn="0" w:lastRowFirstColumn="0" w:lastRowLastColumn="0"/>
              <w:rPr>
                <w:rFonts w:eastAsia="MS PGothic"/>
                <w:szCs w:val="18"/>
                <w:lang w:eastAsia="zh-TW"/>
              </w:rPr>
            </w:pPr>
            <w:r w:rsidRPr="00DA0304">
              <w:rPr>
                <w:rFonts w:eastAsia="MS PGothic"/>
                <w:szCs w:val="18"/>
                <w:lang w:eastAsia="zh-TW"/>
              </w:rPr>
              <w:t>Our View</w:t>
            </w:r>
          </w:p>
          <w:p w14:paraId="36CFA782" w14:textId="77777777" w:rsidR="00DA0304" w:rsidRPr="00DA0304" w:rsidRDefault="00DA0304" w:rsidP="00DA0304">
            <w:pPr>
              <w:spacing w:line="276" w:lineRule="auto"/>
              <w:cnfStyle w:val="100000000000" w:firstRow="1" w:lastRow="0" w:firstColumn="0" w:lastColumn="0" w:oddVBand="0" w:evenVBand="0" w:oddHBand="0" w:evenHBand="0" w:firstRowFirstColumn="0" w:firstRowLastColumn="0" w:lastRowFirstColumn="0" w:lastRowLastColumn="0"/>
              <w:rPr>
                <w:rFonts w:eastAsia="MS PGothic"/>
                <w:szCs w:val="18"/>
                <w:lang w:eastAsia="zh-TW"/>
              </w:rPr>
            </w:pPr>
          </w:p>
        </w:tc>
      </w:tr>
      <w:tr w:rsidR="00DA0304" w:rsidRPr="00DA0304" w14:paraId="5C294C7F" w14:textId="77777777" w:rsidTr="00DA0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tcPr>
          <w:p w14:paraId="344E0C00" w14:textId="77777777" w:rsidR="00DA0304" w:rsidRPr="00DA0304" w:rsidRDefault="00DA0304" w:rsidP="00DA0304">
            <w:pPr>
              <w:spacing w:line="250" w:lineRule="atLeast"/>
              <w:rPr>
                <w:rFonts w:eastAsia="MS PGothic"/>
                <w:color w:val="000000"/>
                <w:szCs w:val="18"/>
                <w:lang w:eastAsia="zh-TW"/>
              </w:rPr>
            </w:pPr>
            <w:r w:rsidRPr="00DA0304">
              <w:rPr>
                <w:rFonts w:eastAsia="MS PGothic"/>
                <w:color w:val="000000"/>
                <w:szCs w:val="18"/>
                <w:lang w:eastAsia="zh-TW"/>
              </w:rPr>
              <w:t>The basic conditions in Subdiv 152-A are satisfied for the gain.</w:t>
            </w:r>
          </w:p>
          <w:p w14:paraId="312F3C22" w14:textId="77777777" w:rsidR="00DA0304" w:rsidRPr="00DA0304" w:rsidRDefault="00DA0304" w:rsidP="00DA0304">
            <w:pPr>
              <w:spacing w:line="250" w:lineRule="atLeast"/>
              <w:rPr>
                <w:rFonts w:eastAsia="MS PGothic"/>
                <w:color w:val="000000"/>
                <w:szCs w:val="18"/>
                <w:lang w:eastAsia="zh-TW"/>
              </w:rPr>
            </w:pPr>
          </w:p>
        </w:tc>
        <w:tc>
          <w:tcPr>
            <w:tcW w:w="4252" w:type="dxa"/>
          </w:tcPr>
          <w:p w14:paraId="7C22BFE9" w14:textId="77777777" w:rsidR="00DA0304" w:rsidRPr="00DA0304" w:rsidRDefault="00DA0304" w:rsidP="001421EA">
            <w:pPr>
              <w:spacing w:line="250" w:lineRule="atLeast"/>
              <w:jc w:val="left"/>
              <w:cnfStyle w:val="000000100000" w:firstRow="0" w:lastRow="0" w:firstColumn="0" w:lastColumn="0" w:oddVBand="0" w:evenVBand="0" w:oddHBand="1" w:evenHBand="0" w:firstRowFirstColumn="0" w:firstRowLastColumn="0" w:lastRowFirstColumn="0" w:lastRowLastColumn="0"/>
              <w:rPr>
                <w:rFonts w:eastAsia="MS PGothic"/>
                <w:color w:val="000000"/>
                <w:szCs w:val="18"/>
                <w:lang w:eastAsia="zh-TW"/>
              </w:rPr>
            </w:pPr>
            <w:r w:rsidRPr="00DA0304">
              <w:rPr>
                <w:rFonts w:eastAsia="MS PGothic"/>
                <w:color w:val="000000"/>
                <w:szCs w:val="18"/>
                <w:lang w:eastAsia="zh-TW"/>
              </w:rPr>
              <w:t>In our view, the conditions would be satisfied at the date of this advice (as discussed above).</w:t>
            </w:r>
          </w:p>
        </w:tc>
      </w:tr>
      <w:tr w:rsidR="00DA0304" w:rsidRPr="00DA0304" w14:paraId="07FC576C" w14:textId="77777777" w:rsidTr="00DA03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tcPr>
          <w:p w14:paraId="376891E8" w14:textId="77777777" w:rsidR="00DA0304" w:rsidRPr="00DA0304" w:rsidRDefault="00DA0304" w:rsidP="00DA0304">
            <w:pPr>
              <w:spacing w:line="250" w:lineRule="atLeast"/>
              <w:rPr>
                <w:rFonts w:eastAsia="MS PGothic"/>
                <w:color w:val="000000"/>
                <w:szCs w:val="18"/>
                <w:lang w:eastAsia="zh-TW"/>
              </w:rPr>
            </w:pPr>
            <w:r w:rsidRPr="00DA0304">
              <w:rPr>
                <w:rFonts w:eastAsia="MS PGothic"/>
                <w:color w:val="000000"/>
                <w:szCs w:val="18"/>
                <w:lang w:eastAsia="zh-TW"/>
              </w:rPr>
              <w:t>The individual continuously owned the CGT asset for the 15-year period ending just before the CGT event.</w:t>
            </w:r>
          </w:p>
          <w:p w14:paraId="41B24F17" w14:textId="77777777" w:rsidR="00DA0304" w:rsidRPr="00DA0304" w:rsidRDefault="00DA0304" w:rsidP="00DA0304">
            <w:pPr>
              <w:spacing w:line="250" w:lineRule="atLeast"/>
              <w:rPr>
                <w:rFonts w:eastAsia="MS PGothic"/>
                <w:color w:val="000000"/>
                <w:szCs w:val="18"/>
                <w:lang w:eastAsia="zh-TW"/>
              </w:rPr>
            </w:pPr>
          </w:p>
        </w:tc>
        <w:tc>
          <w:tcPr>
            <w:tcW w:w="4252" w:type="dxa"/>
          </w:tcPr>
          <w:p w14:paraId="70910F14" w14:textId="77777777" w:rsidR="00DA0304" w:rsidRPr="00DA0304" w:rsidRDefault="00DA0304" w:rsidP="001421EA">
            <w:pPr>
              <w:spacing w:line="250" w:lineRule="atLeast"/>
              <w:jc w:val="left"/>
              <w:cnfStyle w:val="000000010000" w:firstRow="0" w:lastRow="0" w:firstColumn="0" w:lastColumn="0" w:oddVBand="0" w:evenVBand="0" w:oddHBand="0" w:evenHBand="1" w:firstRowFirstColumn="0" w:firstRowLastColumn="0" w:lastRowFirstColumn="0" w:lastRowLastColumn="0"/>
              <w:rPr>
                <w:rFonts w:eastAsia="MS PGothic"/>
                <w:color w:val="000000"/>
                <w:szCs w:val="18"/>
                <w:lang w:eastAsia="zh-TW"/>
              </w:rPr>
            </w:pPr>
            <w:r w:rsidRPr="00DA0304">
              <w:rPr>
                <w:rFonts w:eastAsia="MS PGothic"/>
                <w:color w:val="000000"/>
                <w:szCs w:val="18"/>
                <w:lang w:eastAsia="zh-TW"/>
              </w:rPr>
              <w:t>You have owned both land titles since 1992 and 1995, so this condition is met.</w:t>
            </w:r>
          </w:p>
        </w:tc>
      </w:tr>
      <w:tr w:rsidR="00DA0304" w:rsidRPr="00DA0304" w14:paraId="304AB69B" w14:textId="77777777" w:rsidTr="00DA0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tcPr>
          <w:p w14:paraId="76B28619" w14:textId="77777777" w:rsidR="00DA0304" w:rsidRPr="00DA0304" w:rsidRDefault="00DA0304" w:rsidP="00DA0304">
            <w:pPr>
              <w:spacing w:line="250" w:lineRule="atLeast"/>
              <w:rPr>
                <w:rFonts w:eastAsia="MS PGothic"/>
                <w:color w:val="000000"/>
                <w:szCs w:val="18"/>
                <w:lang w:eastAsia="zh-TW"/>
              </w:rPr>
            </w:pPr>
            <w:r w:rsidRPr="00DA0304">
              <w:rPr>
                <w:rFonts w:eastAsia="MS PGothic"/>
                <w:color w:val="000000"/>
                <w:szCs w:val="18"/>
                <w:lang w:eastAsia="zh-TW"/>
              </w:rPr>
              <w:t>If the CGT asset is a company share or an interest in a trust — the company or trust had a significant individual for a total of at least 15 years (even if the 15 years was not continuous and it was not always the same significant individual) during which the individual owned the CGT asset.</w:t>
            </w:r>
          </w:p>
          <w:p w14:paraId="39CF724E" w14:textId="77777777" w:rsidR="00DA0304" w:rsidRPr="00DA0304" w:rsidRDefault="00DA0304" w:rsidP="00DA0304">
            <w:pPr>
              <w:spacing w:line="250" w:lineRule="atLeast"/>
              <w:rPr>
                <w:rFonts w:eastAsia="MS PGothic"/>
                <w:color w:val="000000"/>
                <w:szCs w:val="18"/>
                <w:lang w:eastAsia="zh-TW"/>
              </w:rPr>
            </w:pPr>
          </w:p>
        </w:tc>
        <w:tc>
          <w:tcPr>
            <w:tcW w:w="4252" w:type="dxa"/>
          </w:tcPr>
          <w:p w14:paraId="6660F2AD" w14:textId="77777777" w:rsidR="00DA0304" w:rsidRPr="00DA0304" w:rsidRDefault="00DA0304" w:rsidP="001421EA">
            <w:pPr>
              <w:tabs>
                <w:tab w:val="left" w:pos="260"/>
              </w:tabs>
              <w:spacing w:line="250" w:lineRule="atLeast"/>
              <w:jc w:val="left"/>
              <w:cnfStyle w:val="000000100000" w:firstRow="0" w:lastRow="0" w:firstColumn="0" w:lastColumn="0" w:oddVBand="0" w:evenVBand="0" w:oddHBand="1" w:evenHBand="0" w:firstRowFirstColumn="0" w:firstRowLastColumn="0" w:lastRowFirstColumn="0" w:lastRowLastColumn="0"/>
              <w:rPr>
                <w:rFonts w:eastAsia="MS PGothic"/>
                <w:szCs w:val="18"/>
                <w:lang w:eastAsia="zh-TW"/>
              </w:rPr>
            </w:pPr>
            <w:r w:rsidRPr="00DA0304">
              <w:rPr>
                <w:rFonts w:eastAsia="MS PGothic"/>
                <w:szCs w:val="18"/>
                <w:lang w:eastAsia="zh-TW"/>
              </w:rPr>
              <w:t>Not applicable.</w:t>
            </w:r>
          </w:p>
        </w:tc>
      </w:tr>
      <w:tr w:rsidR="00DA0304" w:rsidRPr="00DA0304" w14:paraId="62554A82" w14:textId="77777777" w:rsidTr="00DA03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8" w:type="dxa"/>
          </w:tcPr>
          <w:p w14:paraId="3D4C3765" w14:textId="77777777" w:rsidR="00DA0304" w:rsidRPr="00DA0304" w:rsidRDefault="00DA0304" w:rsidP="00DA0304">
            <w:pPr>
              <w:spacing w:line="250" w:lineRule="atLeast"/>
              <w:rPr>
                <w:rFonts w:eastAsia="MS PGothic"/>
                <w:color w:val="000000"/>
                <w:szCs w:val="18"/>
                <w:lang w:eastAsia="zh-TW"/>
              </w:rPr>
            </w:pPr>
            <w:r w:rsidRPr="00DA0304">
              <w:rPr>
                <w:rFonts w:eastAsia="MS PGothic"/>
                <w:color w:val="000000"/>
                <w:szCs w:val="18"/>
                <w:lang w:eastAsia="zh-TW"/>
              </w:rPr>
              <w:t xml:space="preserve">At the time of the CGT event, the individual is either: </w:t>
            </w:r>
          </w:p>
          <w:p w14:paraId="2FF5E46D" w14:textId="77777777" w:rsidR="00DA0304" w:rsidRPr="00DA0304" w:rsidRDefault="00DA0304" w:rsidP="00DA0304">
            <w:pPr>
              <w:spacing w:line="250" w:lineRule="atLeast"/>
              <w:rPr>
                <w:rFonts w:eastAsia="MS PGothic"/>
                <w:color w:val="000000"/>
                <w:szCs w:val="18"/>
                <w:lang w:eastAsia="zh-TW"/>
              </w:rPr>
            </w:pPr>
          </w:p>
          <w:p w14:paraId="0748EF0F" w14:textId="77777777" w:rsidR="00DA0304" w:rsidRPr="00DA0304" w:rsidRDefault="00DA0304" w:rsidP="00DA0304">
            <w:pPr>
              <w:numPr>
                <w:ilvl w:val="8"/>
                <w:numId w:val="1"/>
              </w:numPr>
              <w:spacing w:line="250" w:lineRule="atLeast"/>
              <w:contextualSpacing/>
              <w:rPr>
                <w:rFonts w:eastAsia="MS PGothic"/>
                <w:color w:val="000000"/>
                <w:szCs w:val="18"/>
                <w:lang w:eastAsia="zh-TW"/>
              </w:rPr>
            </w:pPr>
            <w:r w:rsidRPr="00DA0304">
              <w:rPr>
                <w:rFonts w:eastAsia="MS PGothic"/>
                <w:color w:val="000000"/>
                <w:szCs w:val="18"/>
                <w:lang w:eastAsia="zh-TW"/>
              </w:rPr>
              <w:t xml:space="preserve">55 years of age or over and the event </w:t>
            </w:r>
            <w:r w:rsidRPr="00DA0304">
              <w:rPr>
                <w:rFonts w:eastAsia="MS PGothic"/>
                <w:b/>
                <w:bCs/>
                <w:color w:val="000000"/>
                <w:szCs w:val="18"/>
                <w:lang w:eastAsia="zh-TW"/>
              </w:rPr>
              <w:t>happens in connection with retirement</w:t>
            </w:r>
            <w:r w:rsidRPr="00DA0304">
              <w:rPr>
                <w:rFonts w:eastAsia="MS PGothic"/>
                <w:color w:val="000000"/>
                <w:szCs w:val="18"/>
                <w:lang w:eastAsia="zh-TW"/>
              </w:rPr>
              <w:t xml:space="preserve">, or </w:t>
            </w:r>
          </w:p>
          <w:p w14:paraId="1407D48A" w14:textId="77777777" w:rsidR="00DA0304" w:rsidRPr="00DA0304" w:rsidRDefault="00DA0304" w:rsidP="00DA0304">
            <w:pPr>
              <w:spacing w:line="250" w:lineRule="atLeast"/>
              <w:ind w:left="1134"/>
              <w:contextualSpacing/>
              <w:rPr>
                <w:rFonts w:eastAsia="MS PGothic"/>
                <w:color w:val="000000"/>
                <w:szCs w:val="18"/>
                <w:lang w:eastAsia="zh-TW"/>
              </w:rPr>
            </w:pPr>
          </w:p>
          <w:p w14:paraId="0B716D8E" w14:textId="77777777" w:rsidR="00DA0304" w:rsidRPr="00DA0304" w:rsidRDefault="00DA0304" w:rsidP="00DA0304">
            <w:pPr>
              <w:numPr>
                <w:ilvl w:val="8"/>
                <w:numId w:val="1"/>
              </w:numPr>
              <w:spacing w:line="250" w:lineRule="atLeast"/>
              <w:contextualSpacing/>
              <w:rPr>
                <w:rFonts w:eastAsia="MS PGothic"/>
                <w:color w:val="000000"/>
                <w:szCs w:val="18"/>
                <w:lang w:eastAsia="zh-TW"/>
              </w:rPr>
            </w:pPr>
            <w:r w:rsidRPr="00DA0304">
              <w:rPr>
                <w:rFonts w:eastAsia="MS PGothic"/>
                <w:color w:val="000000"/>
                <w:szCs w:val="18"/>
                <w:lang w:eastAsia="zh-TW"/>
              </w:rPr>
              <w:t xml:space="preserve">permanently incapacitated. </w:t>
            </w:r>
          </w:p>
          <w:p w14:paraId="198495A3" w14:textId="77777777" w:rsidR="00DA0304" w:rsidRPr="00DA0304" w:rsidRDefault="00DA0304" w:rsidP="00DA0304">
            <w:pPr>
              <w:spacing w:line="250" w:lineRule="atLeast"/>
              <w:rPr>
                <w:rFonts w:eastAsia="MS PGothic"/>
                <w:color w:val="000000"/>
                <w:szCs w:val="18"/>
                <w:lang w:eastAsia="zh-TW"/>
              </w:rPr>
            </w:pPr>
          </w:p>
        </w:tc>
        <w:tc>
          <w:tcPr>
            <w:tcW w:w="4252" w:type="dxa"/>
          </w:tcPr>
          <w:p w14:paraId="0E6D58C6" w14:textId="77777777" w:rsidR="00DA0304" w:rsidRPr="00DA0304" w:rsidRDefault="00DA0304" w:rsidP="001421EA">
            <w:pPr>
              <w:spacing w:line="250" w:lineRule="atLeast"/>
              <w:jc w:val="left"/>
              <w:cnfStyle w:val="000000010000" w:firstRow="0" w:lastRow="0" w:firstColumn="0" w:lastColumn="0" w:oddVBand="0" w:evenVBand="0" w:oddHBand="0" w:evenHBand="1" w:firstRowFirstColumn="0" w:firstRowLastColumn="0" w:lastRowFirstColumn="0" w:lastRowLastColumn="0"/>
              <w:rPr>
                <w:rFonts w:eastAsia="MS PGothic"/>
                <w:color w:val="000000"/>
                <w:szCs w:val="18"/>
                <w:lang w:eastAsia="zh-TW"/>
              </w:rPr>
            </w:pPr>
            <w:r w:rsidRPr="00DA0304">
              <w:rPr>
                <w:rFonts w:eastAsia="MS PGothic"/>
                <w:color w:val="000000"/>
                <w:szCs w:val="18"/>
                <w:lang w:eastAsia="zh-TW"/>
              </w:rPr>
              <w:t>We understand you are not permanently incapacitated, and you are over the age of 55.</w:t>
            </w:r>
          </w:p>
          <w:p w14:paraId="13F34D25" w14:textId="77777777" w:rsidR="00DA0304" w:rsidRPr="00DA0304" w:rsidRDefault="00DA0304" w:rsidP="001421EA">
            <w:pPr>
              <w:spacing w:line="250" w:lineRule="atLeast"/>
              <w:jc w:val="left"/>
              <w:cnfStyle w:val="000000010000" w:firstRow="0" w:lastRow="0" w:firstColumn="0" w:lastColumn="0" w:oddVBand="0" w:evenVBand="0" w:oddHBand="0" w:evenHBand="1" w:firstRowFirstColumn="0" w:firstRowLastColumn="0" w:lastRowFirstColumn="0" w:lastRowLastColumn="0"/>
              <w:rPr>
                <w:rFonts w:eastAsia="MS PGothic"/>
                <w:color w:val="000000"/>
                <w:szCs w:val="18"/>
                <w:lang w:eastAsia="zh-TW"/>
              </w:rPr>
            </w:pPr>
          </w:p>
          <w:p w14:paraId="77E3342B" w14:textId="77777777" w:rsidR="00DA0304" w:rsidRPr="00DA0304" w:rsidRDefault="00DA0304" w:rsidP="001421EA">
            <w:pPr>
              <w:spacing w:line="250" w:lineRule="atLeast"/>
              <w:jc w:val="left"/>
              <w:cnfStyle w:val="000000010000" w:firstRow="0" w:lastRow="0" w:firstColumn="0" w:lastColumn="0" w:oddVBand="0" w:evenVBand="0" w:oddHBand="0" w:evenHBand="1" w:firstRowFirstColumn="0" w:firstRowLastColumn="0" w:lastRowFirstColumn="0" w:lastRowLastColumn="0"/>
              <w:rPr>
                <w:rFonts w:eastAsia="MS PGothic"/>
                <w:color w:val="000000"/>
                <w:szCs w:val="18"/>
                <w:lang w:eastAsia="zh-TW"/>
              </w:rPr>
            </w:pPr>
            <w:r w:rsidRPr="00DA0304">
              <w:rPr>
                <w:rFonts w:eastAsia="MS PGothic"/>
                <w:color w:val="000000"/>
                <w:szCs w:val="18"/>
                <w:lang w:eastAsia="zh-TW"/>
              </w:rPr>
              <w:t>However, whether your proposed transfer can be viewed as happening ‘in connection with retirement’ is outlined in more detail below.</w:t>
            </w:r>
          </w:p>
        </w:tc>
      </w:tr>
    </w:tbl>
    <w:p w14:paraId="7D1844D9" w14:textId="77777777" w:rsidR="00DA0304" w:rsidRPr="00DA0304" w:rsidRDefault="00DA0304" w:rsidP="00DA0304">
      <w:pPr>
        <w:spacing w:after="240" w:line="276" w:lineRule="auto"/>
        <w:rPr>
          <w:rFonts w:eastAsia="MS PGothic"/>
          <w:kern w:val="0"/>
          <w:lang w:eastAsia="zh-TW"/>
          <w14:ligatures w14:val="none"/>
        </w:rPr>
      </w:pPr>
    </w:p>
    <w:p w14:paraId="2716410E" w14:textId="77777777" w:rsidR="00DA0304" w:rsidRPr="00DA0304" w:rsidRDefault="00DA0304" w:rsidP="00DA0304">
      <w:pPr>
        <w:keepNext/>
        <w:keepLines/>
        <w:spacing w:after="240" w:line="250" w:lineRule="atLeast"/>
        <w:ind w:left="567"/>
        <w:outlineLvl w:val="2"/>
        <w:rPr>
          <w:rFonts w:eastAsia="MS PGothic" w:cs="Times New Roman"/>
          <w:b/>
          <w:bCs/>
          <w:i/>
          <w:iCs/>
          <w:kern w:val="0"/>
          <w:sz w:val="24"/>
          <w:szCs w:val="24"/>
          <w:lang w:eastAsia="zh-TW"/>
          <w14:ligatures w14:val="none"/>
        </w:rPr>
      </w:pPr>
      <w:r w:rsidRPr="00DA0304">
        <w:rPr>
          <w:rFonts w:eastAsia="MS PGothic" w:cs="Times New Roman"/>
          <w:b/>
          <w:bCs/>
          <w:i/>
          <w:iCs/>
          <w:kern w:val="0"/>
          <w:sz w:val="24"/>
          <w:szCs w:val="24"/>
          <w:lang w:eastAsia="zh-TW"/>
          <w14:ligatures w14:val="none"/>
        </w:rPr>
        <w:t>In connection with retirement?</w:t>
      </w:r>
    </w:p>
    <w:p w14:paraId="1BCA7242"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Within the tax profession, there is often a lot of debate on the nebulous meaning of the term “connection with retirement” due to the fact that an erroneous use of the 15 year exemption could lead to disastrous results for the taxpayer who might otherwise expect a nil tax position.</w:t>
      </w:r>
    </w:p>
    <w:p w14:paraId="408DFBFC"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Based on numerous private binding rulings (</w:t>
      </w:r>
      <w:r w:rsidRPr="00DA0304">
        <w:rPr>
          <w:rFonts w:eastAsia="MS PGothic"/>
          <w:b/>
          <w:bCs/>
          <w:kern w:val="0"/>
          <w:lang w:eastAsia="zh-TW"/>
          <w14:ligatures w14:val="none"/>
        </w:rPr>
        <w:t>PBRs</w:t>
      </w:r>
      <w:r w:rsidRPr="00DA0304">
        <w:rPr>
          <w:rFonts w:eastAsia="MS PGothic"/>
          <w:kern w:val="0"/>
          <w:lang w:eastAsia="zh-TW"/>
          <w14:ligatures w14:val="none"/>
        </w:rPr>
        <w:t>) issued by the ATO it is generally understood that:</w:t>
      </w:r>
    </w:p>
    <w:p w14:paraId="2208BA41" w14:textId="77777777" w:rsidR="00DA0304" w:rsidRPr="00DA0304" w:rsidRDefault="00DA0304" w:rsidP="00DA0304">
      <w:pPr>
        <w:numPr>
          <w:ilvl w:val="1"/>
          <w:numId w:val="1"/>
        </w:numPr>
        <w:spacing w:after="240" w:line="276" w:lineRule="auto"/>
        <w:rPr>
          <w:rFonts w:eastAsia="MS PGothic"/>
          <w:kern w:val="0"/>
          <w:lang w:eastAsia="zh-TW"/>
          <w14:ligatures w14:val="none"/>
        </w:rPr>
      </w:pPr>
      <w:r w:rsidRPr="00DA0304">
        <w:rPr>
          <w:rFonts w:eastAsia="MS PGothic"/>
          <w:kern w:val="0"/>
          <w:lang w:eastAsia="zh-TW"/>
          <w14:ligatures w14:val="none"/>
        </w:rPr>
        <w:t>Retirement would necessarily involve a significant reduction in working hours of the person/stakeholder.</w:t>
      </w:r>
    </w:p>
    <w:p w14:paraId="43DE22EF" w14:textId="77777777" w:rsidR="00DA0304" w:rsidRPr="00DA0304" w:rsidRDefault="00DA0304" w:rsidP="00DA0304">
      <w:pPr>
        <w:numPr>
          <w:ilvl w:val="1"/>
          <w:numId w:val="1"/>
        </w:numPr>
        <w:spacing w:after="240" w:line="276" w:lineRule="auto"/>
        <w:rPr>
          <w:rFonts w:eastAsia="MS PGothic"/>
          <w:kern w:val="0"/>
          <w:lang w:eastAsia="zh-TW"/>
          <w14:ligatures w14:val="none"/>
        </w:rPr>
      </w:pPr>
      <w:r w:rsidRPr="00DA0304">
        <w:rPr>
          <w:rFonts w:eastAsia="MS PGothic"/>
          <w:kern w:val="0"/>
          <w:lang w:eastAsia="zh-TW"/>
          <w14:ligatures w14:val="none"/>
        </w:rPr>
        <w:t>Retirement does not need to occur simultaneously with the CGT event but should have a nexus to retirement. In many PBRs the ATO accept that a taxpayer who is required to stay working as part of a handover to the purchaser could satisfy this condition provided retirement occurred after that obligation was over.</w:t>
      </w:r>
    </w:p>
    <w:p w14:paraId="3BEF0410" w14:textId="77777777" w:rsidR="00DA0304" w:rsidRPr="00DA0304" w:rsidRDefault="00DA0304" w:rsidP="00DA0304">
      <w:pPr>
        <w:numPr>
          <w:ilvl w:val="1"/>
          <w:numId w:val="1"/>
        </w:numPr>
        <w:spacing w:after="240" w:line="276" w:lineRule="auto"/>
        <w:rPr>
          <w:rFonts w:eastAsia="MS PGothic"/>
          <w:kern w:val="0"/>
          <w:lang w:eastAsia="zh-TW"/>
          <w14:ligatures w14:val="none"/>
        </w:rPr>
      </w:pPr>
      <w:r w:rsidRPr="00DA0304">
        <w:rPr>
          <w:rFonts w:eastAsia="MS PGothic"/>
          <w:kern w:val="0"/>
          <w:lang w:eastAsia="zh-TW"/>
          <w14:ligatures w14:val="none"/>
        </w:rPr>
        <w:t xml:space="preserve">There is no requirement for the individual to cease working. In a private binding ruling (authorisation number: 1051427300988), the Commissioner was satisfied that an individual’s working hours reducing from 60 hours per week to 40 hours per week </w:t>
      </w:r>
      <w:r w:rsidRPr="00DA0304">
        <w:rPr>
          <w:rFonts w:eastAsia="MS PGothic"/>
          <w:kern w:val="0"/>
          <w:lang w:eastAsia="zh-TW"/>
          <w14:ligatures w14:val="none"/>
        </w:rPr>
        <w:lastRenderedPageBreak/>
        <w:t>phasing to full retirement over a number of years was sufficient to access the 15-year exemption.</w:t>
      </w:r>
    </w:p>
    <w:p w14:paraId="5B7BC077" w14:textId="77777777" w:rsidR="00DA0304" w:rsidRPr="00DA0304" w:rsidRDefault="00DA0304" w:rsidP="00DA0304">
      <w:pPr>
        <w:numPr>
          <w:ilvl w:val="1"/>
          <w:numId w:val="1"/>
        </w:numPr>
        <w:spacing w:after="240" w:line="276" w:lineRule="auto"/>
        <w:rPr>
          <w:rFonts w:eastAsia="MS PGothic"/>
          <w:kern w:val="0"/>
          <w:lang w:eastAsia="zh-TW"/>
          <w14:ligatures w14:val="none"/>
        </w:rPr>
      </w:pPr>
      <w:r w:rsidRPr="00DA0304">
        <w:rPr>
          <w:rFonts w:eastAsia="MS PGothic"/>
          <w:kern w:val="0"/>
          <w:lang w:eastAsia="zh-TW"/>
          <w14:ligatures w14:val="none"/>
        </w:rPr>
        <w:t>Retirement does not need to be permanent or everlasting. Although, if the individual returned to full working hours soon after the CGT event that of itself would likely cast doubt on the connection of retirement to the CGT event.</w:t>
      </w:r>
    </w:p>
    <w:p w14:paraId="3593693A" w14:textId="77777777" w:rsidR="00DA0304" w:rsidRPr="00DA0304" w:rsidRDefault="00DA0304" w:rsidP="00DA0304">
      <w:pPr>
        <w:spacing w:after="240" w:line="276" w:lineRule="auto"/>
        <w:ind w:left="567"/>
        <w:rPr>
          <w:rFonts w:eastAsia="MS PGothic"/>
          <w:kern w:val="0"/>
          <w:lang w:eastAsia="zh-TW"/>
          <w14:ligatures w14:val="none"/>
        </w:rPr>
      </w:pPr>
      <w:r w:rsidRPr="00DA0304">
        <w:rPr>
          <w:rFonts w:eastAsia="MS PGothic" w:cs="Times New Roman"/>
          <w:noProof/>
          <w:kern w:val="0"/>
          <w:lang w:eastAsia="zh-TW"/>
          <w14:ligatures w14:val="none"/>
        </w:rPr>
        <mc:AlternateContent>
          <mc:Choice Requires="wps">
            <w:drawing>
              <wp:inline distT="0" distB="0" distL="0" distR="0" wp14:anchorId="11B26247" wp14:editId="0371037B">
                <wp:extent cx="5296618" cy="1526876"/>
                <wp:effectExtent l="0" t="0" r="18415" b="16510"/>
                <wp:docPr id="299637105" name="Rectangle: Rounded Corners 299637105"/>
                <wp:cNvGraphicFramePr/>
                <a:graphic xmlns:a="http://schemas.openxmlformats.org/drawingml/2006/main">
                  <a:graphicData uri="http://schemas.microsoft.com/office/word/2010/wordprocessingShape">
                    <wps:wsp>
                      <wps:cNvSpPr/>
                      <wps:spPr>
                        <a:xfrm>
                          <a:off x="0" y="0"/>
                          <a:ext cx="5296618" cy="1526876"/>
                        </a:xfrm>
                        <a:prstGeom prst="roundRect">
                          <a:avLst/>
                        </a:prstGeom>
                        <a:solidFill>
                          <a:srgbClr val="F2F5F6"/>
                        </a:solidFill>
                        <a:ln w="3175" cap="flat" cmpd="sng" algn="ctr">
                          <a:solidFill>
                            <a:sysClr val="windowText" lastClr="000000"/>
                          </a:solidFill>
                          <a:prstDash val="solid"/>
                          <a:miter lim="800000"/>
                        </a:ln>
                        <a:effectLst/>
                      </wps:spPr>
                      <wps:txbx>
                        <w:txbxContent>
                          <w:p w14:paraId="63EEF4BE" w14:textId="77777777" w:rsidR="00DA0304" w:rsidRPr="00DC35FE" w:rsidRDefault="00DA0304" w:rsidP="00DA0304">
                            <w:pPr>
                              <w:spacing w:line="276" w:lineRule="auto"/>
                              <w:jc w:val="center"/>
                              <w:rPr>
                                <w:b/>
                                <w:bCs/>
                                <w:sz w:val="16"/>
                                <w:szCs w:val="16"/>
                              </w:rPr>
                            </w:pPr>
                            <w:r w:rsidRPr="00DC35FE">
                              <w:rPr>
                                <w:b/>
                                <w:bCs/>
                                <w:sz w:val="16"/>
                                <w:szCs w:val="16"/>
                              </w:rPr>
                              <w:t>Disclaimer</w:t>
                            </w:r>
                          </w:p>
                          <w:p w14:paraId="612FFCEE" w14:textId="77777777" w:rsidR="00DA0304" w:rsidRPr="00DC35FE" w:rsidRDefault="00DA0304" w:rsidP="00DA0304">
                            <w:pPr>
                              <w:spacing w:after="240" w:line="276" w:lineRule="auto"/>
                              <w:rPr>
                                <w:sz w:val="16"/>
                                <w:szCs w:val="16"/>
                              </w:rPr>
                            </w:pPr>
                            <w:r w:rsidRPr="00DC35FE">
                              <w:rPr>
                                <w:sz w:val="16"/>
                                <w:szCs w:val="16"/>
                              </w:rPr>
                              <w:t>A private binding ruling issued by the Australian Taxation Office is </w:t>
                            </w:r>
                            <w:r w:rsidRPr="00DC35FE">
                              <w:rPr>
                                <w:b/>
                                <w:bCs/>
                                <w:sz w:val="16"/>
                                <w:szCs w:val="16"/>
                              </w:rPr>
                              <w:t>only binding on the Commissioner in relation to the applicant</w:t>
                            </w:r>
                            <w:r w:rsidRPr="00DC35FE">
                              <w:rPr>
                                <w:sz w:val="16"/>
                                <w:szCs w:val="16"/>
                              </w:rPr>
                              <w:t> and the specific scheme or arrangement described in the ruling. It does </w:t>
                            </w:r>
                            <w:r w:rsidRPr="00DC35FE">
                              <w:rPr>
                                <w:b/>
                                <w:bCs/>
                                <w:sz w:val="16"/>
                                <w:szCs w:val="16"/>
                              </w:rPr>
                              <w:t>not create a precedent</w:t>
                            </w:r>
                            <w:r w:rsidRPr="00DC35FE">
                              <w:rPr>
                                <w:sz w:val="16"/>
                                <w:szCs w:val="16"/>
                              </w:rPr>
                              <w:t> and cannot be relied upon by other taxpayers, even if their circumstances appear similar.</w:t>
                            </w:r>
                          </w:p>
                          <w:p w14:paraId="0907237C" w14:textId="77777777" w:rsidR="00DA0304" w:rsidRPr="00DC35FE" w:rsidRDefault="00DA0304" w:rsidP="00DA0304">
                            <w:pPr>
                              <w:rPr>
                                <w:sz w:val="16"/>
                                <w:szCs w:val="16"/>
                              </w:rPr>
                            </w:pPr>
                            <w:r w:rsidRPr="00DC35FE">
                              <w:rPr>
                                <w:sz w:val="16"/>
                                <w:szCs w:val="16"/>
                              </w:rPr>
                              <w:t>We refer to relevant private rulings in our analysis not as authoritative guidance, but to provide insight into how the ATO may interpret and apply the law in practice. These rulings can be useful indicators of the ATO’s likely compliance approach or areas of focus, particularly in relation to the small business CGT concessions.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1B26247" id="Rectangle: Rounded Corners 299637105" o:spid="_x0000_s1026" style="width:417.05pt;height:12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" fillcolor="#f2f5f6" strokecolor="windowText" strokeweight=".25pt">
                <v:stroke joinstyle="miter"/>
                <v:textbox>
                  <w:txbxContent>
                    <w:p w14:paraId="63EEF4BE" w14:textId="77777777" w:rsidR="00DA0304" w:rsidRPr="00DC35FE" w:rsidRDefault="00DA0304" w:rsidP="00DA0304">
                      <w:pPr>
                        <w:spacing w:line="276" w:lineRule="auto"/>
                        <w:jc w:val="center"/>
                        <w:rPr>
                          <w:b/>
                          <w:bCs/>
                          <w:sz w:val="16"/>
                          <w:szCs w:val="16"/>
                        </w:rPr>
                      </w:pPr>
                      <w:r w:rsidRPr="00DC35FE">
                        <w:rPr>
                          <w:b/>
                          <w:bCs/>
                          <w:sz w:val="16"/>
                          <w:szCs w:val="16"/>
                        </w:rPr>
                        <w:t>Disclaimer</w:t>
                      </w:r>
                    </w:p>
                    <w:p w14:paraId="612FFCEE" w14:textId="77777777" w:rsidR="00DA0304" w:rsidRPr="00DC35FE" w:rsidRDefault="00DA0304" w:rsidP="00DA0304">
                      <w:pPr>
                        <w:spacing w:after="240" w:line="276" w:lineRule="auto"/>
                        <w:rPr>
                          <w:sz w:val="16"/>
                          <w:szCs w:val="16"/>
                        </w:rPr>
                      </w:pPr>
                      <w:r w:rsidRPr="00DC35FE">
                        <w:rPr>
                          <w:sz w:val="16"/>
                          <w:szCs w:val="16"/>
                        </w:rPr>
                        <w:t>A private binding ruling issued by the Australian Taxation Office is </w:t>
                      </w:r>
                      <w:r w:rsidRPr="00DC35FE">
                        <w:rPr>
                          <w:b/>
                          <w:bCs/>
                          <w:sz w:val="16"/>
                          <w:szCs w:val="16"/>
                        </w:rPr>
                        <w:t>only binding on the Commissioner in relation to the applicant</w:t>
                      </w:r>
                      <w:r w:rsidRPr="00DC35FE">
                        <w:rPr>
                          <w:sz w:val="16"/>
                          <w:szCs w:val="16"/>
                        </w:rPr>
                        <w:t> and the specific scheme or arrangement described in the ruling. It does </w:t>
                      </w:r>
                      <w:r w:rsidRPr="00DC35FE">
                        <w:rPr>
                          <w:b/>
                          <w:bCs/>
                          <w:sz w:val="16"/>
                          <w:szCs w:val="16"/>
                        </w:rPr>
                        <w:t>not create a precedent</w:t>
                      </w:r>
                      <w:r w:rsidRPr="00DC35FE">
                        <w:rPr>
                          <w:sz w:val="16"/>
                          <w:szCs w:val="16"/>
                        </w:rPr>
                        <w:t> and cannot be relied upon by other taxpayers, even if their circumstances appear similar.</w:t>
                      </w:r>
                    </w:p>
                    <w:p w14:paraId="0907237C" w14:textId="77777777" w:rsidR="00DA0304" w:rsidRPr="00DC35FE" w:rsidRDefault="00DA0304" w:rsidP="00DA0304">
                      <w:pPr>
                        <w:rPr>
                          <w:sz w:val="16"/>
                          <w:szCs w:val="16"/>
                        </w:rPr>
                      </w:pPr>
                      <w:r w:rsidRPr="00DC35FE">
                        <w:rPr>
                          <w:sz w:val="16"/>
                          <w:szCs w:val="16"/>
                        </w:rPr>
                        <w:t>We refer to relevant private rulings in our analysis not as authoritative guidance, but to provide insight into how the ATO may interpret and apply the law in practice. These rulings can be useful indicators of the ATO’s likely compliance approach or areas of focus, particularly in relation to the small business CGT concessions.</w:t>
                      </w:r>
                    </w:p>
                  </w:txbxContent>
                </v:textbox>
                <w10:anchorlock/>
              </v:roundrect>
            </w:pict>
          </mc:Fallback>
        </mc:AlternateContent>
      </w:r>
    </w:p>
    <w:p w14:paraId="7338A14C" w14:textId="77777777" w:rsidR="00DA0304" w:rsidRPr="00DA0304" w:rsidRDefault="00DA0304" w:rsidP="00DA0304">
      <w:pPr>
        <w:keepNext/>
        <w:keepLines/>
        <w:spacing w:after="240" w:line="250" w:lineRule="atLeast"/>
        <w:ind w:left="567"/>
        <w:outlineLvl w:val="2"/>
        <w:rPr>
          <w:rFonts w:eastAsia="MS PGothic" w:cs="Times New Roman"/>
          <w:b/>
          <w:bCs/>
          <w:i/>
          <w:iCs/>
          <w:kern w:val="0"/>
          <w:sz w:val="24"/>
          <w:szCs w:val="24"/>
          <w:lang w:eastAsia="zh-TW"/>
          <w14:ligatures w14:val="none"/>
        </w:rPr>
      </w:pPr>
      <w:r w:rsidRPr="00DA0304">
        <w:rPr>
          <w:rFonts w:eastAsia="MS PGothic" w:cs="Times New Roman"/>
          <w:b/>
          <w:bCs/>
          <w:i/>
          <w:iCs/>
          <w:kern w:val="0"/>
          <w:sz w:val="24"/>
          <w:szCs w:val="24"/>
          <w:lang w:eastAsia="zh-TW"/>
          <w14:ligatures w14:val="none"/>
        </w:rPr>
        <w:t>Recent ATO change of approach?</w:t>
      </w:r>
    </w:p>
    <w:p w14:paraId="5E90C889"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 xml:space="preserve">In PBR </w:t>
      </w:r>
      <w:hyperlink r:id="rId7" w:history="1">
        <w:r w:rsidRPr="00DA0304">
          <w:rPr>
            <w:rFonts w:eastAsia="MS PGothic"/>
            <w:color w:val="0000FF"/>
            <w:kern w:val="0"/>
            <w:u w:val="single"/>
            <w:lang w:eastAsia="zh-TW"/>
            <w14:ligatures w14:val="none"/>
          </w:rPr>
          <w:t>1052294374162</w:t>
        </w:r>
      </w:hyperlink>
      <w:r w:rsidRPr="00DA0304">
        <w:rPr>
          <w:rFonts w:eastAsia="MS PGothic"/>
          <w:kern w:val="0"/>
          <w:lang w:eastAsia="zh-TW"/>
          <w14:ligatures w14:val="none"/>
        </w:rPr>
        <w:t>, which was issued in October 2024, the Commissioner analysed whether a taxpayers CGT event was “connected” to the retirement of the stakeholder and included the use of the capital proceeds (as well as the reduction in working hours).</w:t>
      </w:r>
    </w:p>
    <w:p w14:paraId="736A0735"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The taxpayer applicant in this PBR referred to the explanatory memorandum (</w:t>
      </w:r>
      <w:r w:rsidRPr="00DA0304">
        <w:rPr>
          <w:rFonts w:eastAsia="MS PGothic"/>
          <w:b/>
          <w:bCs/>
          <w:kern w:val="0"/>
          <w:lang w:eastAsia="zh-TW"/>
          <w14:ligatures w14:val="none"/>
        </w:rPr>
        <w:t>EM</w:t>
      </w:r>
      <w:r w:rsidRPr="00DA0304">
        <w:rPr>
          <w:rFonts w:eastAsia="MS PGothic"/>
          <w:kern w:val="0"/>
          <w:lang w:eastAsia="zh-TW"/>
          <w14:ligatures w14:val="none"/>
        </w:rPr>
        <w:t>) to the 1999 bill that introduced the 15-year exemption, which contained the following:</w:t>
      </w:r>
    </w:p>
    <w:p w14:paraId="45A37B7B" w14:textId="77777777" w:rsidR="00DA0304" w:rsidRPr="00DA0304" w:rsidRDefault="00DA0304" w:rsidP="00DA0304">
      <w:pPr>
        <w:spacing w:after="240" w:line="276" w:lineRule="auto"/>
        <w:ind w:left="1440"/>
        <w:rPr>
          <w:rFonts w:eastAsia="MS PGothic"/>
          <w:kern w:val="0"/>
          <w:sz w:val="16"/>
          <w:szCs w:val="16"/>
          <w:lang w:eastAsia="zh-TW"/>
          <w14:ligatures w14:val="none"/>
        </w:rPr>
      </w:pPr>
      <w:r w:rsidRPr="00DA0304">
        <w:rPr>
          <w:rFonts w:eastAsia="MS PGothic"/>
          <w:kern w:val="0"/>
          <w:sz w:val="16"/>
          <w:szCs w:val="16"/>
          <w:lang w:eastAsia="zh-TW"/>
          <w14:ligatures w14:val="none"/>
        </w:rPr>
        <w:t>1.68 One of the requirements of this concession for an individual small business taxpayer is that they must be either permanently incapacitated at the time of the CGT event, or at least 55 years old and u</w:t>
      </w:r>
      <w:r w:rsidRPr="00DA0304">
        <w:rPr>
          <w:rFonts w:eastAsia="MS PGothic"/>
          <w:b/>
          <w:bCs/>
          <w:kern w:val="0"/>
          <w:sz w:val="16"/>
          <w:szCs w:val="16"/>
          <w:lang w:eastAsia="zh-TW"/>
          <w14:ligatures w14:val="none"/>
        </w:rPr>
        <w:t>sing the capital proceeds for their retirement</w:t>
      </w:r>
      <w:r w:rsidRPr="00DA0304">
        <w:rPr>
          <w:rFonts w:eastAsia="MS PGothic"/>
          <w:kern w:val="0"/>
          <w:sz w:val="16"/>
          <w:szCs w:val="16"/>
          <w:lang w:eastAsia="zh-TW"/>
          <w14:ligatures w14:val="none"/>
        </w:rPr>
        <w:t>.</w:t>
      </w:r>
      <w:r w:rsidRPr="00DA0304">
        <w:rPr>
          <w:rFonts w:eastAsia="MS PGothic"/>
          <w:kern w:val="0"/>
          <w:sz w:val="16"/>
          <w:szCs w:val="16"/>
          <w:vertAlign w:val="superscript"/>
          <w:lang w:eastAsia="zh-TW"/>
          <w14:ligatures w14:val="none"/>
          <w14:numSpacing w14:val="tabular"/>
        </w:rPr>
        <w:footnoteReference w:id="1"/>
      </w:r>
    </w:p>
    <w:p w14:paraId="2BC50802"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The PBR makes the following statement of concern:</w:t>
      </w:r>
    </w:p>
    <w:p w14:paraId="40D104E6" w14:textId="77777777" w:rsidR="00DA0304" w:rsidRPr="00DA0304" w:rsidRDefault="00DA0304" w:rsidP="00DA0304">
      <w:pPr>
        <w:spacing w:after="240" w:line="276" w:lineRule="auto"/>
        <w:ind w:left="1440"/>
        <w:rPr>
          <w:rFonts w:eastAsia="MS PGothic"/>
          <w:kern w:val="0"/>
          <w:sz w:val="16"/>
          <w:szCs w:val="16"/>
          <w:lang w:eastAsia="zh-TW"/>
          <w14:ligatures w14:val="none"/>
        </w:rPr>
      </w:pPr>
      <w:r w:rsidRPr="00DA0304">
        <w:rPr>
          <w:rFonts w:eastAsia="MS PGothic"/>
          <w:kern w:val="0"/>
          <w:sz w:val="16"/>
          <w:szCs w:val="16"/>
          <w:lang w:eastAsia="zh-TW"/>
          <w14:ligatures w14:val="none"/>
        </w:rPr>
        <w:t xml:space="preserve">It would similarly follow that where the funds are intended to be employed in a manner other than funding the individual’s retirement (for example the acquisition of a new business that the individual will have an active role in, </w:t>
      </w:r>
      <w:r w:rsidRPr="00DA0304">
        <w:rPr>
          <w:rFonts w:eastAsia="MS PGothic"/>
          <w:b/>
          <w:bCs/>
          <w:kern w:val="0"/>
          <w:sz w:val="16"/>
          <w:szCs w:val="16"/>
          <w:lang w:eastAsia="zh-TW"/>
          <w14:ligatures w14:val="none"/>
        </w:rPr>
        <w:t>or the gifting of the monies, or the investment of the monies within the trust for the benefit of family members generally at the Trustee’s discretion) then the test will not be satisfied.</w:t>
      </w:r>
    </w:p>
    <w:p w14:paraId="2DB5D308"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Since this PBR was released, this position has appeared in many PBRs following, and there is concern that the ATO’s apparent new approach, involving tracing sale proceeds to prove a connection to retirement is a restrictive construction of section 152-105, as it does not properly allow for succession of family businesses, particularly in instances where business assets are gifted to children.</w:t>
      </w:r>
    </w:p>
    <w:p w14:paraId="336DADD4" w14:textId="77777777" w:rsidR="00DA0304" w:rsidRPr="00DA0304" w:rsidRDefault="00DA0304" w:rsidP="00DA0304">
      <w:pPr>
        <w:numPr>
          <w:ilvl w:val="0"/>
          <w:numId w:val="1"/>
        </w:numPr>
        <w:spacing w:after="240" w:line="276" w:lineRule="auto"/>
        <w:rPr>
          <w:rFonts w:eastAsia="MS PGothic"/>
          <w:kern w:val="0"/>
          <w:lang w:eastAsia="zh-TW"/>
          <w14:ligatures w14:val="none"/>
        </w:rPr>
      </w:pPr>
      <w:r w:rsidRPr="00DA0304">
        <w:rPr>
          <w:rFonts w:eastAsia="MS PGothic"/>
          <w:kern w:val="0"/>
          <w:lang w:eastAsia="zh-TW"/>
          <w14:ligatures w14:val="none"/>
        </w:rPr>
        <w:t>In our view, this approach is not correct, a</w:t>
      </w:r>
    </w:p>
    <w:p w14:paraId="629E13BD" w14:textId="77777777" w:rsidR="001A3970" w:rsidRDefault="001A3970"/>
    <w:sectPr w:rsidR="001A39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AC60F" w14:textId="77777777" w:rsidR="00A827B7" w:rsidRDefault="00A827B7" w:rsidP="00DA0304">
      <w:pPr>
        <w:spacing w:after="0" w:line="240" w:lineRule="auto"/>
      </w:pPr>
      <w:r>
        <w:separator/>
      </w:r>
    </w:p>
  </w:endnote>
  <w:endnote w:type="continuationSeparator" w:id="0">
    <w:p w14:paraId="14F699F3" w14:textId="77777777" w:rsidR="00A827B7" w:rsidRDefault="00A827B7" w:rsidP="00DA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6EFD7" w14:textId="77777777" w:rsidR="00A827B7" w:rsidRDefault="00A827B7" w:rsidP="00DA0304">
      <w:pPr>
        <w:spacing w:after="0" w:line="240" w:lineRule="auto"/>
      </w:pPr>
      <w:r>
        <w:separator/>
      </w:r>
    </w:p>
  </w:footnote>
  <w:footnote w:type="continuationSeparator" w:id="0">
    <w:p w14:paraId="2F346B41" w14:textId="77777777" w:rsidR="00A827B7" w:rsidRDefault="00A827B7" w:rsidP="00DA0304">
      <w:pPr>
        <w:spacing w:after="0" w:line="240" w:lineRule="auto"/>
      </w:pPr>
      <w:r>
        <w:continuationSeparator/>
      </w:r>
    </w:p>
  </w:footnote>
  <w:footnote w:id="1">
    <w:p w14:paraId="219F3650" w14:textId="77777777" w:rsidR="00DA0304" w:rsidRPr="004A0B5D" w:rsidRDefault="00DA0304" w:rsidP="00DA0304">
      <w:pPr>
        <w:pStyle w:val="FootnoteText"/>
        <w:rPr>
          <w:lang w:val="en-US"/>
        </w:rPr>
      </w:pPr>
      <w:r>
        <w:rPr>
          <w:rStyle w:val="FootnoteReference"/>
        </w:rPr>
        <w:footnoteRef/>
      </w:r>
      <w:r>
        <w:t xml:space="preserve"> Extrinsic material, such as an </w:t>
      </w:r>
      <w:r w:rsidRPr="00A2383A">
        <w:t>explanatory memorandum</w:t>
      </w:r>
      <w:r>
        <w:t xml:space="preserve">, may be used to interpret legislation: see </w:t>
      </w:r>
      <w:r w:rsidRPr="00A2383A">
        <w:rPr>
          <w:i/>
          <w:iCs/>
        </w:rPr>
        <w:t>Acts Interpretation Act 1901</w:t>
      </w:r>
      <w:r w:rsidRPr="00A2383A">
        <w:t xml:space="preserve"> </w:t>
      </w:r>
      <w:r>
        <w:t>s 15AB.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B5A8D"/>
    <w:multiLevelType w:val="multilevel"/>
    <w:tmpl w:val="B3043702"/>
    <w:lvl w:ilvl="0">
      <w:start w:val="1"/>
      <w:numFmt w:val="decimal"/>
      <w:isLgl/>
      <w:lvlText w:val="%1."/>
      <w:lvlJc w:val="left"/>
      <w:pPr>
        <w:ind w:left="567" w:hanging="567"/>
      </w:pPr>
      <w:rPr>
        <w:rFonts w:ascii="Arial" w:hAnsi="Arial" w:hint="default"/>
        <w:b w:val="0"/>
        <w:bCs/>
        <w:i w:val="0"/>
        <w:color w:val="auto"/>
        <w:sz w:val="20"/>
      </w:rPr>
    </w:lvl>
    <w:lvl w:ilvl="1">
      <w:start w:val="1"/>
      <w:numFmt w:val="decimal"/>
      <w:isLgl/>
      <w:lvlText w:val="%1.%2."/>
      <w:lvlJc w:val="left"/>
      <w:pPr>
        <w:ind w:left="1304" w:hanging="737"/>
      </w:pPr>
      <w:rPr>
        <w:rFonts w:hint="default"/>
        <w:b w:val="0"/>
        <w:i w:val="0"/>
      </w:rPr>
    </w:lvl>
    <w:lvl w:ilvl="2">
      <w:start w:val="1"/>
      <w:numFmt w:val="decimal"/>
      <w:lvlText w:val="%1.%2.%3."/>
      <w:lvlJc w:val="left"/>
      <w:pPr>
        <w:ind w:left="2041" w:hanging="907"/>
      </w:pPr>
      <w:rPr>
        <w:rFonts w:hint="default"/>
        <w:color w:val="auto"/>
      </w:rPr>
    </w:lvl>
    <w:lvl w:ilvl="3">
      <w:start w:val="1"/>
      <w:numFmt w:val="decimal"/>
      <w:lvlText w:val="%1.%2.%3.%4."/>
      <w:lvlJc w:val="left"/>
      <w:pPr>
        <w:ind w:left="2778" w:hanging="1077"/>
      </w:pPr>
      <w:rPr>
        <w:rFonts w:hint="default"/>
      </w:rPr>
    </w:lvl>
    <w:lvl w:ilvl="4">
      <w:start w:val="1"/>
      <w:numFmt w:val="decimal"/>
      <w:lvlText w:val="%1.%2.%3.%4.%5."/>
      <w:lvlJc w:val="left"/>
      <w:pPr>
        <w:ind w:left="3459" w:hanging="1191"/>
      </w:pPr>
      <w:rPr>
        <w:rFonts w:hint="default"/>
      </w:rPr>
    </w:lvl>
    <w:lvl w:ilvl="5">
      <w:start w:val="1"/>
      <w:numFmt w:val="decimal"/>
      <w:lvlText w:val="%1.%2.%3.%4.%5.%6."/>
      <w:lvlJc w:val="left"/>
      <w:pPr>
        <w:ind w:left="4196" w:hanging="1361"/>
      </w:pPr>
      <w:rPr>
        <w:rFonts w:hint="default"/>
      </w:rPr>
    </w:lvl>
    <w:lvl w:ilvl="6">
      <w:start w:val="1"/>
      <w:numFmt w:val="upperLetter"/>
      <w:lvlText w:val="Appendix %7"/>
      <w:lvlJc w:val="left"/>
      <w:pPr>
        <w:ind w:left="1701" w:hanging="1701"/>
      </w:pPr>
      <w:rPr>
        <w:rFonts w:ascii="Arial Bold" w:hAnsi="Arial Bold" w:hint="default"/>
        <w:b/>
        <w:i w:val="0"/>
        <w:color w:val="D43D27"/>
        <w:sz w:val="24"/>
      </w:rPr>
    </w:lvl>
    <w:lvl w:ilvl="7">
      <w:start w:val="1"/>
      <w:numFmt w:val="lowerLetter"/>
      <w:lvlText w:val="(%8)"/>
      <w:lvlJc w:val="left"/>
      <w:pPr>
        <w:ind w:left="567" w:hanging="567"/>
      </w:pPr>
      <w:rPr>
        <w:rFonts w:hint="default"/>
      </w:rPr>
    </w:lvl>
    <w:lvl w:ilvl="8">
      <w:start w:val="1"/>
      <w:numFmt w:val="lowerRoman"/>
      <w:lvlText w:val="(%9)"/>
      <w:lvlJc w:val="left"/>
      <w:pPr>
        <w:ind w:left="1134" w:hanging="567"/>
      </w:pPr>
      <w:rPr>
        <w:rFonts w:hint="default"/>
      </w:rPr>
    </w:lvl>
  </w:abstractNum>
  <w:num w:numId="1" w16cid:durableId="143794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04"/>
    <w:rsid w:val="000F5E9E"/>
    <w:rsid w:val="00110E88"/>
    <w:rsid w:val="001421EA"/>
    <w:rsid w:val="00187E9D"/>
    <w:rsid w:val="001A3970"/>
    <w:rsid w:val="00374701"/>
    <w:rsid w:val="004236ED"/>
    <w:rsid w:val="006A522F"/>
    <w:rsid w:val="006C65F5"/>
    <w:rsid w:val="007803BD"/>
    <w:rsid w:val="008147DB"/>
    <w:rsid w:val="008273D3"/>
    <w:rsid w:val="00867670"/>
    <w:rsid w:val="00882641"/>
    <w:rsid w:val="008E65E0"/>
    <w:rsid w:val="00901DAC"/>
    <w:rsid w:val="0092681C"/>
    <w:rsid w:val="009330B7"/>
    <w:rsid w:val="00A4350D"/>
    <w:rsid w:val="00A827B7"/>
    <w:rsid w:val="00B702D4"/>
    <w:rsid w:val="00B92C17"/>
    <w:rsid w:val="00BE22E2"/>
    <w:rsid w:val="00C02DA7"/>
    <w:rsid w:val="00C706BD"/>
    <w:rsid w:val="00DA0304"/>
    <w:rsid w:val="00DA2557"/>
    <w:rsid w:val="00DB67D7"/>
    <w:rsid w:val="00DD5ECC"/>
    <w:rsid w:val="00E44162"/>
    <w:rsid w:val="00F653D8"/>
    <w:rsid w:val="00FB4E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D49E"/>
  <w15:chartTrackingRefBased/>
  <w15:docId w15:val="{E5F8E6D9-4972-442C-B573-FA9B2557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970"/>
  </w:style>
  <w:style w:type="paragraph" w:styleId="Heading1">
    <w:name w:val="heading 1"/>
    <w:basedOn w:val="Normal"/>
    <w:next w:val="Normal"/>
    <w:link w:val="Heading1Char"/>
    <w:uiPriority w:val="9"/>
    <w:qFormat/>
    <w:rsid w:val="001A3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970"/>
    <w:rPr>
      <w:rFonts w:eastAsiaTheme="majorEastAsia" w:cstheme="majorBidi"/>
      <w:color w:val="272727" w:themeColor="text1" w:themeTint="D8"/>
    </w:rPr>
  </w:style>
  <w:style w:type="paragraph" w:styleId="Title">
    <w:name w:val="Title"/>
    <w:basedOn w:val="Normal"/>
    <w:next w:val="Normal"/>
    <w:link w:val="TitleChar"/>
    <w:uiPriority w:val="10"/>
    <w:qFormat/>
    <w:rsid w:val="001A3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97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A3970"/>
    <w:pPr>
      <w:ind w:left="720"/>
      <w:contextualSpacing/>
    </w:pPr>
  </w:style>
  <w:style w:type="paragraph" w:styleId="Quote">
    <w:name w:val="Quote"/>
    <w:basedOn w:val="Normal"/>
    <w:next w:val="Normal"/>
    <w:link w:val="QuoteChar"/>
    <w:uiPriority w:val="29"/>
    <w:qFormat/>
    <w:rsid w:val="001A3970"/>
    <w:pPr>
      <w:spacing w:before="160"/>
      <w:jc w:val="center"/>
    </w:pPr>
    <w:rPr>
      <w:i/>
      <w:iCs/>
      <w:color w:val="404040" w:themeColor="text1" w:themeTint="BF"/>
    </w:rPr>
  </w:style>
  <w:style w:type="character" w:customStyle="1" w:styleId="QuoteChar">
    <w:name w:val="Quote Char"/>
    <w:basedOn w:val="DefaultParagraphFont"/>
    <w:link w:val="Quote"/>
    <w:uiPriority w:val="29"/>
    <w:rsid w:val="001A3970"/>
    <w:rPr>
      <w:i/>
      <w:iCs/>
      <w:color w:val="404040" w:themeColor="text1" w:themeTint="BF"/>
    </w:rPr>
  </w:style>
  <w:style w:type="paragraph" w:styleId="IntenseQuote">
    <w:name w:val="Intense Quote"/>
    <w:basedOn w:val="Normal"/>
    <w:next w:val="Normal"/>
    <w:link w:val="IntenseQuoteChar"/>
    <w:uiPriority w:val="30"/>
    <w:qFormat/>
    <w:rsid w:val="001A3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970"/>
    <w:rPr>
      <w:i/>
      <w:iCs/>
      <w:color w:val="0F4761" w:themeColor="accent1" w:themeShade="BF"/>
    </w:rPr>
  </w:style>
  <w:style w:type="character" w:styleId="IntenseEmphasis">
    <w:name w:val="Intense Emphasis"/>
    <w:basedOn w:val="DefaultParagraphFont"/>
    <w:uiPriority w:val="21"/>
    <w:qFormat/>
    <w:rsid w:val="001A3970"/>
    <w:rPr>
      <w:i/>
      <w:iCs/>
      <w:color w:val="0F4761" w:themeColor="accent1" w:themeShade="BF"/>
    </w:rPr>
  </w:style>
  <w:style w:type="character" w:styleId="IntenseReference">
    <w:name w:val="Intense Reference"/>
    <w:basedOn w:val="DefaultParagraphFont"/>
    <w:uiPriority w:val="32"/>
    <w:qFormat/>
    <w:rsid w:val="001A3970"/>
    <w:rPr>
      <w:b/>
      <w:bCs/>
      <w:smallCaps/>
      <w:color w:val="0F4761" w:themeColor="accent1" w:themeShade="BF"/>
      <w:spacing w:val="5"/>
    </w:rPr>
  </w:style>
  <w:style w:type="table" w:customStyle="1" w:styleId="Findex">
    <w:name w:val="Findex"/>
    <w:basedOn w:val="TableNormal"/>
    <w:uiPriority w:val="99"/>
    <w:rsid w:val="00F653D8"/>
    <w:pPr>
      <w:spacing w:after="0" w:line="240" w:lineRule="auto"/>
    </w:pPr>
    <w:rPr>
      <w:rFonts w:asciiTheme="minorHAnsi" w:hAnsiTheme="minorHAnsi" w:cstheme="minorBidi"/>
      <w:kern w:val="0"/>
      <w:sz w:val="18"/>
      <w:szCs w:val="22"/>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tblPr/>
      <w:trPr>
        <w:tblHeader/>
      </w:trPr>
      <w:tcPr>
        <w:tcBorders>
          <w:top w:val="single" w:sz="4" w:space="0" w:color="252A30"/>
          <w:left w:val="single" w:sz="4" w:space="0" w:color="252A30"/>
          <w:bottom w:val="single" w:sz="4" w:space="0" w:color="252A30"/>
          <w:right w:val="single" w:sz="4" w:space="0" w:color="252A30"/>
          <w:insideH w:val="single" w:sz="4" w:space="0" w:color="252A30"/>
          <w:insideV w:val="single" w:sz="4" w:space="0" w:color="252A30"/>
        </w:tcBorders>
        <w:shd w:val="clear" w:color="auto" w:fill="252A30"/>
      </w:tcPr>
    </w:tblStylePr>
    <w:tblStylePr w:type="band2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DA0304"/>
    <w:pPr>
      <w:spacing w:after="0" w:line="240" w:lineRule="auto"/>
    </w:pPr>
  </w:style>
  <w:style w:type="character" w:customStyle="1" w:styleId="FootnoteTextChar">
    <w:name w:val="Footnote Text Char"/>
    <w:basedOn w:val="DefaultParagraphFont"/>
    <w:link w:val="FootnoteText"/>
    <w:uiPriority w:val="99"/>
    <w:semiHidden/>
    <w:rsid w:val="00DA0304"/>
  </w:style>
  <w:style w:type="character" w:styleId="FootnoteReference">
    <w:name w:val="footnote reference"/>
    <w:basedOn w:val="DefaultParagraphFont"/>
    <w:unhideWhenUsed/>
    <w:qFormat/>
    <w:rsid w:val="00DA0304"/>
    <w:rPr>
      <w:sz w:val="16"/>
      <w:vertAlign w:val="superscript"/>
      <w14:numSpacing w14:val="tabular"/>
    </w:rPr>
  </w:style>
  <w:style w:type="table" w:customStyle="1" w:styleId="Default-Findex">
    <w:name w:val="Default - Findex"/>
    <w:basedOn w:val="TableNormal"/>
    <w:uiPriority w:val="99"/>
    <w:rsid w:val="00DA0304"/>
    <w:pPr>
      <w:spacing w:after="0" w:line="240" w:lineRule="auto"/>
    </w:pPr>
    <w:rPr>
      <w:rFonts w:cs="Times New Roman"/>
      <w:kern w:val="0"/>
      <w:sz w:val="18"/>
      <w:szCs w:val="22"/>
      <w14:ligatures w14:val="none"/>
    </w:rPr>
    <w:tblPr>
      <w:tblStyleRowBandSize w:val="1"/>
      <w:tblStyleColBandSize w:val="1"/>
    </w:tblPr>
    <w:tblStylePr w:type="firstRow">
      <w:pPr>
        <w:jc w:val="left"/>
      </w:pPr>
      <w:tblPr/>
      <w:trPr>
        <w:tblHeader/>
      </w:trPr>
      <w:tcPr>
        <w:shd w:val="clear" w:color="auto" w:fill="252A30"/>
      </w:tcPr>
    </w:tblStylePr>
    <w:tblStylePr w:type="lastRow">
      <w:pPr>
        <w:jc w:val="left"/>
      </w:pPr>
    </w:tblStylePr>
    <w:tblStylePr w:type="firstCol">
      <w:pPr>
        <w:jc w:val="left"/>
      </w:pPr>
      <w:rPr>
        <w:rFonts w:ascii="Arial" w:hAnsi="Arial"/>
        <w:sz w:val="18"/>
      </w:rPr>
    </w:tblStylePr>
    <w:tblStylePr w:type="lastCol">
      <w:pPr>
        <w:jc w:val="left"/>
      </w:pPr>
    </w:tblStylePr>
    <w:tblStylePr w:type="band1Vert">
      <w:pPr>
        <w:jc w:val="left"/>
      </w:pPr>
    </w:tblStylePr>
    <w:tblStylePr w:type="band2Vert">
      <w:pPr>
        <w:jc w:val="left"/>
      </w:pPr>
    </w:tblStylePr>
    <w:tblStylePr w:type="band1Horz">
      <w:pPr>
        <w:jc w:val="center"/>
      </w:pPr>
      <w:rPr>
        <w:rFonts w:ascii="Arial" w:hAnsi="Arial"/>
        <w:sz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F2F2F2"/>
      </w:tcPr>
    </w:tblStylePr>
    <w:tblStylePr w:type="band2Horz">
      <w:pPr>
        <w:jc w:val="center"/>
      </w:pPr>
      <w:rPr>
        <w:rFonts w:ascii="Arial" w:hAnsi="Arial"/>
        <w:sz w:val="18"/>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o.gov.au/law/view/document?src=ws&amp;pit=99991231235958&amp;arc=false&amp;start=1&amp;pageSize=10&amp;total=1&amp;num=0&amp;docid=EV%2F1052294374162&amp;dc=false&amp;stype=find&amp;tm=phrase-basic-10522943741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Edwards</dc:creator>
  <cp:keywords/>
  <dc:description/>
  <cp:lastModifiedBy>Jordan Edwards</cp:lastModifiedBy>
  <cp:revision>3</cp:revision>
  <dcterms:created xsi:type="dcterms:W3CDTF">2025-09-22T04:55:00Z</dcterms:created>
  <dcterms:modified xsi:type="dcterms:W3CDTF">2025-11-11T00:36:00Z</dcterms:modified>
</cp:coreProperties>
</file>