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A0818" w14:textId="77777777" w:rsidR="00277CBA" w:rsidRDefault="00277CBA" w:rsidP="00277CBA">
      <w:pPr>
        <w:pStyle w:val="ListParagraph"/>
        <w:numPr>
          <w:ilvl w:val="1"/>
          <w:numId w:val="1"/>
        </w:numPr>
        <w:spacing w:after="240" w:line="276" w:lineRule="auto"/>
        <w:contextualSpacing w:val="0"/>
      </w:pPr>
      <w:r>
        <w:t>Notwithstanding this, it should be noted that in certain scenarios, the ATO has an infinite amendment period. Most commonly:</w:t>
      </w:r>
    </w:p>
    <w:p w14:paraId="64453D42" w14:textId="77777777" w:rsidR="00277CBA" w:rsidRDefault="00277CBA" w:rsidP="00277CBA">
      <w:pPr>
        <w:pStyle w:val="ListParagraph"/>
        <w:numPr>
          <w:ilvl w:val="2"/>
          <w:numId w:val="1"/>
        </w:numPr>
        <w:spacing w:after="240" w:line="276" w:lineRule="auto"/>
        <w:contextualSpacing w:val="0"/>
      </w:pPr>
      <w:r>
        <w:t>where the Commissioner is of the opinion that there has been fraud or evasion;</w:t>
      </w:r>
      <w:r>
        <w:rPr>
          <w:rStyle w:val="FootnoteReference"/>
        </w:rPr>
        <w:footnoteReference w:id="1"/>
      </w:r>
    </w:p>
    <w:p w14:paraId="4F4C0430" w14:textId="77777777" w:rsidR="00277CBA" w:rsidRDefault="00277CBA" w:rsidP="00277CBA">
      <w:pPr>
        <w:pStyle w:val="ListParagraph"/>
        <w:numPr>
          <w:ilvl w:val="2"/>
          <w:numId w:val="1"/>
        </w:numPr>
        <w:spacing w:after="240" w:line="276" w:lineRule="auto"/>
        <w:contextualSpacing w:val="0"/>
      </w:pPr>
      <w:r>
        <w:t>distributions by liquidators;</w:t>
      </w:r>
      <w:r>
        <w:rPr>
          <w:rStyle w:val="FootnoteReference"/>
        </w:rPr>
        <w:footnoteReference w:id="2"/>
      </w:r>
      <w:r>
        <w:t xml:space="preserve"> </w:t>
      </w:r>
    </w:p>
    <w:p w14:paraId="32497EE7" w14:textId="77777777" w:rsidR="00277CBA" w:rsidRDefault="00277CBA" w:rsidP="00277CBA">
      <w:pPr>
        <w:pStyle w:val="ListParagraph"/>
        <w:numPr>
          <w:ilvl w:val="2"/>
          <w:numId w:val="1"/>
        </w:numPr>
        <w:spacing w:after="240" w:line="276" w:lineRule="auto"/>
        <w:contextualSpacing w:val="0"/>
      </w:pPr>
      <w:r>
        <w:t>present entitlements arising from reimbursement agreements;</w:t>
      </w:r>
      <w:r>
        <w:rPr>
          <w:rStyle w:val="FootnoteReference"/>
        </w:rPr>
        <w:footnoteReference w:id="3"/>
      </w:r>
    </w:p>
    <w:p w14:paraId="4896391C" w14:textId="77777777" w:rsidR="00277CBA" w:rsidRDefault="00277CBA" w:rsidP="00277CBA">
      <w:pPr>
        <w:pStyle w:val="ListParagraph"/>
        <w:numPr>
          <w:ilvl w:val="2"/>
          <w:numId w:val="1"/>
        </w:numPr>
        <w:spacing w:after="240" w:line="276" w:lineRule="auto"/>
        <w:contextualSpacing w:val="0"/>
      </w:pPr>
      <w:r>
        <w:t>amounts subject to a family trust distribution tax assessment;</w:t>
      </w:r>
      <w:r>
        <w:rPr>
          <w:rStyle w:val="FootnoteReference"/>
        </w:rPr>
        <w:footnoteReference w:id="4"/>
      </w:r>
    </w:p>
    <w:p w14:paraId="4619D52B" w14:textId="77777777" w:rsidR="00277CBA" w:rsidRDefault="00277CBA" w:rsidP="00277CBA">
      <w:pPr>
        <w:pStyle w:val="ListParagraph"/>
        <w:numPr>
          <w:ilvl w:val="2"/>
          <w:numId w:val="1"/>
        </w:numPr>
        <w:spacing w:after="240" w:line="276" w:lineRule="auto"/>
        <w:contextualSpacing w:val="0"/>
      </w:pPr>
      <w:r>
        <w:t>deduction of interest or royalty that triggered withholding tax;</w:t>
      </w:r>
      <w:r>
        <w:rPr>
          <w:rStyle w:val="FootnoteReference"/>
        </w:rPr>
        <w:footnoteReference w:id="5"/>
      </w:r>
    </w:p>
    <w:p w14:paraId="68139EF9" w14:textId="77777777" w:rsidR="00277CBA" w:rsidRDefault="00277CBA" w:rsidP="00277CBA">
      <w:pPr>
        <w:pStyle w:val="ListParagraph"/>
        <w:numPr>
          <w:ilvl w:val="2"/>
          <w:numId w:val="1"/>
        </w:numPr>
        <w:spacing w:after="240" w:line="276" w:lineRule="auto"/>
        <w:contextualSpacing w:val="0"/>
      </w:pPr>
      <w:r>
        <w:t>rights that become rights to acquire shares;</w:t>
      </w:r>
      <w:r>
        <w:rPr>
          <w:rStyle w:val="FootnoteReference"/>
        </w:rPr>
        <w:footnoteReference w:id="6"/>
      </w:r>
    </w:p>
    <w:p w14:paraId="53C693D1" w14:textId="77777777" w:rsidR="00277CBA" w:rsidRDefault="00277CBA" w:rsidP="00277CBA">
      <w:pPr>
        <w:pStyle w:val="ListParagraph"/>
        <w:numPr>
          <w:ilvl w:val="2"/>
          <w:numId w:val="1"/>
        </w:numPr>
        <w:spacing w:after="240" w:line="276" w:lineRule="auto"/>
        <w:contextualSpacing w:val="0"/>
      </w:pPr>
      <w:r>
        <w:t>forfeiture of employee share scheme interests;</w:t>
      </w:r>
      <w:r>
        <w:rPr>
          <w:rStyle w:val="FootnoteReference"/>
        </w:rPr>
        <w:footnoteReference w:id="7"/>
      </w:r>
      <w:r>
        <w:t xml:space="preserve"> and</w:t>
      </w:r>
    </w:p>
    <w:p w14:paraId="04219F35" w14:textId="77777777" w:rsidR="00277CBA" w:rsidRDefault="00277CBA" w:rsidP="00277CBA">
      <w:pPr>
        <w:pStyle w:val="ListParagraph"/>
        <w:numPr>
          <w:ilvl w:val="2"/>
          <w:numId w:val="1"/>
        </w:numPr>
        <w:spacing w:after="240" w:line="276" w:lineRule="auto"/>
        <w:contextualSpacing w:val="0"/>
      </w:pPr>
      <w:r>
        <w:t>various scenarios around CGT (e.g. where capital proceeds are not received or are required to be repaid).</w:t>
      </w:r>
      <w:r>
        <w:rPr>
          <w:rStyle w:val="FootnoteReference"/>
        </w:rPr>
        <w:footnoteReference w:id="8"/>
      </w:r>
    </w:p>
    <w:p w14:paraId="4A81472C" w14:textId="77777777" w:rsidR="00DA1003" w:rsidRDefault="00DA1003"/>
    <w:sectPr w:rsidR="00DA1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4E970" w14:textId="77777777" w:rsidR="00277CBA" w:rsidRDefault="00277CBA" w:rsidP="00277CBA">
      <w:pPr>
        <w:spacing w:after="0" w:line="240" w:lineRule="auto"/>
      </w:pPr>
      <w:r>
        <w:separator/>
      </w:r>
    </w:p>
  </w:endnote>
  <w:endnote w:type="continuationSeparator" w:id="0">
    <w:p w14:paraId="6A88F9F4" w14:textId="77777777" w:rsidR="00277CBA" w:rsidRDefault="00277CBA" w:rsidP="00277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4E52B" w14:textId="77777777" w:rsidR="00277CBA" w:rsidRDefault="00277CBA" w:rsidP="00277CBA">
      <w:pPr>
        <w:spacing w:after="0" w:line="240" w:lineRule="auto"/>
      </w:pPr>
      <w:r>
        <w:separator/>
      </w:r>
    </w:p>
  </w:footnote>
  <w:footnote w:type="continuationSeparator" w:id="0">
    <w:p w14:paraId="750B6399" w14:textId="77777777" w:rsidR="00277CBA" w:rsidRDefault="00277CBA" w:rsidP="00277CBA">
      <w:pPr>
        <w:spacing w:after="0" w:line="240" w:lineRule="auto"/>
      </w:pPr>
      <w:r>
        <w:continuationSeparator/>
      </w:r>
    </w:p>
  </w:footnote>
  <w:footnote w:id="1">
    <w:p w14:paraId="3370269E" w14:textId="77777777" w:rsidR="00277CBA" w:rsidRPr="00916D09" w:rsidRDefault="00277CBA" w:rsidP="00277CB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Ibid item 5.</w:t>
      </w:r>
    </w:p>
  </w:footnote>
  <w:footnote w:id="2">
    <w:p w14:paraId="70863B16" w14:textId="77777777" w:rsidR="00277CBA" w:rsidRPr="00916D09" w:rsidRDefault="00277CBA" w:rsidP="00277CB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916D09">
        <w:t>Ibid s</w:t>
      </w:r>
      <w:r w:rsidRPr="00916D09">
        <w:rPr>
          <w:lang w:val="en-US"/>
        </w:rPr>
        <w:t xml:space="preserve"> 47</w:t>
      </w:r>
      <w:r>
        <w:rPr>
          <w:lang w:val="en-US"/>
        </w:rPr>
        <w:t>(2B).</w:t>
      </w:r>
    </w:p>
  </w:footnote>
  <w:footnote w:id="3">
    <w:p w14:paraId="6895A3F7" w14:textId="77777777" w:rsidR="00277CBA" w:rsidRPr="00916D09" w:rsidRDefault="00277CBA" w:rsidP="00277CB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Ibid</w:t>
      </w:r>
      <w:r>
        <w:rPr>
          <w:i/>
          <w:iCs/>
        </w:rPr>
        <w:t xml:space="preserve"> </w:t>
      </w:r>
      <w:r w:rsidRPr="00916D09">
        <w:t>s</w:t>
      </w:r>
      <w:r>
        <w:rPr>
          <w:lang w:val="en-US"/>
        </w:rPr>
        <w:t xml:space="preserve"> 100A.</w:t>
      </w:r>
    </w:p>
  </w:footnote>
  <w:footnote w:id="4">
    <w:p w14:paraId="4FC02700" w14:textId="77777777" w:rsidR="00277CBA" w:rsidRPr="00916D09" w:rsidRDefault="00277CBA" w:rsidP="00277CB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Ibid</w:t>
      </w:r>
      <w:r>
        <w:rPr>
          <w:i/>
          <w:iCs/>
        </w:rPr>
        <w:t xml:space="preserve"> </w:t>
      </w:r>
      <w:r w:rsidRPr="00916D09">
        <w:t>s</w:t>
      </w:r>
      <w:r w:rsidRPr="00916D09">
        <w:rPr>
          <w:lang w:val="en-US"/>
        </w:rPr>
        <w:t xml:space="preserve"> 271</w:t>
      </w:r>
      <w:r>
        <w:rPr>
          <w:lang w:val="en-US"/>
        </w:rPr>
        <w:t>-105</w:t>
      </w:r>
    </w:p>
  </w:footnote>
  <w:footnote w:id="5">
    <w:p w14:paraId="19A516E6" w14:textId="77777777" w:rsidR="00277CBA" w:rsidRPr="00916D09" w:rsidRDefault="00277CBA" w:rsidP="00277CB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Income Tax Assessment Act 1997 </w:t>
      </w:r>
      <w:r>
        <w:t>s 26-25(3).</w:t>
      </w:r>
    </w:p>
  </w:footnote>
  <w:footnote w:id="6">
    <w:p w14:paraId="6D6C3E9B" w14:textId="77777777" w:rsidR="00277CBA" w:rsidRPr="00916D09" w:rsidRDefault="00277CBA" w:rsidP="00277CB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Ibid s 83A-340.</w:t>
      </w:r>
    </w:p>
  </w:footnote>
  <w:footnote w:id="7">
    <w:p w14:paraId="6CAAC454" w14:textId="77777777" w:rsidR="00277CBA" w:rsidRPr="00916D09" w:rsidRDefault="00277CBA" w:rsidP="00277CB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Ibid s 83A-310</w:t>
      </w:r>
    </w:p>
  </w:footnote>
  <w:footnote w:id="8">
    <w:p w14:paraId="6E3ACCD0" w14:textId="77777777" w:rsidR="00277CBA" w:rsidRPr="00916D09" w:rsidRDefault="00277CBA" w:rsidP="00277CB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Ibid s 116-45 &amp; 116-50.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B5A8D"/>
    <w:multiLevelType w:val="multilevel"/>
    <w:tmpl w:val="04EE63A8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  <w:b/>
        <w:bCs/>
        <w:i w:val="0"/>
        <w:color w:val="D43D27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ind w:left="1134" w:hanging="567"/>
      </w:pPr>
      <w:rPr>
        <w:rFonts w:hint="default"/>
        <w:color w:val="auto"/>
      </w:rPr>
    </w:lvl>
    <w:lvl w:ilvl="3">
      <w:start w:val="1"/>
      <w:numFmt w:val="lowerRoman"/>
      <w:lvlText w:val="(%4)"/>
      <w:lvlJc w:val="left"/>
      <w:pPr>
        <w:ind w:left="1701" w:hanging="567"/>
      </w:pPr>
      <w:rPr>
        <w:rFonts w:hint="default"/>
      </w:rPr>
    </w:lvl>
    <w:lvl w:ilvl="4">
      <w:start w:val="1"/>
      <w:numFmt w:val="upperLetter"/>
      <w:lvlText w:val="(%5)"/>
      <w:lvlJc w:val="left"/>
      <w:pPr>
        <w:ind w:left="2268" w:hanging="56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2835" w:hanging="567"/>
      </w:pPr>
      <w:rPr>
        <w:rFonts w:hint="default"/>
      </w:rPr>
    </w:lvl>
    <w:lvl w:ilvl="6">
      <w:start w:val="1"/>
      <w:numFmt w:val="upperLetter"/>
      <w:lvlText w:val="Appendix %7"/>
      <w:lvlJc w:val="left"/>
      <w:pPr>
        <w:ind w:left="0" w:firstLine="0"/>
      </w:pPr>
      <w:rPr>
        <w:rFonts w:ascii="Arial Bold" w:hAnsi="Arial Bold" w:hint="default"/>
        <w:b/>
        <w:i w:val="0"/>
        <w:color w:val="D43D27"/>
        <w:sz w:val="24"/>
      </w:rPr>
    </w:lvl>
    <w:lvl w:ilvl="7">
      <w:start w:val="1"/>
      <w:numFmt w:val="lowerLetter"/>
      <w:lvlText w:val="(%8)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1134" w:hanging="567"/>
      </w:pPr>
      <w:rPr>
        <w:rFonts w:hint="default"/>
      </w:rPr>
    </w:lvl>
  </w:abstractNum>
  <w:num w:numId="1" w16cid:durableId="162419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BA"/>
    <w:rsid w:val="001B7146"/>
    <w:rsid w:val="001E78EF"/>
    <w:rsid w:val="00277CBA"/>
    <w:rsid w:val="002A023A"/>
    <w:rsid w:val="00307C92"/>
    <w:rsid w:val="00451C17"/>
    <w:rsid w:val="00460189"/>
    <w:rsid w:val="004B373B"/>
    <w:rsid w:val="004B7980"/>
    <w:rsid w:val="006F5C6E"/>
    <w:rsid w:val="007C0744"/>
    <w:rsid w:val="007C7E04"/>
    <w:rsid w:val="00803CAE"/>
    <w:rsid w:val="008548E0"/>
    <w:rsid w:val="00AF574C"/>
    <w:rsid w:val="00CB177C"/>
    <w:rsid w:val="00CC7568"/>
    <w:rsid w:val="00DA1003"/>
    <w:rsid w:val="00DE5922"/>
    <w:rsid w:val="00DF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2699"/>
  <w15:chartTrackingRefBased/>
  <w15:docId w15:val="{05810010-272B-4AA5-BB92-2FD8B827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9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nhideWhenUsed/>
    <w:qFormat/>
    <w:rsid w:val="004B7980"/>
    <w:pPr>
      <w:spacing w:after="0" w:line="240" w:lineRule="auto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rsid w:val="004B7980"/>
    <w:rPr>
      <w:sz w:val="16"/>
    </w:rPr>
  </w:style>
  <w:style w:type="paragraph" w:styleId="ListParagraph">
    <w:name w:val="List Paragraph"/>
    <w:aliases w:val="List Paragraph - bullet,List - bullet,Bulleted list,List 1,Other List,List Paragraph numbered,Bullet List,List Paragraph abc,List Paragraph - bullets,Use Case List Paragraph"/>
    <w:basedOn w:val="Normal"/>
    <w:link w:val="ListParagraphChar"/>
    <w:uiPriority w:val="34"/>
    <w:qFormat/>
    <w:rsid w:val="00277CBA"/>
    <w:pPr>
      <w:spacing w:after="0" w:line="250" w:lineRule="atLeast"/>
      <w:ind w:left="720"/>
      <w:contextualSpacing/>
    </w:pPr>
    <w:rPr>
      <w:rFonts w:eastAsiaTheme="minorEastAsia" w:cs="Times New Roman"/>
      <w:lang w:eastAsia="zh-TW"/>
    </w:rPr>
  </w:style>
  <w:style w:type="character" w:styleId="FootnoteReference">
    <w:name w:val="footnote reference"/>
    <w:basedOn w:val="DefaultParagraphFont"/>
    <w:unhideWhenUsed/>
    <w:qFormat/>
    <w:rsid w:val="00277CBA"/>
    <w:rPr>
      <w:vertAlign w:val="superscript"/>
    </w:rPr>
  </w:style>
  <w:style w:type="character" w:customStyle="1" w:styleId="ListParagraphChar">
    <w:name w:val="List Paragraph Char"/>
    <w:aliases w:val="List Paragraph - bullet Char,List - bullet Char,Bulleted list Char,List 1 Char,Other List Char,List Paragraph numbered Char,Bullet List Char,List Paragraph abc Char,List Paragraph - bullets Char,Use Case List Paragraph Char"/>
    <w:basedOn w:val="DefaultParagraphFont"/>
    <w:link w:val="ListParagraph"/>
    <w:uiPriority w:val="34"/>
    <w:locked/>
    <w:rsid w:val="00277CBA"/>
    <w:rPr>
      <w:rFonts w:eastAsiaTheme="minorEastAsia" w:cs="Times New Roman"/>
      <w:lang w:eastAsia="zh-TW"/>
    </w:rPr>
  </w:style>
  <w:style w:type="character" w:styleId="CommentReference">
    <w:name w:val="annotation reference"/>
    <w:basedOn w:val="DefaultParagraphFont"/>
    <w:uiPriority w:val="99"/>
    <w:semiHidden/>
    <w:unhideWhenUsed/>
    <w:rsid w:val="00277C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7CBA"/>
    <w:pPr>
      <w:spacing w:after="0" w:line="240" w:lineRule="auto"/>
    </w:pPr>
    <w:rPr>
      <w:rFonts w:eastAsiaTheme="minorEastAsia" w:cs="Times New Roman"/>
      <w:lang w:eastAsia="zh-TW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7CBA"/>
    <w:rPr>
      <w:rFonts w:eastAsiaTheme="minorEastAsia" w:cs="Times New Roman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540</Characters>
  <Application>Microsoft Office Word</Application>
  <DocSecurity>0</DocSecurity>
  <Lines>4</Lines>
  <Paragraphs>1</Paragraphs>
  <ScaleCrop>false</ScaleCrop>
  <Company>Findex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Edwards</dc:creator>
  <cp:keywords/>
  <dc:description/>
  <cp:lastModifiedBy>Jordan Edwards</cp:lastModifiedBy>
  <cp:revision>1</cp:revision>
  <dcterms:created xsi:type="dcterms:W3CDTF">2024-05-30T03:22:00Z</dcterms:created>
  <dcterms:modified xsi:type="dcterms:W3CDTF">2024-05-30T03:23:00Z</dcterms:modified>
</cp:coreProperties>
</file>